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366</w:t>
      </w:r>
    </w:p>
    <w:p>
      <w:pPr>
        <w:spacing w:before="0" w:after="0"/>
        <w:ind w:left="120"/>
        <w:jc w:val="center"/>
      </w:pPr>
      <w:r>
        <w:rPr>
          <w:rFonts w:ascii="Times New Roman" w:hAnsi="Times New Roman"/>
          <w:b w:val="false"/>
          <w:i w:val="false"/>
          <w:color w:val="000000"/>
          <w:sz w:val="21"/>
        </w:rPr>
        <w:t>WAIVERS FROM ADMINISTRATIVE RULES BY THE ELEVATOR SAFETY BOARD</w:t>
      </w:r>
    </w:p>
    <w:p>
      <w:pPr>
        <w:spacing w:before="0" w:after="0"/>
        <w:ind w:left="120"/>
        <w:jc w:val="center"/>
      </w:pPr>
      <w:r>
        <w:rPr>
          <w:rFonts w:ascii="Times New Roman" w:hAnsi="Times New Roman"/>
          <w:b w:val="false"/>
          <w:i w:val="false"/>
          <w:color w:val="000000"/>
          <w:sz w:val="14"/>
        </w:rPr>
        <w:t>[Prior to 7/9/25, see Labor Services Division[875] Ch 66]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481—366.1</w:t>
      </w:r>
      <w:r>
        <w:rPr>
          <w:rFonts w:ascii="Times New Roman" w:hAnsi="Times New Roman"/>
          <w:b/>
          <w:i w:val="false"/>
          <w:color w:val="000000"/>
          <w:sz w:val="22"/>
        </w:rPr>
        <w:t xml:space="preserve">(17A,89A)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In response to a petition completed pursuant to this chapter, the board may, in its sole discretion, issue an order waiving, in whole or in part, the requirements of a rule as applied to an identified person on the basis of the particular circumstances of that person if the board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366.1(1)</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366.1(2)</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366.1(3)</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366.1(4)</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366.1(5)</w:t>
      </w:r>
      <w:r>
        <w:rPr>
          <w:rFonts w:ascii="Times New Roman" w:hAnsi="Times New Roman"/>
          <w:b w:val="false"/>
          <w:i w:val="false"/>
          <w:color w:val="000000"/>
          <w:sz w:val="22"/>
        </w:rPr>
        <w:t> </w:t>
      </w:r>
      <w:r>
        <w:rPr>
          <w:rFonts w:ascii="Times New Roman" w:hAnsi="Times New Roman"/>
          <w:b w:val="false"/>
          <w:i w:val="false"/>
          <w:color w:val="000000"/>
          <w:sz w:val="22"/>
        </w:rPr>
        <w:t>There is a reasonable relationship between the age of the conveyance and the waiver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481—366.2</w:t>
      </w:r>
      <w:r>
        <w:rPr>
          <w:rFonts w:ascii="Times New Roman" w:hAnsi="Times New Roman"/>
          <w:b/>
          <w:i w:val="false"/>
          <w:color w:val="000000"/>
          <w:sz w:val="22"/>
        </w:rPr>
        <w:t xml:space="preserve">(17A,89A)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366.2(1)</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pending contested case, the petition may be submitted with a caption containing the name of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366.2(3)</w:t>
      </w:r>
      <w:r>
        <w:rPr>
          <w:rFonts w:ascii="Times New Roman" w:hAnsi="Times New Roman"/>
          <w:b w:val="false"/>
          <w:i w:val="false"/>
          <w:color w:val="000000"/>
          <w:sz w:val="22"/>
        </w:rPr>
        <w:t> </w:t>
      </w:r>
      <w:r>
        <w:rPr>
          <w:rFonts w:ascii="Times New Roman" w:hAnsi="Times New Roman"/>
          <w:b w:val="false"/>
          <w:i/>
          <w:color w:val="000000"/>
          <w:sz w:val="22"/>
        </w:rPr>
        <w:t xml:space="preserve">Filing petition. </w:t>
      </w:r>
      <w:r>
        <w:rPr>
          <w:rFonts w:ascii="Times New Roman" w:hAnsi="Times New Roman"/>
          <w:b w:val="false"/>
          <w:i w:val="false"/>
          <w:color w:val="000000"/>
          <w:sz w:val="22"/>
        </w:rPr>
        <w:t>A petition is deemed filed when it is received in the board’s office. A petition should be sent to the Elevator Safety Board, Department of Inspections, Appeals, and Licensing, 6200 Park Avenue, Suite 100, Des Moines, Iowa 50321. The petitioner shall submit the petition and all related materials for consideration at least three weeks prior to a scheduled board meeting for board review of the petition at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481—366.3</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The required form for a petition for waiver is available on the department’s website. A petition for waiver includes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entity or person for whom a waiver is being requested; the case number of or other reference to any related contested case; and the name, address, and telephone number of the petitioner’s legal representative,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366.3(2)</w:t>
      </w:r>
      <w:r>
        <w:rPr>
          <w:rFonts w:ascii="Times New Roman" w:hAnsi="Times New Roman"/>
          <w:b w:val="false"/>
          <w:i w:val="false"/>
          <w:color w:val="000000"/>
          <w:sz w:val="22"/>
        </w:rPr>
        <w:t> </w:t>
      </w:r>
      <w:r>
        <w:rPr>
          <w:rFonts w:ascii="Times New Roman" w:hAnsi="Times New Roman"/>
          <w:b w:val="false"/>
          <w:i w:val="false"/>
          <w:color w:val="000000"/>
          <w:sz w:val="22"/>
        </w:rPr>
        <w:t>A description of and citation to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five criteria described in rule </w:t>
      </w:r>
      <w:hyperlink r:id="rId5">
        <w:r>
          <w:rPr>
            <w:rStyle w:val="Hyperlink"/>
            <w:rFonts w:ascii="Times New Roman" w:hAnsi="Times New Roman"/>
            <w:b w:val="false"/>
            <w:i w:val="false"/>
            <w:color w:val="000000"/>
            <w:sz w:val="22"/>
          </w:rPr>
          <w:t>481—366.1</w:t>
        </w:r>
      </w:hyperlink>
      <w:r>
        <w:rPr>
          <w:rFonts w:ascii="Times New Roman" w:hAnsi="Times New Roman"/>
          <w:b w:val="false"/>
          <w:i w:val="false"/>
          <w:color w:val="000000"/>
          <w:sz w:val="22"/>
        </w:rPr>
        <w:t>(17A,89A).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board, other departments or agencies of the state of Iowa, or political subdivisions and the petitioner relating to the conveyance affected by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that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entity or person who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366.3(8)</w:t>
      </w:r>
      <w:r>
        <w:rPr>
          <w:rFonts w:ascii="Times New Roman" w:hAnsi="Times New Roman"/>
          <w:b w:val="false"/>
          <w:i w:val="false"/>
          <w:color w:val="000000"/>
          <w:sz w:val="22"/>
        </w:rPr>
        <w:t> </w:t>
      </w:r>
      <w:r>
        <w:rPr>
          <w:rFonts w:ascii="Times New Roman" w:hAnsi="Times New Roman"/>
          <w:b w:val="false"/>
          <w:i w:val="false"/>
          <w:color w:val="000000"/>
          <w:sz w:val="22"/>
        </w:rPr>
        <w:t>The state identification number of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366.3(9)</w:t>
      </w:r>
      <w:r>
        <w:rPr>
          <w:rFonts w:ascii="Times New Roman" w:hAnsi="Times New Roman"/>
          <w:b w:val="false"/>
          <w:i w:val="false"/>
          <w:color w:val="000000"/>
          <w:sz w:val="22"/>
        </w:rPr>
        <w:t> </w:t>
      </w:r>
      <w:r>
        <w:rPr>
          <w:rFonts w:ascii="Times New Roman" w:hAnsi="Times New Roman"/>
          <w:b w:val="false"/>
          <w:i w:val="false"/>
          <w:color w:val="000000"/>
          <w:sz w:val="22"/>
        </w:rPr>
        <w:t>The age of the conveyance.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481—366.4</w:t>
      </w:r>
      <w:r>
        <w:rPr>
          <w:rFonts w:ascii="Times New Roman" w:hAnsi="Times New Roman"/>
          <w:b/>
          <w:i w:val="false"/>
          <w:color w:val="000000"/>
          <w:sz w:val="22"/>
        </w:rPr>
        <w:t xml:space="preserve">(17A,89A) </w:t>
      </w:r>
      <w:r>
        <w:rPr>
          <w:rFonts w:ascii="Times New Roman" w:hAnsi="Times New Roman"/>
          <w:b/>
          <w:i w:val="false"/>
          <w:color w:val="000000"/>
          <w:sz w:val="22"/>
        </w:rPr>
        <w:t xml:space="preserve">Waiver form. </w:t>
      </w:r>
      <w:r>
        <w:rPr>
          <w:rFonts w:ascii="Times New Roman" w:hAnsi="Times New Roman"/>
          <w:b w:val="false"/>
          <w:i w:val="false"/>
          <w:color w:val="000000"/>
          <w:sz w:val="22"/>
        </w:rPr>
        <w:t>Waiver applicants shall use the board’s petition for waiver form.  The board may request additional information from the petitioner.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481—366.5</w:t>
      </w:r>
      <w:r>
        <w:rPr>
          <w:rFonts w:ascii="Times New Roman" w:hAnsi="Times New Roman"/>
          <w:b/>
          <w:i w:val="false"/>
          <w:color w:val="000000"/>
          <w:sz w:val="22"/>
        </w:rPr>
        <w:t xml:space="preserve">(17A,89A)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shall acknowledge a petition within ten days of its receipt. The board shall ensure that notice of the pending petition has been provided to all persons to whom notice is required by any provision of law within 30 days of the receipt of the petition. In addition, the board may give notice to other persons. To accomplish this notice provision, the board may require the petitioner to serve the notice on all persons to whom notice is required by any provision of law and to provide a written statement to the board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481—366.6</w:t>
      </w:r>
      <w:r>
        <w:rPr>
          <w:rFonts w:ascii="Times New Roman" w:hAnsi="Times New Roman"/>
          <w:b/>
          <w:i w:val="false"/>
          <w:color w:val="000000"/>
          <w:sz w:val="22"/>
        </w:rPr>
        <w:t xml:space="preserve">(17A,89A) </w:t>
      </w:r>
      <w:r>
        <w:rPr>
          <w:rFonts w:ascii="Times New Roman" w:hAnsi="Times New Roman"/>
          <w:b/>
          <w:i w:val="false"/>
          <w:color w:val="000000"/>
          <w:sz w:val="22"/>
        </w:rPr>
        <w:t xml:space="preserve">Board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366.6(1)</w:t>
      </w:r>
      <w:r>
        <w:rPr>
          <w:rFonts w:ascii="Times New Roman" w:hAnsi="Times New Roman"/>
          <w:b w:val="false"/>
          <w:i w:val="false"/>
          <w:color w:val="000000"/>
          <w:sz w:val="22"/>
        </w:rPr>
        <w:t> </w:t>
      </w:r>
      <w:r>
        <w:rPr>
          <w:rFonts w:ascii="Times New Roman" w:hAnsi="Times New Roman"/>
          <w:b w:val="false"/>
          <w:i w:val="false"/>
          <w:color w:val="000000"/>
          <w:sz w:val="22"/>
        </w:rPr>
        <w:t>Petitions for waiver will normally be heard at the next scheduled board meeting following timely submission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366.6(2)</w:t>
      </w:r>
      <w:r>
        <w:rPr>
          <w:rFonts w:ascii="Times New Roman" w:hAnsi="Times New Roman"/>
          <w:b w:val="false"/>
          <w:i w:val="false"/>
          <w:color w:val="000000"/>
          <w:sz w:val="22"/>
        </w:rPr>
        <w:t> </w:t>
      </w:r>
      <w:r>
        <w:rPr>
          <w:rFonts w:ascii="Times New Roman" w:hAnsi="Times New Roman"/>
          <w:b w:val="false"/>
          <w:i w:val="false"/>
          <w:color w:val="000000"/>
          <w:sz w:val="22"/>
        </w:rPr>
        <w:t>The petitioner will be provided a reasonable opportunity to make a presentation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481—366.7</w:t>
      </w:r>
      <w:r>
        <w:rPr>
          <w:rFonts w:ascii="Times New Roman" w:hAnsi="Times New Roman"/>
          <w:b/>
          <w:i w:val="false"/>
          <w:color w:val="000000"/>
          <w:sz w:val="22"/>
        </w:rPr>
        <w:t xml:space="preserve">(17A,89A)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6">
        <w:r>
          <w:rPr>
            <w:rStyle w:val="Hyperlink"/>
            <w:rFonts w:ascii="Times New Roman" w:hAnsi="Times New Roman"/>
            <w:b w:val="false"/>
            <w:i w:val="false"/>
            <w:color w:val="000000"/>
            <w:sz w:val="22"/>
          </w:rPr>
          <w:t>17A.10 through 17A.18A</w:t>
        </w:r>
      </w:hyperlink>
      <w:r>
        <w:rPr>
          <w:rFonts w:ascii="Times New Roman" w:hAnsi="Times New Roman"/>
          <w:b w:val="false"/>
          <w:i w:val="false"/>
          <w:color w:val="000000"/>
          <w:sz w:val="22"/>
        </w:rPr>
        <w:t xml:space="preserve"> regarding contested case hearings apply to any petition for a waiver filed within a contested case and otherwise apply to board proceedings for a waiver only when the board so provides by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481—366.8</w:t>
      </w:r>
      <w:r>
        <w:rPr>
          <w:rFonts w:ascii="Times New Roman" w:hAnsi="Times New Roman"/>
          <w:b/>
          <w:i w:val="false"/>
          <w:color w:val="000000"/>
          <w:sz w:val="22"/>
        </w:rPr>
        <w:t xml:space="preserve">(17A,89A)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contain a reference to the particular person or legal entity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366.8(1)</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366.8(2)</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366.8(3)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366.8(4)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on a waiver any condition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366.8(5)</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366.8(6)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will grant or deny a petition for a waiver as soon as practical but, in any event,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366.8(7)</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366.8(8)</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14 days of the ruling, any order issued under this rule shall be transmitted or delivered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366.8(9)</w:t>
      </w:r>
      <w:r>
        <w:rPr>
          <w:rFonts w:ascii="Times New Roman" w:hAnsi="Times New Roman"/>
          <w:b w:val="false"/>
          <w:i w:val="false"/>
          <w:color w:val="000000"/>
          <w:sz w:val="22"/>
        </w:rPr>
        <w:t> </w:t>
      </w:r>
      <w:r>
        <w:rPr>
          <w:rFonts w:ascii="Times New Roman" w:hAnsi="Times New Roman"/>
          <w:b w:val="false"/>
          <w:i/>
          <w:color w:val="000000"/>
          <w:sz w:val="22"/>
        </w:rPr>
        <w:t xml:space="preserve">Posting of orders granting waivers. </w:t>
      </w:r>
      <w:r>
        <w:rPr>
          <w:rFonts w:ascii="Times New Roman" w:hAnsi="Times New Roman"/>
          <w:b w:val="false"/>
          <w:i w:val="false"/>
          <w:color w:val="000000"/>
          <w:sz w:val="22"/>
        </w:rPr>
        <w:t>The order or a copy of the order granting a waiver shall be conspicuously and permanently posted in the machine room corresponding to the conveyance. The order or a copy of the order granting a waiver that relates to a conveyance that does not have a machine room shall be posted in a protective sleeve attached to the inside of the controller cabinet door corresponding to the conveyance.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481—366.9</w:t>
      </w:r>
      <w:r>
        <w:rPr>
          <w:rFonts w:ascii="Times New Roman" w:hAnsi="Times New Roman"/>
          <w:b/>
          <w:i w:val="false"/>
          <w:color w:val="000000"/>
          <w:sz w:val="22"/>
        </w:rPr>
        <w:t xml:space="preserve">(17A,89A)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481—366.10</w:t>
      </w:r>
      <w:r>
        <w:rPr>
          <w:rFonts w:ascii="Times New Roman" w:hAnsi="Times New Roman"/>
          <w:b/>
          <w:i w:val="false"/>
          <w:color w:val="000000"/>
          <w:sz w:val="22"/>
        </w:rPr>
        <w:t xml:space="preserve">(17A,89A) </w:t>
      </w:r>
      <w:r>
        <w:rPr>
          <w:rFonts w:ascii="Times New Roman" w:hAnsi="Times New Roman"/>
          <w:b/>
          <w:i w:val="false"/>
          <w:color w:val="000000"/>
          <w:sz w:val="22"/>
        </w:rPr>
        <w:t xml:space="preserve">Summary reports. </w:t>
      </w:r>
      <w:r>
        <w:rPr>
          <w:rFonts w:ascii="Times New Roman" w:hAnsi="Times New Roman"/>
          <w:b w:val="false"/>
          <w:i w:val="false"/>
          <w:color w:val="000000"/>
          <w:sz w:val="22"/>
        </w:rPr>
        <w:t>Information about all orders granting or denying a waiver petition shall be submitted by the board staff to the legislative services agency within 60 days of granting or denying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481—366.11</w:t>
      </w:r>
      <w:r>
        <w:rPr>
          <w:rFonts w:ascii="Times New Roman" w:hAnsi="Times New Roman"/>
          <w:b/>
          <w:i w:val="false"/>
          <w:color w:val="000000"/>
          <w:sz w:val="22"/>
        </w:rPr>
        <w:t xml:space="preserve">(17A,89A)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review, the board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366.11(1)</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366.11(2)</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366.11(3)</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481—366.12</w:t>
      </w:r>
      <w:r>
        <w:rPr>
          <w:rFonts w:ascii="Times New Roman" w:hAnsi="Times New Roman"/>
          <w:b/>
          <w:i w:val="false"/>
          <w:color w:val="000000"/>
          <w:sz w:val="22"/>
        </w:rPr>
        <w:t xml:space="preserve">(17A,89A)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will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481—366.13</w:t>
      </w:r>
      <w:r>
        <w:rPr>
          <w:rFonts w:ascii="Times New Roman" w:hAnsi="Times New Roman"/>
          <w:b/>
          <w:i w:val="false"/>
          <w:color w:val="000000"/>
          <w:sz w:val="22"/>
        </w:rPr>
        <w:t xml:space="preserve">(17A,89A)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to grant or deny a waiver petition may be taken in accordance with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1/25/08, Notice 11/7/07—published 2/13/08, effective 3/19/08]</w:t>
      </w:r>
    </w:p>
    <w:p>
      <w:pPr>
        <w:spacing w:before="0" w:after="0"/>
        <w:ind w:left="120"/>
        <w:jc w:val="center"/>
      </w:pPr>
      <w:r>
        <w:rPr>
          <w:rFonts w:ascii="Times New Roman" w:hAnsi="Times New Roman"/>
          <w:b w:val="false"/>
          <w:i w:val="false"/>
          <w:color w:val="000000"/>
          <w:sz w:val="21"/>
        </w:rPr>
        <w:t>[Filed ARC 8621B</w:t>
      </w:r>
      <w:r>
        <w:rPr>
          <w:rFonts w:ascii="Times New Roman" w:hAnsi="Times New Roman"/>
          <w:b w:val="false"/>
          <w:i w:val="false"/>
          <w:color w:val="000000"/>
          <w:sz w:val="21"/>
        </w:rPr>
        <w:t xml:space="preserve"> (Notice ARC 8322B, IAB 12/2/09)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8770C</w:t>
      </w:r>
      <w:r>
        <w:rPr>
          <w:rFonts w:ascii="Times New Roman" w:hAnsi="Times New Roman"/>
          <w:b w:val="false"/>
          <w:i w:val="false"/>
          <w:color w:val="000000"/>
          <w:sz w:val="21"/>
        </w:rPr>
        <w:t xml:space="preserve"> (Notice ARC 8320C,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66.1.pdf" Type="http://schemas.openxmlformats.org/officeDocument/2006/relationships/hyperlink" Id="rId5"/>
    <Relationship TargetMode="External" Target="https://www.legis.iowa.gov/docs/ico/chapter/17A.10-18A.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89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