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365</w:t>
      </w:r>
    </w:p>
    <w:p>
      <w:pPr>
        <w:spacing w:before="0" w:after="0"/>
        <w:ind w:left="120"/>
        <w:jc w:val="center"/>
      </w:pPr>
      <w:r>
        <w:rPr>
          <w:rFonts w:ascii="Times New Roman" w:hAnsi="Times New Roman"/>
          <w:b w:val="false"/>
          <w:i w:val="false"/>
          <w:color w:val="000000"/>
          <w:sz w:val="21"/>
        </w:rPr>
        <w:t>ELEVATOR SAFETY BOARD ADMINISTRATIVE AND REGULATORY AUTHORITY</w:t>
      </w:r>
    </w:p>
    <w:p>
      <w:pPr>
        <w:spacing w:before="0" w:after="0"/>
        <w:ind w:left="120"/>
        <w:jc w:val="center"/>
      </w:pPr>
      <w:r>
        <w:rPr>
          <w:rFonts w:ascii="Times New Roman" w:hAnsi="Times New Roman"/>
          <w:b w:val="false"/>
          <w:i w:val="false"/>
          <w:color w:val="000000"/>
          <w:sz w:val="14"/>
        </w:rPr>
        <w:t>[Prior to 7/9/25, see Labor Services Division[875] Ch 65]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481—365.1</w:t>
      </w:r>
      <w:r>
        <w:rPr>
          <w:rFonts w:ascii="Times New Roman" w:hAnsi="Times New Roman"/>
          <w:b/>
          <w:i w:val="false"/>
          <w:color w:val="000000"/>
          <w:sz w:val="22"/>
        </w:rPr>
        <w:t xml:space="preserve">(89A)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this rule apply to 481—Chapters </w:t>
      </w:r>
      <w:hyperlink r:id="rId5">
        <w:r>
          <w:rPr>
            <w:rStyle w:val="Hyperlink"/>
            <w:rFonts w:ascii="Times New Roman" w:hAnsi="Times New Roman"/>
            <w:b w:val="false"/>
            <w:i w:val="false"/>
            <w:color w:val="000000"/>
            <w:sz w:val="22"/>
          </w:rPr>
          <w:t>365</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elevator safety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office” </w:t>
      </w:r>
      <w:r>
        <w:rPr>
          <w:rFonts w:ascii="Times New Roman" w:hAnsi="Times New Roman"/>
          <w:b w:val="false"/>
          <w:i w:val="false"/>
          <w:color w:val="000000"/>
          <w:sz w:val="22"/>
        </w:rPr>
        <w:t>means the offices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“Conveyance” </w:t>
      </w:r>
      <w:r>
        <w:rPr>
          <w:rFonts w:ascii="Times New Roman" w:hAnsi="Times New Roman"/>
          <w:b w:val="false"/>
          <w:i w:val="false"/>
          <w:color w:val="000000"/>
          <w:sz w:val="22"/>
        </w:rPr>
        <w:t xml:space="preserve">means an elevator, construction personnel hoist, dumbwaiter, escalator, moving walk, lift or inclined or vertical wheelchair lift subject to regulation under Iowa Code chapter </w:t>
      </w:r>
      <w:hyperlink r:id="rId7">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and includes hoistways, rails, guides, and all other related mechanical and electrical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481—365.2</w:t>
      </w:r>
      <w:r>
        <w:rPr>
          <w:rFonts w:ascii="Times New Roman" w:hAnsi="Times New Roman"/>
          <w:b/>
          <w:i w:val="false"/>
          <w:color w:val="000000"/>
          <w:sz w:val="22"/>
        </w:rPr>
        <w:t xml:space="preserve">(89A) </w:t>
      </w:r>
      <w:r>
        <w:rPr>
          <w:rFonts w:ascii="Times New Roman" w:hAnsi="Times New Roman"/>
          <w:b/>
          <w:i w:val="false"/>
          <w:color w:val="000000"/>
          <w:sz w:val="22"/>
        </w:rPr>
        <w:t xml:space="preserve">Authority of the board. </w:t>
      </w:r>
      <w:r>
        <w:rPr>
          <w:rFonts w:ascii="Times New Roman" w:hAnsi="Times New Roman"/>
          <w:b w:val="false"/>
          <w:i w:val="false"/>
          <w:color w:val="000000"/>
          <w:sz w:val="22"/>
        </w:rPr>
        <w:t>The authority and responsibilities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365.2(1)</w:t>
      </w:r>
      <w:r>
        <w:rPr>
          <w:rFonts w:ascii="Times New Roman" w:hAnsi="Times New Roman"/>
          <w:b w:val="false"/>
          <w:i w:val="false"/>
          <w:color w:val="000000"/>
          <w:sz w:val="22"/>
        </w:rPr>
        <w:t> </w:t>
      </w:r>
      <w:r>
        <w:rPr>
          <w:rFonts w:ascii="Times New Roman" w:hAnsi="Times New Roman"/>
          <w:b w:val="false"/>
          <w:i w:val="false"/>
          <w:color w:val="000000"/>
          <w:sz w:val="22"/>
        </w:rPr>
        <w:t>Adopting rules necessary to protect public health, safety and welfare and to administer the duties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365.2(2)</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inspection reports that relate to the installation, alteration, operation, and maintenance of conveyances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365.2(3)</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actions by the director to deny, suspend or revoke operating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365.2(4)</w:t>
      </w:r>
      <w:r>
        <w:rPr>
          <w:rFonts w:ascii="Times New Roman" w:hAnsi="Times New Roman"/>
          <w:b w:val="false"/>
          <w:i w:val="false"/>
          <w:color w:val="000000"/>
          <w:sz w:val="22"/>
        </w:rPr>
        <w:t> </w:t>
      </w:r>
      <w:r>
        <w:rPr>
          <w:rFonts w:ascii="Times New Roman" w:hAnsi="Times New Roman"/>
          <w:b w:val="false"/>
          <w:i w:val="false"/>
          <w:color w:val="000000"/>
          <w:sz w:val="22"/>
        </w:rPr>
        <w:t>Establishing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365.2(5)</w:t>
      </w:r>
      <w:r>
        <w:rPr>
          <w:rFonts w:ascii="Times New Roman" w:hAnsi="Times New Roman"/>
          <w:b w:val="false"/>
          <w:i w:val="false"/>
          <w:color w:val="000000"/>
          <w:sz w:val="22"/>
        </w:rPr>
        <w:t> </w:t>
      </w:r>
      <w:r>
        <w:rPr>
          <w:rFonts w:ascii="Times New Roman" w:hAnsi="Times New Roman"/>
          <w:b w:val="false"/>
          <w:i w:val="false"/>
          <w:color w:val="000000"/>
          <w:sz w:val="22"/>
        </w:rPr>
        <w:t>Establishing committees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481—365.3</w:t>
      </w:r>
      <w:r>
        <w:rPr>
          <w:rFonts w:ascii="Times New Roman" w:hAnsi="Times New Roman"/>
          <w:b/>
          <w:i w:val="false"/>
          <w:color w:val="000000"/>
          <w:sz w:val="22"/>
        </w:rPr>
        <w:t xml:space="preserve">(21,89A) </w:t>
      </w:r>
      <w:r>
        <w:rPr>
          <w:rFonts w:ascii="Times New Roman" w:hAnsi="Times New Roman"/>
          <w:b/>
          <w:i w:val="false"/>
          <w:color w:val="000000"/>
          <w:sz w:val="22"/>
        </w:rPr>
        <w:t xml:space="preserve">Board officers. </w:t>
      </w:r>
      <w:r>
        <w:rPr>
          <w:rFonts w:ascii="Times New Roman" w:hAnsi="Times New Roman"/>
          <w:b w:val="false"/>
          <w:i w:val="false"/>
          <w:color w:val="000000"/>
          <w:sz w:val="22"/>
        </w:rPr>
        <w:t>The board shall elect a chairperson, vice chairperson, and secretary from its membership at the first meeting after July 1 of each year. Neither the director nor the director’s designee may serve as chairperson. The chairperson presides at meetings, appoints members and chairpersons of committees, and performs all duties and exercises all powers of the chairperson. The vice chairperson, in the absence or incapacity of the chairperson, performs all duties and exercises all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481—365.4</w:t>
      </w:r>
      <w:r>
        <w:rPr>
          <w:rFonts w:ascii="Times New Roman" w:hAnsi="Times New Roman"/>
          <w:b/>
          <w:i w:val="false"/>
          <w:color w:val="000000"/>
          <w:sz w:val="22"/>
        </w:rPr>
        <w:t xml:space="preserve">(21,89A) </w:t>
      </w:r>
      <w:r>
        <w:rPr>
          <w:rFonts w:ascii="Times New Roman" w:hAnsi="Times New Roman"/>
          <w:b/>
          <w:i w:val="false"/>
          <w:color w:val="000000"/>
          <w:sz w:val="22"/>
        </w:rPr>
        <w:t xml:space="preserve">Public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365.4(1)</w:t>
      </w:r>
      <w:r>
        <w:rPr>
          <w:rFonts w:ascii="Times New Roman" w:hAnsi="Times New Roman"/>
          <w:b w:val="false"/>
          <w:i w:val="false"/>
          <w:color w:val="000000"/>
          <w:sz w:val="22"/>
        </w:rPr>
        <w:t> </w:t>
      </w:r>
      <w:r>
        <w:rPr>
          <w:rFonts w:ascii="Times New Roman" w:hAnsi="Times New Roman"/>
          <w:b w:val="false"/>
          <w:i w:val="false"/>
          <w:color w:val="000000"/>
          <w:sz w:val="22"/>
        </w:rPr>
        <w:t>The board shall hold at least one meeting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are governed in accordance with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conducted in accordance with Robert’s Rules of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365.4(3)</w:t>
      </w:r>
      <w:r>
        <w:rPr>
          <w:rFonts w:ascii="Times New Roman" w:hAnsi="Times New Roman"/>
          <w:b w:val="false"/>
          <w:i w:val="false"/>
          <w:color w:val="000000"/>
          <w:sz w:val="22"/>
        </w:rPr>
        <w:t> </w:t>
      </w:r>
      <w:r>
        <w:rPr>
          <w:rFonts w:ascii="Times New Roman" w:hAnsi="Times New Roman"/>
          <w:b w:val="false"/>
          <w:i w:val="false"/>
          <w:color w:val="000000"/>
          <w:sz w:val="22"/>
        </w:rPr>
        <w:t>The chairperson or the chairperson’s designee prepares the agenda listing all matters to be discussed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365.4(4)</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constitutes a quorum, and all final motions and actions must receive a majority of a quorum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365.4(5)</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the public may be present during board meetings unless the board votes to hold a closed session in accordance with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dates and locations of board meetings may be obtained from the board’s website or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365.4(6)</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public comment period, any person may speak for up to two minutes. Requests to speak for two minutes per person when a particular topic comes before the board may be granted at the discretion of the chairperson. The chairperson may limit total public comment time to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365.4(7)</w:t>
      </w:r>
      <w:r>
        <w:rPr>
          <w:rFonts w:ascii="Times New Roman" w:hAnsi="Times New Roman"/>
          <w:b w:val="false"/>
          <w:i w:val="false"/>
          <w:color w:val="000000"/>
          <w:sz w:val="22"/>
        </w:rPr>
        <w:t> </w:t>
      </w:r>
      <w:r>
        <w:rPr>
          <w:rFonts w:ascii="Times New Roman" w:hAnsi="Times New Roman"/>
          <w:b w:val="false"/>
          <w:i w:val="false"/>
          <w:color w:val="000000"/>
          <w:sz w:val="22"/>
        </w:rPr>
        <w:t>The person presiding at a meeting of the board may exclude a person from an open meeting for behavior that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365.4(8)</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may be used at open meetings provided the cameras and recording devices do not obstruct the meeting. If the user of a camera or recording device obstructs the meeting by the use of such device, the person presiding at the meeting may request the user to discontinue use of the camera or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481—365.5</w:t>
      </w:r>
      <w:r>
        <w:rPr>
          <w:rFonts w:ascii="Times New Roman" w:hAnsi="Times New Roman"/>
          <w:b/>
          <w:i w:val="false"/>
          <w:color w:val="000000"/>
          <w:sz w:val="22"/>
        </w:rPr>
        <w:t xml:space="preserve">(89A) </w:t>
      </w:r>
      <w:r>
        <w:rPr>
          <w:rFonts w:ascii="Times New Roman" w:hAnsi="Times New Roman"/>
          <w:b/>
          <w:i w:val="false"/>
          <w:color w:val="000000"/>
          <w:sz w:val="22"/>
        </w:rPr>
        <w:t xml:space="preserve">Official communications. </w:t>
      </w:r>
      <w:r>
        <w:rPr>
          <w:rFonts w:ascii="Times New Roman" w:hAnsi="Times New Roman"/>
          <w:b w:val="false"/>
          <w:i w:val="false"/>
          <w:color w:val="000000"/>
          <w:sz w:val="22"/>
        </w:rPr>
        <w:t>All official communications, including submissions and requests, are to be addressed to the Elevator Safety Board, Department of Inspections, Appeals, and Licensing,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ARC 8621B</w:t>
      </w:r>
      <w:r>
        <w:rPr>
          <w:rFonts w:ascii="Times New Roman" w:hAnsi="Times New Roman"/>
          <w:b w:val="false"/>
          <w:i w:val="false"/>
          <w:color w:val="000000"/>
          <w:sz w:val="21"/>
        </w:rPr>
        <w:t xml:space="preserve"> (Notice ARC 8322B, IAB 12/2/09)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8771C</w:t>
      </w:r>
      <w:r>
        <w:rPr>
          <w:rFonts w:ascii="Times New Roman" w:hAnsi="Times New Roman"/>
          <w:b w:val="false"/>
          <w:i w:val="false"/>
          <w:color w:val="000000"/>
          <w:sz w:val="21"/>
        </w:rPr>
        <w:t xml:space="preserve"> (Notice ARC 8319C,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65.pdf" Type="http://schemas.openxmlformats.org/officeDocument/2006/relationships/hyperlink" Id="rId5"/>
    <Relationship TargetMode="External" Target="https://www.legis.iowa.gov/docs/iac/chapter/481.373.pdf" Type="http://schemas.openxmlformats.org/officeDocument/2006/relationships/hyperlink" Id="rId6"/>
    <Relationship TargetMode="External" Target="https://www.legis.iowa.gov/docs/ico/chapter/89A.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1.pdf" Type="http://schemas.openxmlformats.org/officeDocument/2006/relationships/hyperlink" Id="rId10"/>
    <Relationship TargetMode="External" Target="https://www.legis.iowa.gov/docs/ico/chapter/89A.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