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225</w:t>
      </w:r>
    </w:p>
    <w:p>
      <w:pPr>
        <w:spacing w:before="0" w:after="0"/>
        <w:ind w:left="120"/>
        <w:jc w:val="center"/>
      </w:pPr>
      <w:r>
        <w:rPr>
          <w:rFonts w:ascii="Times New Roman" w:hAnsi="Times New Roman"/>
          <w:b w:val="false"/>
          <w:i w:val="false"/>
          <w:color w:val="000000"/>
          <w:sz w:val="21"/>
        </w:rPr>
        <w:t>WAGE CLAIMS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35]</w:t>
      </w:r>
    </w:p>
    <w:p>
      <w:pPr>
        <w:spacing w:before="0" w:after="0"/>
        <w:ind w:left="120"/>
        <w:jc w:val="center"/>
      </w:pPr>
      <w:r>
        <w:rPr>
          <w:rFonts w:ascii="Times New Roman" w:hAnsi="Times New Roman"/>
          <w:b w:val="false"/>
          <w:i w:val="false"/>
          <w:color w:val="000000"/>
          <w:sz w:val="14"/>
        </w:rPr>
        <w:t>[Prior to 7/9/25, see Labor Services Division[875] Ch 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481—225.1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employee who has submitted a wage claim form to the labor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includes a former employee and does not include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“Enforceable” </w:t>
      </w:r>
      <w:r>
        <w:rPr>
          <w:rFonts w:ascii="Times New Roman" w:hAnsi="Times New Roman"/>
          <w:b w:val="false"/>
          <w:i w:val="false"/>
          <w:color w:val="000000"/>
          <w:sz w:val="22"/>
        </w:rPr>
        <w:t>means eligible for the enforcement actions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action” </w:t>
      </w:r>
      <w:r>
        <w:rPr>
          <w:rFonts w:ascii="Times New Roman" w:hAnsi="Times New Roman"/>
          <w:b w:val="false"/>
          <w:i w:val="false"/>
          <w:color w:val="000000"/>
          <w:sz w:val="22"/>
        </w:rPr>
        <w:t>means filing in a court of competent jurisdiction and subsequent activity pursuant to that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means a document of the director that requests information pertinent to unpaid wages that an employee submits to the director to commence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481—225.2</w:t>
      </w:r>
      <w:r>
        <w:rPr>
          <w:rFonts w:ascii="Times New Roman" w:hAnsi="Times New Roman"/>
          <w:b/>
          <w:i w:val="false"/>
          <w:color w:val="000000"/>
          <w:sz w:val="22"/>
        </w:rPr>
        <w:t xml:space="preserve">(91A) </w:t>
      </w:r>
      <w:r>
        <w:rPr>
          <w:rFonts w:ascii="Times New Roman" w:hAnsi="Times New Roman"/>
          <w:b/>
          <w:i w:val="false"/>
          <w:color w:val="000000"/>
          <w:sz w:val="22"/>
        </w:rPr>
        <w:t xml:space="preserve">Right of private action. </w:t>
      </w:r>
      <w:r>
        <w:rPr>
          <w:rFonts w:ascii="Times New Roman" w:hAnsi="Times New Roman"/>
          <w:b w:val="false"/>
          <w:i w:val="false"/>
          <w:color w:val="000000"/>
          <w:sz w:val="22"/>
        </w:rPr>
        <w:t>If a claimant wishes to pursue a private action after assigning a wage claim to the director, the claimant shall so notify the director in writing prior to commencing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481—225.3</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a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225.3(1)</w:t>
      </w: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An aggrieved employee shall supply such information as required by the director to commence the investigation of a claim. The claimant shall certify by signature that such information is true to the best of the claimant’s knowledge and belief. A claim for wages may be sent to the director by mail, facsimile,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claim. </w:t>
      </w:r>
      <w:r>
        <w:rPr>
          <w:rFonts w:ascii="Times New Roman" w:hAnsi="Times New Roman"/>
          <w:b w:val="false"/>
          <w:i w:val="false"/>
          <w:color w:val="000000"/>
          <w:sz w:val="22"/>
        </w:rPr>
        <w:t>By submitting a wage claim form to the director, a claimant assigns the claim to the director contingent on the director’s determination that the claim is enforceable. A claimant may terminate the assignment by so notifying the director in writing. The director may terminate the assignment upon a determination that the claim is not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225.3(3)</w:t>
      </w:r>
      <w:r>
        <w:rPr>
          <w:rFonts w:ascii="Times New Roman" w:hAnsi="Times New Roman"/>
          <w:b w:val="false"/>
          <w:i w:val="false"/>
          <w:color w:val="000000"/>
          <w:sz w:val="22"/>
        </w:rPr>
        <w:t> </w:t>
      </w:r>
      <w:r>
        <w:rPr>
          <w:rFonts w:ascii="Times New Roman" w:hAnsi="Times New Roman"/>
          <w:b w:val="false"/>
          <w:i/>
          <w:color w:val="000000"/>
          <w:sz w:val="22"/>
        </w:rPr>
        <w:t xml:space="preserve">Denial of claim. </w:t>
      </w:r>
      <w:r>
        <w:rPr>
          <w:rFonts w:ascii="Times New Roman" w:hAnsi="Times New Roman"/>
          <w:b w:val="false"/>
          <w:i w:val="false"/>
          <w:color w:val="000000"/>
          <w:sz w:val="22"/>
        </w:rPr>
        <w:t>The director may deny claims within 14 days of receipt. Reasons for denying a claim without further investigation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is received by the director more than one year after the date the wages became due and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must be heard in another forum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claimant has begun a legal proceeding on the claim or has legal representation to pursue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claim has been discharged in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481—225.4</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225.4(1)</w:t>
      </w:r>
      <w:r>
        <w:rPr>
          <w:rFonts w:ascii="Times New Roman" w:hAnsi="Times New Roman"/>
          <w:b w:val="false"/>
          <w:i w:val="false"/>
          <w:color w:val="000000"/>
          <w:sz w:val="22"/>
        </w:rPr>
        <w:t> </w:t>
      </w:r>
      <w:r>
        <w:rPr>
          <w:rFonts w:ascii="Times New Roman" w:hAnsi="Times New Roman"/>
          <w:b w:val="false"/>
          <w:i/>
          <w:color w:val="000000"/>
          <w:sz w:val="22"/>
        </w:rPr>
        <w:t xml:space="preserve">Receipt of wage claim form. </w:t>
      </w:r>
      <w:r>
        <w:rPr>
          <w:rFonts w:ascii="Times New Roman" w:hAnsi="Times New Roman"/>
          <w:b w:val="false"/>
          <w:i w:val="false"/>
          <w:color w:val="000000"/>
          <w:sz w:val="22"/>
        </w:rPr>
        <w:t xml:space="preserve">Upon receipt by the director of a completed and signed wage claim form, the director will review the claim. The director’s review is not a contested case as defined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225.4(2)</w:t>
      </w:r>
      <w:r>
        <w:rPr>
          <w:rFonts w:ascii="Times New Roman" w:hAnsi="Times New Roman"/>
          <w:b w:val="false"/>
          <w:i w:val="false"/>
          <w:color w:val="000000"/>
          <w:sz w:val="22"/>
        </w:rPr>
        <w:t> </w:t>
      </w:r>
      <w:r>
        <w:rPr>
          <w:rFonts w:ascii="Times New Roman" w:hAnsi="Times New Roman"/>
          <w:b w:val="false"/>
          <w:i/>
          <w:color w:val="000000"/>
          <w:sz w:val="22"/>
        </w:rPr>
        <w:t xml:space="preserve">Employer notification of wage claim. </w:t>
      </w:r>
      <w:r>
        <w:rPr>
          <w:rFonts w:ascii="Times New Roman" w:hAnsi="Times New Roman"/>
          <w:b w:val="false"/>
          <w:i w:val="false"/>
          <w:color w:val="000000"/>
          <w:sz w:val="22"/>
        </w:rPr>
        <w:t>The director will notify the employer in writing of the allegations of the claimant and request a response from the employer within 14 days from the date of the letter. This period may be extended by the director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225.4(3)</w:t>
      </w:r>
      <w:r>
        <w:rPr>
          <w:rFonts w:ascii="Times New Roman" w:hAnsi="Times New Roman"/>
          <w:b w:val="false"/>
          <w:i w:val="false"/>
          <w:color w:val="000000"/>
          <w:sz w:val="22"/>
        </w:rPr>
        <w:t> </w:t>
      </w:r>
      <w:r>
        <w:rPr>
          <w:rFonts w:ascii="Times New Roman" w:hAnsi="Times New Roman"/>
          <w:b w:val="false"/>
          <w:i/>
          <w:color w:val="000000"/>
          <w:sz w:val="22"/>
        </w:rPr>
        <w:t xml:space="preserve">Failure of employer to respond. </w:t>
      </w:r>
      <w:r>
        <w:rPr>
          <w:rFonts w:ascii="Times New Roman" w:hAnsi="Times New Roman"/>
          <w:b w:val="false"/>
          <w:i w:val="false"/>
          <w:color w:val="000000"/>
          <w:sz w:val="22"/>
        </w:rPr>
        <w:t>If the employer fails to answer the director’s request for response within the 14-day period, or as extended by the director, the director may determine the claim to be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claimant. </w:t>
      </w:r>
      <w:r>
        <w:rPr>
          <w:rFonts w:ascii="Times New Roman" w:hAnsi="Times New Roman"/>
          <w:b w:val="false"/>
          <w:i w:val="false"/>
          <w:color w:val="000000"/>
          <w:sz w:val="22"/>
        </w:rPr>
        <w:t>If the employer answers the director’s request for response within the established time, the director may notify the claimant of the employer’s response and afford the claimant an opportunity to present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225.4(5)</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employer. </w:t>
      </w:r>
      <w:r>
        <w:rPr>
          <w:rFonts w:ascii="Times New Roman" w:hAnsi="Times New Roman"/>
          <w:b w:val="false"/>
          <w:i w:val="false"/>
          <w:color w:val="000000"/>
          <w:sz w:val="22"/>
        </w:rPr>
        <w:t>Upon receipt of the requested additional information from the employee, the director may determine additional information is required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enforceability. </w:t>
      </w:r>
      <w:r>
        <w:rPr>
          <w:rFonts w:ascii="Times New Roman" w:hAnsi="Times New Roman"/>
          <w:b w:val="false"/>
          <w:i w:val="false"/>
          <w:color w:val="000000"/>
          <w:sz w:val="22"/>
        </w:rPr>
        <w:t>Upon receipt of sufficient information, the director may determine the claim for wages to be enforceable and notify the claimant and the employer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unenforceability. </w:t>
      </w:r>
      <w:r>
        <w:rPr>
          <w:rFonts w:ascii="Times New Roman" w:hAnsi="Times New Roman"/>
          <w:b w:val="false"/>
          <w:i w:val="false"/>
          <w:color w:val="000000"/>
          <w:sz w:val="22"/>
        </w:rPr>
        <w:t>The director may, at any time, determine a claim to be unenforceable. Should the director determine the claim is unenforceable, the director shall so notify the claimant. Reasons for the director to determine that a claim is unenforceable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Doubtful legal validity or complexity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Doubtful ability to collect money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 may require extensive discovery or involve protracted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potential value of the claim is such that the cost of the claimant’s obtaining legal counsel for a private action would not be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claimant is not responsive to the reasonable requests of the director, including but not limited to requests to provide information and to participate in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claimant fails to notify the director of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inequity of the claim in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Another jurisdiction or forum is preferable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substantial probability that the claimant was not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claim has been included in a bankruptcy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225.4(8)</w:t>
      </w:r>
      <w:r>
        <w:rPr>
          <w:rFonts w:ascii="Times New Roman" w:hAnsi="Times New Roman"/>
          <w:b w:val="false"/>
          <w:i w:val="false"/>
          <w:color w:val="000000"/>
          <w:sz w:val="22"/>
        </w:rPr>
        <w:t> </w:t>
      </w:r>
      <w:r>
        <w:rPr>
          <w:rFonts w:ascii="Times New Roman" w:hAnsi="Times New Roman"/>
          <w:b w:val="false"/>
          <w:i/>
          <w:color w:val="000000"/>
          <w:sz w:val="22"/>
        </w:rPr>
        <w:t xml:space="preserve">Settlement of claim. </w:t>
      </w:r>
      <w:r>
        <w:rPr>
          <w:rFonts w:ascii="Times New Roman" w:hAnsi="Times New Roman"/>
          <w:b w:val="false"/>
          <w:i w:val="false"/>
          <w:color w:val="000000"/>
          <w:sz w:val="22"/>
        </w:rPr>
        <w:t>The director may settle a claim at any time with the consent of the claimant. Such consent may be included on the wage claim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481—225.5</w:t>
      </w:r>
      <w:r>
        <w:rPr>
          <w:rFonts w:ascii="Times New Roman" w:hAnsi="Times New Roman"/>
          <w:b/>
          <w:i w:val="false"/>
          <w:color w:val="000000"/>
          <w:sz w:val="22"/>
        </w:rPr>
        <w:t xml:space="preserve">(91A) </w:t>
      </w:r>
      <w:r>
        <w:rPr>
          <w:rFonts w:ascii="Times New Roman" w:hAnsi="Times New Roman"/>
          <w:b/>
          <w:i w:val="false"/>
          <w:color w:val="000000"/>
          <w:sz w:val="22"/>
        </w:rPr>
        <w:t xml:space="preserve">Legal action on wage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225.5(1)</w:t>
      </w:r>
      <w:r>
        <w:rPr>
          <w:rFonts w:ascii="Times New Roman" w:hAnsi="Times New Roman"/>
          <w:b w:val="false"/>
          <w:i w:val="false"/>
          <w:color w:val="000000"/>
          <w:sz w:val="22"/>
        </w:rPr>
        <w:t> </w:t>
      </w:r>
      <w:r>
        <w:rPr>
          <w:rFonts w:ascii="Times New Roman" w:hAnsi="Times New Roman"/>
          <w:b w:val="false"/>
          <w:i/>
          <w:color w:val="000000"/>
          <w:sz w:val="22"/>
        </w:rPr>
        <w:t xml:space="preserve">Settlement opportunity. </w:t>
      </w:r>
      <w:r>
        <w:rPr>
          <w:rFonts w:ascii="Times New Roman" w:hAnsi="Times New Roman"/>
          <w:b w:val="false"/>
          <w:i w:val="false"/>
          <w:color w:val="000000"/>
          <w:sz w:val="22"/>
        </w:rPr>
        <w:t>The director will, in writing, afford the employer an opportunity to tender settlement 14 days prior to commencing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225.5(2)</w:t>
      </w:r>
      <w:r>
        <w:rPr>
          <w:rFonts w:ascii="Times New Roman" w:hAnsi="Times New Roman"/>
          <w:b w:val="false"/>
          <w:i w:val="false"/>
          <w:color w:val="000000"/>
          <w:sz w:val="22"/>
        </w:rPr>
        <w:t> </w:t>
      </w:r>
      <w:r>
        <w:rPr>
          <w:rFonts w:ascii="Times New Roman" w:hAnsi="Times New Roman"/>
          <w:b w:val="false"/>
          <w:i/>
          <w:color w:val="000000"/>
          <w:sz w:val="22"/>
        </w:rPr>
        <w:t xml:space="preserve">Counterclaims. </w:t>
      </w:r>
      <w:r>
        <w:rPr>
          <w:rFonts w:ascii="Times New Roman" w:hAnsi="Times New Roman"/>
          <w:b w:val="false"/>
          <w:i w:val="false"/>
          <w:color w:val="000000"/>
          <w:sz w:val="22"/>
        </w:rPr>
        <w:t>The director will not represent claimants on counterclaims or other legal actions brought by employers against claimants.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225.5(3)</w:t>
      </w:r>
      <w:r>
        <w:rPr>
          <w:rFonts w:ascii="Times New Roman" w:hAnsi="Times New Roman"/>
          <w:b w:val="false"/>
          <w:i w:val="false"/>
          <w:color w:val="000000"/>
          <w:sz w:val="22"/>
        </w:rPr>
        <w:t> </w:t>
      </w:r>
      <w:r>
        <w:rPr>
          <w:rFonts w:ascii="Times New Roman" w:hAnsi="Times New Roman"/>
          <w:b w:val="false"/>
          <w:i/>
          <w:color w:val="000000"/>
          <w:sz w:val="22"/>
        </w:rPr>
        <w:t xml:space="preserve">Claimant participation. </w:t>
      </w:r>
      <w:r>
        <w:rPr>
          <w:rFonts w:ascii="Times New Roman" w:hAnsi="Times New Roman"/>
          <w:b w:val="false"/>
          <w:i w:val="false"/>
          <w:color w:val="000000"/>
          <w:sz w:val="22"/>
        </w:rPr>
        <w:t>The director may require the claimant to attend hearings and otherwise assist in the legal action as a condition of enforcing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8746C</w:t>
      </w:r>
      <w:r>
        <w:rPr>
          <w:rFonts w:ascii="Times New Roman" w:hAnsi="Times New Roman"/>
          <w:b w:val="false"/>
          <w:i w:val="false"/>
          <w:color w:val="000000"/>
          <w:sz w:val="21"/>
        </w:rPr>
        <w:t xml:space="preserve"> (Notice ARC 8264C,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91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