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2061</w:t>
      </w:r>
    </w:p>
    <w:p>
      <w:pPr>
        <w:spacing w:before="0" w:after="0"/>
        <w:ind w:left="120"/>
        <w:jc w:val="center"/>
      </w:pPr>
      <w:r>
        <w:rPr>
          <w:rFonts w:ascii="Times New Roman" w:hAnsi="Times New Roman"/>
          <w:b w:val="false"/>
          <w:i w:val="false"/>
          <w:color w:val="000000"/>
          <w:sz w:val="21"/>
        </w:rPr>
        <w:t>CONTINUING EDUCATION FOR HEARING AID SPECIALISTS</w:t>
      </w:r>
    </w:p>
    <w:p>
      <w:pPr>
        <w:spacing w:before="0" w:after="0"/>
        <w:ind w:left="120"/>
        <w:jc w:val="center"/>
      </w:pPr>
      <w:r>
        <w:rPr>
          <w:rFonts w:ascii="Times New Roman" w:hAnsi="Times New Roman"/>
          <w:b w:val="false"/>
          <w:i w:val="false"/>
          <w:color w:val="000000"/>
          <w:sz w:val="14"/>
        </w:rPr>
        <w:t>[Prior to 10/30/24, see Professional Licensure Division[645] Ch 122]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481—2061.1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state to a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hearing aid specialist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481—2061.2</w:t>
      </w:r>
      <w:r>
        <w:rPr>
          <w:rFonts w:ascii="Times New Roman" w:hAnsi="Times New Roman"/>
          <w:b/>
          <w:i w:val="false"/>
          <w:color w:val="000000"/>
          <w:sz w:val="22"/>
        </w:rPr>
        <w:t xml:space="preserve">(154A)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January 1 of each odd-numbered year and ending on December 31 of the next even-numbered year. Each biennium, each person who is licensed to practice as a hearing aid specialist in this state is required to complete a minimum of 24 hours of continuing education. A minimum of two hours will be in the content areas of Iowa hearing aid specialist law and rules, or ethics. Licensees who complete continuing education hours in excess of the requirements for renewal may apply up to 50 percent of the required hours to the following renewal period. Licensees may apply a maximum of 12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2061.2(2)</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licensed for the first time shall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 xml:space="preserve">; </w:t>
      </w:r>
      <w:r>
        <w:rPr>
          <w:rFonts w:ascii="Times New Roman" w:hAnsi="Times New Roman"/>
          <w:b/>
          <w:i w:val="false"/>
          <w:color w:val="000000"/>
          <w:sz w:val="16"/>
        </w:rPr>
        <w:t>ARC 9286C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481—2061.3</w:t>
      </w:r>
      <w:r>
        <w:rPr>
          <w:rFonts w:ascii="Times New Roman" w:hAnsi="Times New Roman"/>
          <w:b/>
          <w:i w:val="false"/>
          <w:color w:val="000000"/>
          <w:sz w:val="22"/>
        </w:rPr>
        <w:t xml:space="preserve">(154A,272C)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conducted by individuals who have specialized education, training and experience in the subject matter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place,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may be obtained by completing the following in person or virtually: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coursework if the coursework is offered by an accredited postsecondary educational institution. The maximum number of continuing education hours of credit for academic coursework per biennium is 15 hours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1 academic semester hour = 15 continuing education hours; and 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maximum of four hours of credit may be obtained by independent study. Independent study hours are subject to the requirements stated in the rules in this chapter and in 481—Chapter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Attending programs or conferences or business, technical, or professional seminars that enhance a licensee’s ability to provide quality hearing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as specified in 481—subrule 2060.9(4). Hours reported for credit shall not exceed the hours required for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8/18/00, Notice 5/17/00—published 9/6/00, effective 10/11/00]</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7818C</w:t>
      </w:r>
      <w:r>
        <w:rPr>
          <w:rFonts w:ascii="Times New Roman" w:hAnsi="Times New Roman"/>
          <w:b w:val="false"/>
          <w:i w:val="false"/>
          <w:color w:val="000000"/>
          <w:sz w:val="21"/>
        </w:rPr>
        <w:t xml:space="preserve"> (Notice ARC 7484C,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spacing w:before="0" w:after="0"/>
        <w:ind w:left="120"/>
        <w:jc w:val="center"/>
      </w:pPr>
      <w:r>
        <w:rPr>
          <w:rFonts w:ascii="Times New Roman" w:hAnsi="Times New Roman"/>
          <w:b w:val="false"/>
          <w:i w:val="false"/>
          <w:color w:val="000000"/>
          <w:sz w:val="21"/>
        </w:rPr>
        <w:t>[Filed ARC 9286C</w:t>
      </w:r>
      <w:r>
        <w:rPr>
          <w:rFonts w:ascii="Times New Roman" w:hAnsi="Times New Roman"/>
          <w:b w:val="false"/>
          <w:i w:val="false"/>
          <w:color w:val="000000"/>
          <w:sz w:val="21"/>
        </w:rPr>
        <w:t xml:space="preserve"> (Notice ARC 8975C, IAB 3/5/25)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54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