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BINGO</w:t>
      </w:r>
    </w:p>
    <w:p>
      <w:pPr>
        <w:spacing w:before="0" w:after="0"/>
        <w:ind w:left="120"/>
        <w:jc w:val="center"/>
      </w:pPr>
      <w:r>
        <w:rPr>
          <w:rFonts w:ascii="Times New Roman" w:hAnsi="Times New Roman"/>
          <w:b w:val="false"/>
          <w:i w:val="false"/>
          <w:color w:val="000000"/>
          <w:sz w:val="14"/>
        </w:rPr>
        <w:t>[Prior to 12/17/86, Revenue Department[730], Ch 94]</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23]</w:t>
      </w:r>
    </w:p>
    <w:p>
      <w:pPr>
        <w:spacing w:before="0" w:after="0"/>
        <w:ind w:left="120"/>
        <w:jc w:val="center"/>
      </w:pPr>
      <w:r>
        <w:rPr>
          <w:rFonts w:ascii="Times New Roman" w:hAnsi="Times New Roman"/>
          <w:b w:val="false"/>
          <w:i w:val="false"/>
          <w:color w:val="000000"/>
          <w:sz w:val="14"/>
        </w:rPr>
        <w:t>[Prior to 9/5/90, this chapter was entitled “Qualified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481—103.1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in rule </w:t>
      </w:r>
      <w:hyperlink r:id="rId6">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(99B), the following definitions apply to all qualified organizations where bingo is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means any legal tender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means the name given to a particular type of playing face to distinguish one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“Playing face” </w:t>
      </w:r>
      <w:r>
        <w:rPr>
          <w:rFonts w:ascii="Times New Roman" w:hAnsi="Times New Roman"/>
          <w:b w:val="false"/>
          <w:i w:val="false"/>
          <w:color w:val="000000"/>
          <w:sz w:val="22"/>
        </w:rPr>
        <w:t>means the grid on which a player marks numbers and letters called as the game progresses.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required to conduct a bingo occasion unless the requirements of Iowa Code section </w:t>
      </w:r>
      <w:hyperlink r:id="rId7">
        <w:r>
          <w:rPr>
            <w:rStyle w:val="Hyperlink"/>
            <w:rFonts w:ascii="Times New Roman" w:hAnsi="Times New Roman"/>
            <w:b w:val="false"/>
            <w:i w:val="false"/>
            <w:color w:val="000000"/>
            <w:sz w:val="22"/>
          </w:rPr>
          <w:t>99B.23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Bingo occasions are restricted to the location for which application is made by the qualified organization and approved by the department. For good cause, a license may be transferred to a different location after written notice by the licensee and approval by the department. “Good cause,” for purposes of this subrule, may include flood, fire or other natural disasters; sale of the building; or nonrenewal of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organization may conduct bingo, a license application must be approved by the department. Application and license requirements are found in rules </w:t>
      </w:r>
      <w:hyperlink r:id="rId8">
        <w:r>
          <w:rPr>
            <w:rStyle w:val="Hyperlink"/>
            <w:rFonts w:ascii="Times New Roman" w:hAnsi="Times New Roman"/>
            <w:b w:val="false"/>
            <w:i w:val="false"/>
            <w:color w:val="000000"/>
            <w:sz w:val="22"/>
          </w:rPr>
          <w:t>481—100.3(99B)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481—100.4(99B)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481—100.5(99B)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occasions may be held as frequently as set forth in Iowa Code section </w:t>
      </w:r>
      <w:hyperlink r:id="rId11">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A week starts on Sunday and ends on Saturday. At the end of each occasion, the person conducting the games shall announce both the gross receipts and the use to which the net receipts will be dedicated and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481—103.4</w:t>
      </w:r>
      <w:r>
        <w:rPr>
          <w:rFonts w:ascii="Times New Roman" w:hAnsi="Times New Roman"/>
          <w:b/>
          <w:i w:val="false"/>
          <w:color w:val="000000"/>
          <w:sz w:val="22"/>
        </w:rPr>
        <w:t xml:space="preserve">(99B) </w:t>
      </w:r>
      <w:r>
        <w:rPr>
          <w:rFonts w:ascii="Times New Roman" w:hAnsi="Times New Roman"/>
          <w:b/>
          <w:i w:val="false"/>
          <w:color w:val="000000"/>
          <w:sz w:val="22"/>
        </w:rPr>
        <w:t xml:space="preserve">Game of bingo. </w:t>
      </w:r>
      <w:r>
        <w:rPr>
          <w:rFonts w:ascii="Times New Roman" w:hAnsi="Times New Roman"/>
          <w:b w:val="false"/>
          <w:i w:val="false"/>
          <w:color w:val="000000"/>
          <w:sz w:val="22"/>
        </w:rPr>
        <w:t xml:space="preserve">Each game shall meet the requirements of “bingo” as defined in Iowa Code section </w:t>
      </w:r>
      <w:hyperlink r:id="rId1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to be a legal game of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A fair and legal game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concealed numbers on a playing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an announcer or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Numbers will be announced so all players can hear clearly.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free space or spaces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caller selects and announces the numbers. If a caller miscalls a number or misreads a ball, only the number on the ball may be used. Miscalled numbers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may require that a player have the last number called for a bingo if posted in the rules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game ends when it is determined that a player has covered the announced pattern of spaces. The caller or another worker verifies the numbers on winning cards. The caller checks for additional bingos and officially closes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numbers are allowed if chosen using a random selection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Any player may request that balls drawn and not drawn be inventoried when the winning card or cards are verified in the presence of the responsible party or the responsible party’s designee and the caller. The player who requested verification may observe the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cost to play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each game will not exceed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Cards or games may only be sold within the premises of the bingo occasion and will have a posted price;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each packet, playing face, or tear sheet will be the same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in a form provided in Iowa Code section </w:t>
      </w:r>
      <w:hyperlink r:id="rId13">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Free games will not be given, including gift cards redeemable for games. Free concession items, such as food, beverages or daubers,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Cards for each category shall be distinctly marked and easy to distinguish from 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Bingo games or cards may only be printed on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game, the bingo operator must ensure that duplicate playing faces are not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w:t>
      </w:r>
      <w:r>
        <w:rPr>
          <w:rFonts w:ascii="Times New Roman" w:hAnsi="Times New Roman"/>
          <w:b/>
          <w:i w:val="false"/>
          <w:color w:val="000000"/>
          <w:sz w:val="22"/>
        </w:rPr>
        <w:t xml:space="preserve">(99B) </w:t>
      </w:r>
      <w:r>
        <w:rPr>
          <w:rFonts w:ascii="Times New Roman" w:hAnsi="Times New Roman"/>
          <w:b/>
          <w:i w:val="false"/>
          <w:color w:val="000000"/>
          <w:sz w:val="22"/>
        </w:rPr>
        <w:t xml:space="preserve">State rules and rules established by the licensee. </w:t>
      </w:r>
      <w:r>
        <w:rPr>
          <w:rFonts w:ascii="Times New Roman" w:hAnsi="Times New Roman"/>
          <w:b w:val="false"/>
          <w:i w:val="false"/>
          <w:color w:val="000000"/>
          <w:sz w:val="22"/>
        </w:rPr>
        <w:t>This chapter and house rules established by the licensee must be readily available to every bingo player during every bingo occasion, with rules established by the licensee posted on a sign near the front of the playing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Posted rules shall be in large, easily readable print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indicate “bingo” to halt the game and collect a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Rules related to reserved seating and age restrictions for children to play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posted before the beginning of each bingo occasion and not be changed after the bingo occasion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each game to be played, including an example of the winning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Prize for each game or method for determining the prize for each game;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Jackpot rules if jackpot games will be played.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Cash and merchandise prizes are subject to the limits set forth in Iowa Code section </w:t>
      </w:r>
      <w:hyperlink r:id="rId14">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The exact amount of the prize shall be announced before the beginning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 xml:space="preserve">Prizes shall be recorded each occasion on the daily bingo summary (Table A—end of this chapter) as they are paid by listing the number of the game; the winning pattern; the type, color, and series of cards used in the game; the amount of the prize; and the name, address, and social security number of each winner of any prize over $600. Cash prizes over $600 require the deduction of 5 percent withholding taxes as set forth in Iowa Code section </w:t>
      </w:r>
      <w:hyperlink r:id="rId15">
        <w:r>
          <w:rPr>
            <w:rStyle w:val="Hyperlink"/>
            <w:rFonts w:ascii="Times New Roman" w:hAnsi="Times New Roman"/>
            <w:b w:val="false"/>
            <w:i w:val="false"/>
            <w:color w:val="000000"/>
            <w:sz w:val="22"/>
          </w:rPr>
          <w:t>99B.8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prizes awarded in games with more than one winner shall be shared equally.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permissible to round up or down, provided doing so does not exceed the maximum payout for that particular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prizes awarded in games with more than one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winners with a total of three bingos: Player 1 has two bingos in separate squares, and Player 2 has one bingo in one square. Player 1 receives two-thirds of the prize, and Player 2 receives one-third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winners equally splitting a prize with rounding to the nearest dollar: Six players all win the single $250 prize. The appropriate payout is $41.66 each, but rounding to the nearest dollar ($42) for each winner would result in a payout of $252, in violation of the maximum payout for a nonjackpot bingo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qualified organization shall have rules governing how a merchandise prize is awarded when there is more than one winner, posted in accordance with rule </w:t>
      </w:r>
      <w:hyperlink r:id="rId16">
        <w:r>
          <w:rPr>
            <w:rStyle w:val="Hyperlink"/>
            <w:rFonts w:ascii="Times New Roman" w:hAnsi="Times New Roman"/>
            <w:b w:val="false"/>
            <w:i w:val="false"/>
            <w:color w:val="000000"/>
            <w:sz w:val="22"/>
          </w:rPr>
          <w:t>481—103.5</w:t>
        </w:r>
      </w:hyperlink>
      <w:r>
        <w:rPr>
          <w:rFonts w:ascii="Times New Roman" w:hAnsi="Times New Roman"/>
          <w:b w:val="false"/>
          <w:i w:val="false"/>
          <w:color w:val="000000"/>
          <w:sz w:val="22"/>
        </w:rPr>
        <w:t>(99B). The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Split the cash equivalent of the merchandise prize equally among the winners so long as the retail value of the merchandise prize is $250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substitute merchandise prize with an aggregate retail value approximately equal to that of the designated prize so long as the aggregate retail value of all prizes is $950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continuous or separate playoff bingo game consisting of only the winning players.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An animal shall not be awarded as a prize for persons participating in a game or fair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A player shall not be required to return cash or a merchandise prize won in one game in order to play a subsequent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103.6(6)</w:t>
      </w:r>
      <w:r>
        <w:rPr>
          <w:rFonts w:ascii="Times New Roman" w:hAnsi="Times New Roman"/>
          <w:b w:val="false"/>
          <w:i w:val="false"/>
          <w:color w:val="000000"/>
          <w:sz w:val="22"/>
        </w:rPr>
        <w:t> </w:t>
      </w:r>
      <w:r>
        <w:rPr>
          <w:rFonts w:ascii="Times New Roman" w:hAnsi="Times New Roman"/>
          <w:b w:val="false"/>
          <w:i w:val="false"/>
          <w:color w:val="000000"/>
          <w:sz w:val="22"/>
        </w:rPr>
        <w:t xml:space="preserve">Jackpot games shall be conducted in accordance with Iowa Code section </w:t>
      </w:r>
      <w:hyperlink r:id="rId17">
        <w:r>
          <w:rPr>
            <w:rStyle w:val="Hyperlink"/>
            <w:rFonts w:ascii="Times New Roman" w:hAnsi="Times New Roman"/>
            <w:b w:val="false"/>
            <w:i w:val="false"/>
            <w:color w:val="000000"/>
            <w:sz w:val="22"/>
          </w:rPr>
          <w:t>99B.21(2)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jackpot prize will not decrease until it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jackpot game is not won in accordance with the rules for the jackpot game, the game may transition to a consolation game with a prize of $250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717D.2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w:t>
      </w:r>
      <w:r>
        <w:rPr>
          <w:rFonts w:ascii="Times New Roman" w:hAnsi="Times New Roman"/>
          <w:b/>
          <w:i w:val="false"/>
          <w:color w:val="000000"/>
          <w:sz w:val="22"/>
        </w:rPr>
        <w:t xml:space="preserve">(99B) </w:t>
      </w:r>
      <w:r>
        <w:rPr>
          <w:rFonts w:ascii="Times New Roman" w:hAnsi="Times New Roman"/>
          <w:b/>
          <w:i w:val="false"/>
          <w:color w:val="000000"/>
          <w:sz w:val="22"/>
        </w:rPr>
        <w:t xml:space="preserv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organization must have a responsible party listed on the application who is an active member of the organization, familiar with the requirements of the Iowa law and aware of the bingo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Volunteers must be actively participating members of the licensed organization or participate in an organization to which money will be dedicated.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Paid workers shall not play during a bingo occasion in which they work. Persons conducting bingo shall not play during any bingo occasion conducted by the qualified organization for which they work. A person conducting bingo includes: persons overseeing the bingo games, persons controlling and accounting for the bingo occasion’s net receipts, persons directing the work of bingo workers, and any persons having management or oversight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A person receiving rent for a bingo location, either directly or indirectly, shall not be involved in, participate in, or be associated with the operation of bingo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Anyone who sells bingo equipment or supplies to a bingo licensee shall not work for that licensee during a bingo occasion.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The licensee shall be able to prove expenses were incurred exclusively and directly as a result of bingo and not exceed 40 percent of net receipts. Reasonable expenses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Withholding, unemployment, or social security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and supply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 for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 for bingo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Wages paid for bingo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Expense items are allowed only when receipts or a paid invoice and canceled check are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When the annual gross exceeds $10,000, expenses shall be paid from a bingo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Expenses are not reasonable if the amount charged substantially exceeds the current rate or average retail cost of items or services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w:t>
      </w:r>
      <w:r>
        <w:rPr>
          <w:rFonts w:ascii="Times New Roman" w:hAnsi="Times New Roman"/>
          <w:b/>
          <w:i w:val="false"/>
          <w:color w:val="000000"/>
          <w:sz w:val="22"/>
        </w:rPr>
        <w:t xml:space="preserve">(99B)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Bingo occasions may be conducted on premises as provided in Iowa Code section </w:t>
      </w:r>
      <w:hyperlink r:id="rId21">
        <w:r>
          <w:rPr>
            <w:rStyle w:val="Hyperlink"/>
            <w:rFonts w:ascii="Times New Roman" w:hAnsi="Times New Roman"/>
            <w:b w:val="false"/>
            <w:i w:val="false"/>
            <w:color w:val="000000"/>
            <w:sz w:val="22"/>
          </w:rPr>
          <w:t>99B.13</w:t>
        </w:r>
      </w:hyperlink>
      <w:r>
        <w:rPr>
          <w:rFonts w:ascii="Times New Roman" w:hAnsi="Times New Roman"/>
          <w:b w:val="false"/>
          <w:i w:val="false"/>
          <w:color w:val="000000"/>
          <w:sz w:val="22"/>
        </w:rPr>
        <w:t xml:space="preserve"> and shall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buildings in which bingo occasions are conducted will meet state or local standards for occupancy and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licensee will be posted on the sign of each building or location where bingo occasions are held. A name that is closely associated with the licensee and clearly identifies the lawful uses of the proceeds may also be used. Generic names, such as “Nelson Street Bingo” or “Uncle Bob’s Bingo,” will not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During a bingo occasion, the lessor will not sell any beverage, food, or other merchandise in the room in which bingo is played.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Only one licensed qualified organization may conduct bingo occasions within the same structure or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481—103.10</w:t>
      </w:r>
      <w:r>
        <w:rPr>
          <w:rFonts w:ascii="Times New Roman" w:hAnsi="Times New Roman"/>
          <w:b/>
          <w:i w:val="false"/>
          <w:color w:val="000000"/>
          <w:sz w:val="22"/>
        </w:rPr>
        <w:t xml:space="preserve">(10A,725) </w:t>
      </w:r>
      <w:r>
        <w:rPr>
          <w:rFonts w:ascii="Times New Roman" w:hAnsi="Times New Roman"/>
          <w:b/>
          <w:i w:val="false"/>
          <w:color w:val="000000"/>
          <w:sz w:val="22"/>
        </w:rPr>
        <w:t xml:space="preserve">Advertising. </w:t>
      </w:r>
      <w:r>
        <w:rPr>
          <w:rFonts w:ascii="Times New Roman" w:hAnsi="Times New Roman"/>
          <w:b w:val="false"/>
          <w:i w:val="false"/>
          <w:color w:val="000000"/>
          <w:sz w:val="22"/>
        </w:rPr>
        <w:t>An organization may advertise bingo or any gambling activities legal under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(10A,99B)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shall be used as it is intended by the manufacturer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103.11(1)</w:t>
      </w:r>
      <w:r>
        <w:rPr>
          <w:rFonts w:ascii="Times New Roman" w:hAnsi="Times New Roman"/>
          <w:b w:val="false"/>
          <w:i w:val="false"/>
          <w:color w:val="000000"/>
          <w:sz w:val="22"/>
        </w:rPr>
        <w:t> </w:t>
      </w:r>
      <w:r>
        <w:rPr>
          <w:rFonts w:ascii="Times New Roman" w:hAnsi="Times New Roman"/>
          <w:b w:val="false"/>
          <w:i w:val="false"/>
          <w:color w:val="000000"/>
          <w:sz w:val="22"/>
        </w:rPr>
        <w:t>Equipment will be owned by the licensed organization or borrowed from another qualified organization. Use of equipment for which the licensed organization pays consideration directly or indirectly under the guise of a service charge is not allowed. No licensed organization may loan or borrow equipment, goods, or services in exchange for supplies. Equipment should not be rented or leased, but the purchase of equipment on contract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103.11(2)</w:t>
      </w:r>
      <w:r>
        <w:rPr>
          <w:rFonts w:ascii="Times New Roman" w:hAnsi="Times New Roman"/>
          <w:b w:val="false"/>
          <w:i w:val="false"/>
          <w:color w:val="000000"/>
          <w:sz w:val="22"/>
        </w:rPr>
        <w:t> </w:t>
      </w:r>
      <w:r>
        <w:rPr>
          <w:rFonts w:ascii="Times New Roman" w:hAnsi="Times New Roman"/>
          <w:b w:val="false"/>
          <w:i w:val="false"/>
          <w:color w:val="000000"/>
          <w:sz w:val="22"/>
        </w:rPr>
        <w:t>Equipment used to conduct bingo will be maintained in good repair and sound working condition. No equipment will be altered to create an advantage for anyone. Play will progress so all players have an equal opportunity to win. Balls will be the same size, shape, weight, and balance. Balls will tumble and circulate freely within the container during bingo games. All 75 balls will be in the container before each game begins.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Accurate records shall be retained for a period of three years and provided to the department for review upon request. The following records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The daily bingo summary (Table A—end of chapter),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paid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of any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players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all games played, including a description of each game, the cost to play each game, the number and category of bingo cards used for each game, and the prize or prizes paid in each game. The summary will include the totals for the occasion of the gross receipts, prizes awarded, and jackpot prize amounts;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a caller and another member of the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An organization having $100,000 or more in bingo gross receipts per year must also comply with the following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Bingo Summary—CASH CONTROL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receipts, adjustments, prize payouts, and net receipts for each game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net receipts, total cash counted, overage or shortage, and total amount to be deposited for the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and dated by two members of the organization.</w:t>
      </w:r>
    </w:p>
    <w:p>
      <w:pPr>
        <w:spacing w:before="0" w:after="0"/>
        <w:ind w:left="120"/>
        <w:jc w:val="both"/>
      </w:pPr>
      <w:r>
        <w:rPr>
          <w:rFonts w:ascii="Times New Roman" w:hAnsi="Times New Roman"/>
          <w:b w:val="false"/>
          <w:i w:val="false"/>
          <w:color w:val="000000"/>
          <w:sz w:val="22"/>
        </w:rPr>
        <w:t>This form should correspond with the Daily Bingo Inventory Usage Form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Bingo Inventory Usage (Table C—end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loose sheet of bingo paper sold, the color, paper size, game(s) played, daily count start, purchases, voids, number of sheets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packets are purchased preassembled, the color of the top sheet, paper size, daily count start, purchases, voids, number of packets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packets are assembled by the organization, the color of the top sheet, paper size, daily count start, purchases, voids, number of packets sold, and daily count end. Each loose sheet of bingo paper used to assemble the packet will be accounted for by decreasing the applicable loose sheet bingo paper inventory under subparagraph </w:t>
      </w:r>
      <w:hyperlink r:id="rId23">
        <w:r>
          <w:rPr>
            <w:rStyle w:val="Hyperlink"/>
            <w:rFonts w:ascii="Times New Roman" w:hAnsi="Times New Roman"/>
            <w:b w:val="false"/>
            <w:i w:val="false"/>
            <w:color w:val="000000"/>
            <w:sz w:val="22"/>
          </w:rPr>
          <w:t>103.12(2)</w:t>
        </w:r>
      </w:hyperlink>
      <w:r>
        <w:rPr>
          <w:rFonts w:ascii="Times New Roman" w:hAnsi="Times New Roman"/>
          <w:b w:val="false"/>
          <w:i/>
          <w:color w:val="000000"/>
          <w:sz w:val="22"/>
        </w:rPr>
        <w:t>“b”</w:t>
      </w:r>
      <w:r>
        <w:rPr>
          <w:rFonts w:ascii="Times New Roman" w:hAnsi="Times New Roman"/>
          <w:b w:val="false"/>
          <w:i w:val="false"/>
          <w:color w:val="000000"/>
          <w:sz w:val="22"/>
        </w:rPr>
        <w:t>(1) at the time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val="false"/>
          <w:color w:val="000000"/>
          <w:sz w:val="22"/>
        </w:rPr>
        <w:t>Records of expenses and dedicated and distributed money are required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will be retained for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Purpose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checks, the purpose of payment will be recorded on the memo line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val="false"/>
          <w:color w:val="000000"/>
          <w:sz w:val="22"/>
        </w:rPr>
        <w:t>An employee record of people compensated for work at a bingo occasion shall be maintained that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Times and number of hours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Wages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Check number.</w:t>
      </w:r>
    </w:p>
    <w:p>
      <w:pPr>
        <w:spacing w:before="0" w:after="0"/>
        <w:ind w:left="120"/>
        <w:jc w:val="both"/>
      </w:pPr>
      <w:r>
        <w:rPr>
          <w:rFonts w:ascii="Times New Roman" w:hAnsi="Times New Roman"/>
          <w:b w:val="false"/>
          <w:i w:val="false"/>
          <w:color w:val="000000"/>
          <w:sz w:val="22"/>
        </w:rPr>
        <w:t xml:space="preserve">The records must specifically identify for which bingo occasion an employee was compensated, whether or monetarily or otherwise.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val="false"/>
          <w:color w:val="000000"/>
          <w:sz w:val="22"/>
        </w:rPr>
        <w:t>An inventory list of the number of playing faces owned by the licensed organization is required to be updated each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checking account. </w:t>
      </w:r>
      <w:r>
        <w:rPr>
          <w:rFonts w:ascii="Times New Roman" w:hAnsi="Times New Roman"/>
          <w:b w:val="false"/>
          <w:i w:val="false"/>
          <w:color w:val="000000"/>
          <w:sz w:val="22"/>
        </w:rPr>
        <w:t xml:space="preserve">A qualified organization shall maintain a separate bingo checking account established within one day of attaining $10,000 and as provided in Iowa Code section </w:t>
      </w:r>
      <w:hyperlink r:id="rId24">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receipts shall be deposited as provided in Iowa Code section </w:t>
      </w:r>
      <w:hyperlink r:id="rId25">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 xml:space="preserve">. Interest earned on deposits in a bingo checking or savings account shall be treated the same as proceeds of bingo occasions. Limited funds as described in Iowa Code section </w:t>
      </w:r>
      <w:hyperlink r:id="rId26">
        <w:r>
          <w:rPr>
            <w:rStyle w:val="Hyperlink"/>
            <w:rFonts w:ascii="Times New Roman" w:hAnsi="Times New Roman"/>
            <w:b w:val="false"/>
            <w:i w:val="false"/>
            <w:color w:val="000000"/>
            <w:sz w:val="22"/>
          </w:rPr>
          <w:t>99B.21(4)</w:t>
        </w:r>
      </w:hyperlink>
      <w:r>
        <w:rPr>
          <w:rFonts w:ascii="Times New Roman" w:hAnsi="Times New Roman"/>
          <w:b w:val="false"/>
          <w:i/>
          <w:color w:val="000000"/>
          <w:sz w:val="22"/>
        </w:rPr>
        <w:t>“a”</w:t>
      </w:r>
      <w:r>
        <w:rPr>
          <w:rFonts w:ascii="Times New Roman" w:hAnsi="Times New Roman"/>
          <w:b w:val="false"/>
          <w:i w:val="false"/>
          <w:color w:val="000000"/>
          <w:sz w:val="22"/>
        </w:rPr>
        <w:t>(1) shall not exceed $7,500. Records shall be kept that identify this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shall be paid from the bingo account in accordance with the requirements of Iowa Code section </w:t>
      </w:r>
      <w:hyperlink r:id="rId27">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Wages shall not be paid by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The bingo account shall be used for both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qualified organization satisfies the dedication requirement by donating funds to another organization over which the licensed organization has no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is satisfying the dedication requirement by spending funds to further the charitable, educational, religious, public, patriotic, or civic purposes of its own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(10A,99B) </w:t>
      </w:r>
      <w:r>
        <w:rPr>
          <w:rFonts w:ascii="Times New Roman" w:hAnsi="Times New Roman"/>
          <w:b/>
          <w:i w:val="false"/>
          <w:color w:val="000000"/>
          <w:sz w:val="22"/>
        </w:rPr>
        <w:t xml:space="preserve">Bingo savings account and bingo change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Bingo savings account. </w:t>
      </w:r>
      <w:r>
        <w:rPr>
          <w:rFonts w:ascii="Times New Roman" w:hAnsi="Times New Roman"/>
          <w:b w:val="false"/>
          <w:i w:val="false"/>
          <w:color w:val="000000"/>
          <w:sz w:val="22"/>
        </w:rPr>
        <w:t>When an organization places bingo receipts in any savings account, bingo funds shall be separate and recognizable from all other funds of the same organization. All funds in a bingo savings account shall be transferred into that account from a bingo checking account and transferred back to the bingo checking account before they are spent.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Bingo change fund. </w:t>
      </w:r>
      <w:r>
        <w:rPr>
          <w:rFonts w:ascii="Times New Roman" w:hAnsi="Times New Roman"/>
          <w:b w:val="false"/>
          <w:i w:val="false"/>
          <w:color w:val="000000"/>
          <w:sz w:val="22"/>
        </w:rPr>
        <w:t xml:space="preserve">Moneys used as a change fund, if necessary, should be provided by the organization for each bingo occasion. The change fund can increase or decrease as appropriate for the anticipated participation in the bingo occasion. The balance of the change fund at the end of the fiscal year must be dedicated by July 30 and reported as set forth in rule </w:t>
      </w:r>
      <w:hyperlink r:id="rId28">
        <w:r>
          <w:rPr>
            <w:rStyle w:val="Hyperlink"/>
            <w:rFonts w:ascii="Times New Roman" w:hAnsi="Times New Roman"/>
            <w:b w:val="false"/>
            <w:i w:val="false"/>
            <w:color w:val="000000"/>
            <w:sz w:val="22"/>
          </w:rPr>
          <w:t>481—103.15</w:t>
        </w:r>
      </w:hyperlink>
      <w:r>
        <w:rPr>
          <w:rFonts w:ascii="Times New Roman" w:hAnsi="Times New Roman"/>
          <w:b w:val="false"/>
          <w:i w:val="false"/>
          <w:color w:val="000000"/>
          <w:sz w:val="22"/>
        </w:rPr>
        <w:t>(10A,99B). The fiscal year begins July 1 and ends June 30 of the following year. The change fund should be maintained in a secure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gambling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organization conducting bingo shall submit a report to the department as set forth in Iowa Code section </w:t>
      </w:r>
      <w:hyperlink r:id="rId29">
        <w:r>
          <w:rPr>
            <w:rStyle w:val="Hyperlink"/>
            <w:rFonts w:ascii="Times New Roman" w:hAnsi="Times New Roman"/>
            <w:b w:val="false"/>
            <w:i w:val="false"/>
            <w:color w:val="000000"/>
            <w:sz w:val="22"/>
          </w:rPr>
          <w:t>99B.16(3)</w:t>
        </w:r>
      </w:hyperlink>
      <w:r>
        <w:rPr>
          <w:rFonts w:ascii="Times New Roman" w:hAnsi="Times New Roman"/>
          <w:b w:val="false"/>
          <w:i w:val="false"/>
          <w:color w:val="000000"/>
          <w:sz w:val="22"/>
        </w:rPr>
        <w:t>. When the due date is on Saturday, Sunday, or a legal holiday, the report is due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gambling reports may be completed online at </w:t>
      </w:r>
      <w:hyperlink r:id="rId3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qualified organization to submit records of specific occasions with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val="false"/>
          <w:color w:val="000000"/>
          <w:sz w:val="22"/>
        </w:rPr>
        <w:t>All transactions of any school group or parent support group using a schoolwide license shall be on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(10A,99B) </w:t>
      </w:r>
      <w:r>
        <w:rPr>
          <w:rFonts w:ascii="Times New Roman" w:hAnsi="Times New Roman"/>
          <w:b/>
          <w:i w:val="false"/>
          <w:color w:val="000000"/>
          <w:sz w:val="22"/>
        </w:rPr>
        <w:t xml:space="preserve">Inspections and audits. </w:t>
      </w:r>
      <w:r>
        <w:rPr>
          <w:rFonts w:ascii="Times New Roman" w:hAnsi="Times New Roman"/>
          <w:b w:val="false"/>
          <w:i w:val="false"/>
          <w:color w:val="000000"/>
          <w:sz w:val="22"/>
        </w:rPr>
        <w:t>Licensed organizations may be inspected or audited by a representative of the department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481—103.17</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103.17(1)</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organization may lease electronic bingo equipment, as defined in Iowa Code section </w:t>
      </w:r>
      <w:hyperlink r:id="rId31">
        <w:r>
          <w:rPr>
            <w:rStyle w:val="Hyperlink"/>
            <w:rFonts w:ascii="Times New Roman" w:hAnsi="Times New Roman"/>
            <w:b w:val="false"/>
            <w:i w:val="false"/>
            <w:color w:val="000000"/>
            <w:sz w:val="22"/>
          </w:rPr>
          <w:t>99B.11(1)</w:t>
        </w:r>
      </w:hyperlink>
      <w:r>
        <w:rPr>
          <w:rFonts w:ascii="Times New Roman" w:hAnsi="Times New Roman"/>
          <w:b w:val="false"/>
          <w:i w:val="false"/>
          <w:color w:val="000000"/>
          <w:sz w:val="22"/>
        </w:rPr>
        <w:t xml:space="preserve">, from a manufacturer or distributor licensed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103.17(2)</w:t>
      </w:r>
      <w:r>
        <w:rPr>
          <w:rFonts w:ascii="Times New Roman" w:hAnsi="Times New Roman"/>
          <w:b w:val="false"/>
          <w:i w:val="false"/>
          <w:color w:val="000000"/>
          <w:sz w:val="22"/>
        </w:rPr>
        <w:t> </w:t>
      </w:r>
      <w:r>
        <w:rPr>
          <w:rFonts w:ascii="Times New Roman" w:hAnsi="Times New Roman"/>
          <w:b w:val="false"/>
          <w:i w:val="false"/>
          <w:color w:val="000000"/>
          <w:sz w:val="22"/>
        </w:rPr>
        <w:t>Electronic bingo equipment shall be used only by disabled individuals. For purposes of this rule,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103.17(3)</w:t>
      </w:r>
      <w:r>
        <w:rPr>
          <w:rFonts w:ascii="Times New Roman" w:hAnsi="Times New Roman"/>
          <w:b w:val="false"/>
          <w:i w:val="false"/>
          <w:color w:val="000000"/>
          <w:sz w:val="22"/>
        </w:rPr>
        <w:t> </w:t>
      </w:r>
      <w:r>
        <w:rPr>
          <w:rFonts w:ascii="Times New Roman" w:hAnsi="Times New Roman"/>
          <w:b w:val="false"/>
          <w:i w:val="false"/>
          <w:color w:val="000000"/>
          <w:sz w:val="22"/>
        </w:rPr>
        <w:t>Electronic bingo devices shall be 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player may input into the device each number called, or the device may automatically daub each number as the number is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will notify the game operator or caller of the winning pattern of bingo by means other than use of the electronic bingo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is limited to playing a maximum of 54 card faces per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per bingo game will be the same as it would be if the individual were to purchase the same amount of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Players of electronic bingo will not be required to play more cards than if using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electronic bingo device will produce a player receipt with the organization name, date, time, location, sequential transaction or receipt number, number of electronic bingo cards loaded, cost of electronic bingo cards loaded, and date and time of the transaction. Images of cards or faces stored in an electronic bingo device will be exact duplicates of the printed faces if the faces are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examine and inspect any electronic bingo device and related system. Such examination and inspection will include immediate access to the electronic bingo device and unlimited inspection of all parts and associated systems and may involve the removal of equipment from the game premises for further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loaded and enabled for play on the premises where the game will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rented or otherwise provided to a player only by a qualified organization, and no part of the proceeds of the rental of such devices will be paid to a landlord, a landlord’s employee or agent, or a member of the landlord’s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player’s call of a bingo is disputed by another player, or if a department representative makes a request, one or more cards stored on an electronic bingo device will be printed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Players may exchange a defective electronic bingo device for another electronic bingo device provided a disinterested player verifies that the device is not functioning.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99B.21(3)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481—103.18</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at a fair or community festival. </w:t>
      </w:r>
      <w:r>
        <w:rPr>
          <w:rFonts w:ascii="Times New Roman" w:hAnsi="Times New Roman"/>
          <w:b w:val="false"/>
          <w:i w:val="false"/>
          <w:color w:val="000000"/>
          <w:sz w:val="22"/>
        </w:rPr>
        <w:t xml:space="preserve">Bingo may lawfully be conducted at a fair or a community festival if the requirements of Iowa Code section </w:t>
      </w:r>
      <w:hyperlink r:id="rId33">
        <w:r>
          <w:rPr>
            <w:rStyle w:val="Hyperlink"/>
            <w:rFonts w:ascii="Times New Roman" w:hAnsi="Times New Roman"/>
            <w:b w:val="false"/>
            <w:i w:val="false"/>
            <w:color w:val="000000"/>
            <w:sz w:val="22"/>
          </w:rPr>
          <w:t>99B.22</w:t>
        </w:r>
      </w:hyperlink>
      <w:r>
        <w:rPr>
          <w:rFonts w:ascii="Times New Roman" w:hAnsi="Times New Roman"/>
          <w:b w:val="false"/>
          <w:i w:val="false"/>
          <w:color w:val="000000"/>
          <w:sz w:val="22"/>
        </w:rPr>
        <w:t xml:space="preserve"> are met. A qualified organization that has received permission from the sponsor of the fair or community festival to conduct bingo shall be licensed under Iowa Code section </w:t>
      </w:r>
      <w:hyperlink r:id="rId34">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99B.1 through 99B.7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99B.11 through 99B.16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99B.21 through 99B.23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4/25/91, Notice 3/20/91—published 5/15/91, effective 6/19/91]</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11/19/03, Notice 10/15/03—published 12/10/03, effective 1/14/04]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6"/>
        </w:rPr>
        <w:t xml:space="preserve">NOTE: </w:t>
      </w:r>
      <w:r>
        <w:rPr>
          <w:rFonts w:ascii="Times New Roman" w:hAnsi="Times New Roman"/>
          <w:b w:val="false"/>
          <w:i w:val="false"/>
          <w:color w:val="000000"/>
          <w:sz w:val="16"/>
        </w:rPr>
        <w:t>See forms on following pages.</w:t>
      </w:r>
    </w:p>
    <w:p>
      <w:pPr>
        <w:spacing w:before="0" w:after="0"/>
        <w:ind w:left="120"/>
        <w:jc w:val="center"/>
      </w:pPr>
      <w:r>
        <w:rPr>
          <w:rFonts w:ascii="Times New Roman" w:hAnsi="Times New Roman"/>
          <w:b w:val="false"/>
          <w:i w:val="false"/>
          <w:color w:val="000000"/>
          <w:sz w:val="21"/>
        </w:rPr>
        <w:t>[Filed ARC 1929C</w:t>
      </w:r>
      <w:r>
        <w:rPr>
          <w:rFonts w:ascii="Times New Roman" w:hAnsi="Times New Roman"/>
          <w:b w:val="false"/>
          <w:i w:val="false"/>
          <w:color w:val="000000"/>
          <w:sz w:val="21"/>
        </w:rPr>
        <w:t xml:space="preserve"> (Notice ARC 1858C,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4014C</w:t>
      </w:r>
      <w:r>
        <w:rPr>
          <w:rFonts w:ascii="Times New Roman" w:hAnsi="Times New Roman"/>
          <w:b w:val="false"/>
          <w:i w:val="false"/>
          <w:color w:val="000000"/>
          <w:sz w:val="21"/>
        </w:rPr>
        <w:t xml:space="preserve"> (Notice ARC 3920C,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9152C</w:t>
      </w:r>
      <w:r>
        <w:rPr>
          <w:rFonts w:ascii="Times New Roman" w:hAnsi="Times New Roman"/>
          <w:b w:val="false"/>
          <w:i w:val="false"/>
          <w:color w:val="000000"/>
          <w:sz w:val="21"/>
        </w:rPr>
        <w:t xml:space="preserve"> (Notice ARC 8849C, IAB 2/19/25)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6/25/25]</w:t>
      </w:r>
    </w:p>
    <w:p>
      <w:pPr>
        <w:pageBreakBefore/>
        <w:spacing w:before="0" w:after="0"/>
        <w:ind w:left="120"/>
        <w:jc w:val="both"/>
      </w:pPr>
    </w:p>
    <w:tbl>
      <w:tblPr>
        <w:tblW w:w="5000" w:type="pct"/>
        <w:tblCellSpacing w:w="0" w:type="auto"/>
        <w:tblBorders>
          <w:top w:val="none"/>
          <w:left w:val="none"/>
          <w:bottom w:val="none"/>
          <w:right w:val="none"/>
          <w:insideH w:val="none"/>
          <w:insideV w:val="none"/>
        </w:tblBorders>
      </w:tblPr>
      <w:tblGrid>
        <w:gridCol w:w="2266"/>
        <w:gridCol w:w="6667"/>
      </w:tblGrid>
      <w:tr>
        <w:trPr>
          <w:trHeight w:val="435"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IOWA DEPARTMENT OF INSPECTIONS, </w:t>
            </w:r>
            <w:r>
              <w:br/>
            </w:r>
            <w:r>
              <w:rPr>
                <w:rFonts w:ascii="Times New Roman" w:hAnsi="Times New Roman"/>
                <w:b w:val="false"/>
                <w:i w:val="false"/>
                <w:color w:val="000000"/>
                <w:sz w:val="18"/>
              </w:rPr>
              <w:t>APPEALS, AND LICENSING</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DATE: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TABLE A</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 BINGO SUMMARY</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Daily Cash Control Form users enter total only</w:t>
            </w:r>
          </w:p>
        </w:tc>
      </w:tr>
    </w:tbl>
    <w:tbl>
      <w:tblPr>
        <w:tblW w:w="5000" w:type="pct"/>
        <w:tblCellSpacing w:w="0" w:type="auto"/>
        <w:tblInd w:w="101" w:type="dxa"/>
        <w:tblBorders>
          <w:top w:val="none"/>
          <w:left w:val="none"/>
          <w:bottom w:val="single" w:color="000000" w:sz="8"/>
          <w:right w:val="none"/>
          <w:insideH w:val="none"/>
          <w:insideV w:val="none"/>
        </w:tblBorders>
      </w:tblPr>
      <w:tblGrid>
        <w:gridCol w:w="2024"/>
        <w:gridCol w:w="299"/>
        <w:gridCol w:w="587"/>
        <w:gridCol w:w="587"/>
        <w:gridCol w:w="587"/>
        <w:gridCol w:w="1355"/>
        <w:gridCol w:w="779"/>
        <w:gridCol w:w="1930"/>
        <w:gridCol w:w="491"/>
        <w:gridCol w:w="587"/>
        <w:gridCol w:w="491"/>
        <w:gridCol w:w="683"/>
        <w:gridCol w:w="587"/>
      </w:tblGrid>
      <w:tr>
        <w:trPr>
          <w:trHeight w:val="16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RECEIPTS</w:t>
            </w:r>
          </w:p>
        </w:tc>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CASH PRIZES</w:t>
            </w:r>
          </w:p>
        </w:tc>
      </w:tr>
      <w:tr>
        <w:trPr>
          <w:trHeight w:val="18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or Packet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Sold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Cost/Unit</w:t>
            </w:r>
          </w:p>
        </w:tc>
        <w:tc>
          <w:tcPr>
            <w:tcW w:w="13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Receipts</w:t>
            </w:r>
          </w:p>
        </w:tc>
        <w:tc>
          <w:tcPr>
            <w:tcW w:w="77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Pattern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Prize/Prizes Paid</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Adjustments (+ or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Cash Prizes Paid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Gross Receipts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State Sales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Local Option Tax (if applicable)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IN ATTENDANCE: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Gross Receipts (after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Jackpot Game Played -</w:t>
            </w:r>
          </w:p>
        </w:tc>
        <w:tc>
          <w:tcPr>
            <w:tcW w:w="2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in</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numbers.</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Jackpot Prize Paid Today</w:t>
            </w: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4"/>
              </w:rPr>
              <w:t>.</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1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COMPENSATED WORKERS</w:t>
            </w:r>
          </w:p>
        </w:tc>
      </w:tr>
      <w:tr>
        <w:trPr>
          <w:trHeight w:val="195"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Name</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S.S.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Rate of Pay</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Hours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Paid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Check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Compensation</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4"/>
              </w:rPr>
              <w:t>$</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528" w:type="dxa"/>
        <w:tblBorders>
          <w:top w:val="none"/>
          <w:left w:val="none"/>
          <w:bottom w:val="none"/>
          <w:right w:val="none"/>
          <w:insideH w:val="none"/>
          <w:insideV w:val="none"/>
        </w:tblBorders>
      </w:tblPr>
      <w:tblGrid>
        <w:gridCol w:w="3369"/>
        <w:gridCol w:w="2027"/>
        <w:gridCol w:w="395"/>
        <w:gridCol w:w="971"/>
        <w:gridCol w:w="3371"/>
      </w:tblGrid>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DAILY RECAP</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 Gross Receipts </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Less Cash Prizes</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Total Deposit</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261" w:type="dxa"/>
        <w:tblBorders>
          <w:top w:val="none"/>
          <w:left w:val="none"/>
          <w:bottom w:val="none"/>
          <w:right w:val="none"/>
          <w:insideH w:val="none"/>
          <w:insideV w:val="none"/>
        </w:tblBorders>
      </w:tblPr>
      <w:tblGrid>
        <w:gridCol w:w="1369"/>
        <w:gridCol w:w="5976"/>
        <w:gridCol w:w="3322"/>
      </w:tblGrid>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SIGNATURES: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 xml:space="preserve">Iowa Department of Inspections, Appeals, and Licensing </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TABLE B</w:t>
      </w:r>
    </w:p>
    <w:p>
      <w:pPr>
        <w:spacing w:before="60" w:after="0"/>
        <w:ind w:left="120"/>
        <w:jc w:val="center"/>
      </w:pPr>
      <w:r>
        <w:rPr>
          <w:rFonts w:ascii="Times New Roman" w:hAnsi="Times New Roman"/>
          <w:b w:val="false"/>
          <w:i w:val="false"/>
          <w:color w:val="000000"/>
          <w:sz w:val="14"/>
          <w:u w:val="single"/>
        </w:rPr>
        <w:t>Daily Bingo Summary—CASH CONTROL</w:t>
      </w:r>
    </w:p>
    <w:tbl>
      <w:tblPr>
        <w:tblW w:w="5000" w:type="pct"/>
        <w:tblCellSpacing w:w="0" w:type="auto"/>
        <w:tblInd w:w="1077" w:type="dxa"/>
        <w:tblBorders>
          <w:top w:val="single" w:color="000000" w:sz="8"/>
          <w:left w:val="single" w:color="000000" w:sz="8"/>
          <w:bottom w:val="single" w:color="000000" w:sz="8"/>
          <w:right w:val="single" w:color="000000" w:sz="8"/>
          <w:insideH w:val="none"/>
          <w:insideV w:val="none"/>
        </w:tblBorders>
      </w:tblPr>
      <w:tblGrid>
        <w:gridCol w:w="3200"/>
        <w:gridCol w:w="5835"/>
      </w:tblGrid>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Date: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Licensee’s Name: </w:t>
            </w:r>
          </w:p>
        </w:tc>
      </w:tr>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City: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State: </w:t>
            </w:r>
          </w:p>
        </w:tc>
      </w:tr>
    </w:tbl>
    <w:tbl>
      <w:tblPr>
        <w:tblW w:w="5000" w:type="pct"/>
        <w:tblCellSpacing w:w="0" w:type="auto"/>
        <w:tblInd w:w="315" w:type="dxa"/>
        <w:tblBorders>
          <w:top w:val="none"/>
          <w:left w:val="none"/>
          <w:bottom w:val="none"/>
          <w:right w:val="none"/>
          <w:insideH w:val="none"/>
          <w:insideV w:val="none"/>
        </w:tblBorders>
      </w:tblPr>
      <w:tblGrid>
        <w:gridCol w:w="873"/>
        <w:gridCol w:w="2007"/>
        <w:gridCol w:w="393"/>
        <w:gridCol w:w="1823"/>
        <w:gridCol w:w="1255"/>
        <w:gridCol w:w="1919"/>
        <w:gridCol w:w="1063"/>
        <w:gridCol w:w="1064"/>
        <w:gridCol w:w="163"/>
      </w:tblGrid>
      <w:tr>
        <w:trPr>
          <w:trHeight w:val="36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w:t>
            </w:r>
          </w:p>
          <w:p>
            <w:pPr>
              <w:spacing w:before="0" w:after="0"/>
              <w:ind w:left="160"/>
              <w:jc w:val="center"/>
            </w:pPr>
            <w:r>
              <w:rPr>
                <w:rFonts w:ascii="Times New Roman" w:hAnsi="Times New Roman"/>
                <w:b w:val="false"/>
                <w:i w:val="false"/>
                <w:color w:val="000000"/>
                <w:sz w:val="14"/>
              </w:rPr>
              <w:t>Gross Receipts</w:t>
            </w:r>
          </w:p>
        </w:tc>
        <w:tc>
          <w:tcPr>
            <w:tcW w:w="125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Voids</w:t>
            </w:r>
          </w:p>
          <w:p>
            <w:pPr>
              <w:spacing w:before="0" w:after="0"/>
              <w:ind w:left="160"/>
              <w:jc w:val="center"/>
            </w:pPr>
            <w:r>
              <w:rPr>
                <w:rFonts w:ascii="Times New Roman" w:hAnsi="Times New Roman"/>
                <w:b w:val="false"/>
                <w:i w:val="false"/>
                <w:color w:val="000000"/>
                <w:sz w:val="14"/>
              </w:rPr>
              <w:t>Overrings</w:t>
            </w:r>
          </w:p>
        </w:tc>
        <w:tc>
          <w:tcPr>
            <w:tcW w:w="191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Adjusted</w:t>
            </w:r>
          </w:p>
          <w:p>
            <w:pPr>
              <w:spacing w:before="0" w:after="0"/>
              <w:ind w:left="160"/>
              <w:jc w:val="center"/>
            </w:pPr>
            <w:r>
              <w:rPr>
                <w:rFonts w:ascii="Times New Roman" w:hAnsi="Times New Roman"/>
                <w:b w:val="false"/>
                <w:i w:val="false"/>
                <w:color w:val="000000"/>
                <w:sz w:val="14"/>
              </w:rPr>
              <w:t>Gross Receipts</w:t>
            </w:r>
          </w:p>
        </w:tc>
        <w:tc>
          <w:tcPr>
            <w:tcW w:w="106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Prize</w:t>
            </w:r>
          </w:p>
          <w:p>
            <w:pPr>
              <w:spacing w:before="0" w:after="0"/>
              <w:ind w:left="160"/>
              <w:jc w:val="center"/>
            </w:pPr>
            <w:r>
              <w:rPr>
                <w:rFonts w:ascii="Times New Roman" w:hAnsi="Times New Roman"/>
                <w:b w:val="false"/>
                <w:i w:val="false"/>
                <w:color w:val="000000"/>
                <w:sz w:val="14"/>
              </w:rPr>
              <w:t>Payouts</w:t>
            </w:r>
          </w:p>
        </w:tc>
        <w:tc>
          <w:tcPr>
            <w:tcW w:w="106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Net</w:t>
            </w:r>
          </w:p>
          <w:p>
            <w:pPr>
              <w:spacing w:before="0" w:after="0"/>
              <w:ind w:left="160"/>
              <w:jc w:val="center"/>
            </w:pPr>
            <w:r>
              <w:rPr>
                <w:rFonts w:ascii="Times New Roman" w:hAnsi="Times New Roman"/>
                <w:b w:val="false"/>
                <w:i w:val="false"/>
                <w:color w:val="000000"/>
                <w:sz w:val="14"/>
              </w:rPr>
              <w:t>Receipts</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EARLY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REGULAR HARD CARDS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PACKETS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SPEEDBALL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OTHER</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LATE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Plus Payouts by Check</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Net Cash</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Counted</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or - Cash over/short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 PRIZE $______ IN ______ NUMBERS</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Deposit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4"/>
          <w:u w:val="single"/>
        </w:rPr>
        <w:t>Instructions</w:t>
      </w:r>
    </w:p>
    <w:p>
      <w:pPr>
        <w:spacing w:before="0" w:after="0"/>
        <w:ind w:left="120"/>
        <w:jc w:val="both"/>
      </w:pPr>
      <w:r>
        <w:rPr>
          <w:rFonts w:ascii="Times New Roman" w:hAnsi="Times New Roman"/>
          <w:b w:val="false"/>
          <w:i w:val="false"/>
          <w:color w:val="000000"/>
          <w:sz w:val="14"/>
        </w:rPr>
        <w:t>(1) Gross Receipts per Inventory Usage Form (not cash)</w:t>
      </w:r>
    </w:p>
    <w:p>
      <w:pPr>
        <w:spacing w:before="0" w:after="0"/>
        <w:ind w:left="120"/>
        <w:jc w:val="both"/>
      </w:pPr>
      <w:r>
        <w:rPr>
          <w:rFonts w:ascii="Times New Roman" w:hAnsi="Times New Roman"/>
          <w:b w:val="false"/>
          <w:i w:val="false"/>
          <w:color w:val="000000"/>
          <w:sz w:val="14"/>
        </w:rPr>
        <w:t>(2) Attach copy of Deposit Receipt</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5057" w:type="dxa"/>
        <w:tblBorders>
          <w:top w:val="none"/>
          <w:left w:val="none"/>
          <w:bottom w:val="none"/>
          <w:right w:val="none"/>
          <w:insideH w:val="none"/>
          <w:insideV w:val="none"/>
        </w:tblBorders>
      </w:tblPr>
      <w:tblGrid>
        <w:gridCol w:w="3066"/>
        <w:gridCol w:w="3067"/>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Prepared by: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Bingo Manager: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Iowa Department of Inspections, Appeals, and Licensing</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Daily Bingo Summary—INVENTORY USAGE</w:t>
      </w:r>
    </w:p>
    <w:p>
      <w:pPr>
        <w:spacing w:before="60" w:after="0"/>
        <w:ind w:left="120"/>
        <w:jc w:val="center"/>
      </w:pPr>
      <w:r>
        <w:rPr>
          <w:rFonts w:ascii="Times New Roman" w:hAnsi="Times New Roman"/>
          <w:b w:val="false"/>
          <w:i w:val="false"/>
          <w:color w:val="000000"/>
          <w:sz w:val="14"/>
        </w:rPr>
        <w:t>TABLE 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1520"/>
      </w:tblGrid>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Licensee’s Name:</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Qualified Organization License #:</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City, State, ZIP:</w:t>
            </w:r>
          </w:p>
        </w:tc>
      </w:tr>
    </w:tbl>
    <w:tbl>
      <w:tblPr>
        <w:tblW w:w="5000" w:type="pct"/>
        <w:tblCellSpacing w:w="0" w:type="auto"/>
        <w:tblBorders>
          <w:top w:val="none"/>
          <w:left w:val="none"/>
          <w:bottom w:val="none"/>
          <w:right w:val="none"/>
          <w:insideH w:val="none"/>
          <w:insideV w:val="none"/>
        </w:tblBorders>
      </w:tblPr>
      <w:tblGrid>
        <w:gridCol w:w="4174"/>
      </w:tblGrid>
      <w:tr>
        <w:trPr>
          <w:trHeight w:val="480" w:hRule="atLeast"/>
        </w:trPr>
        <w:tc>
          <w:tcPr>
            <w:tcW w:w="4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Today’s Date: ______________________</w:t>
            </w:r>
          </w:p>
          <w:p>
            <w:pPr>
              <w:spacing w:before="0" w:after="0"/>
              <w:ind w:left="16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713"/>
        <w:gridCol w:w="800"/>
        <w:gridCol w:w="1068"/>
        <w:gridCol w:w="1178"/>
        <w:gridCol w:w="1166"/>
        <w:gridCol w:w="1571"/>
        <w:gridCol w:w="612"/>
        <w:gridCol w:w="1077"/>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Loose Sheet Bingo Paper Inventory</w:t>
            </w:r>
          </w:p>
        </w:tc>
      </w:tr>
      <w:tr>
        <w:trPr>
          <w:trHeight w:val="675" w:hRule="atLeast"/>
        </w:trPr>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0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17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15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 Packet Assembly</w:t>
            </w:r>
          </w:p>
        </w:tc>
        <w:tc>
          <w:tcPr>
            <w:tcW w:w="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41"/>
        <w:gridCol w:w="868"/>
        <w:gridCol w:w="1203"/>
        <w:gridCol w:w="1332"/>
        <w:gridCol w:w="1166"/>
        <w:gridCol w:w="713"/>
        <w:gridCol w:w="670"/>
        <w:gridCol w:w="1192"/>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Preassembled Bingo Packets</w:t>
            </w:r>
          </w:p>
        </w:tc>
      </w:tr>
      <w:tr>
        <w:trPr>
          <w:trHeight w:val="675" w:hRule="atLeast"/>
        </w:trPr>
        <w:tc>
          <w:tcPr>
            <w:tcW w:w="104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2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3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7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9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33"/>
        <w:gridCol w:w="863"/>
        <w:gridCol w:w="1193"/>
        <w:gridCol w:w="1320"/>
        <w:gridCol w:w="1233"/>
        <w:gridCol w:w="713"/>
        <w:gridCol w:w="659"/>
        <w:gridCol w:w="1171"/>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Bingo Packets Assembled In-House</w:t>
            </w:r>
          </w:p>
        </w:tc>
      </w:tr>
      <w:tr>
        <w:trPr>
          <w:trHeight w:val="40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When you assemble these packets, you must also decrease the applicable loose sheet bingo paper inventory above using the column Voids/Packet Assembly.</w:t>
            </w:r>
          </w:p>
        </w:tc>
      </w:tr>
      <w:tr>
        <w:trPr>
          <w:trHeight w:val="675" w:hRule="atLeast"/>
        </w:trPr>
        <w:tc>
          <w:tcPr>
            <w:tcW w:w="10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19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2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Assembled</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5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rule/481.100.1.pdf" Type="http://schemas.openxmlformats.org/officeDocument/2006/relationships/hyperlink" Id="rId6"/>
    <Relationship TargetMode="External" Target="https://www.legis.iowa.gov/docs/ico/chapter/99B.23.pdf" Type="http://schemas.openxmlformats.org/officeDocument/2006/relationships/hyperlink" Id="rId7"/>
    <Relationship TargetMode="External" Target="https://www.legis.iowa.gov/docs/iac/rule/481.100.3.pdf" Type="http://schemas.openxmlformats.org/officeDocument/2006/relationships/hyperlink" Id="rId8"/>
    <Relationship TargetMode="External" Target="https://www.legis.iowa.gov/docs/iac/rule/481.100.4.pdf" Type="http://schemas.openxmlformats.org/officeDocument/2006/relationships/hyperlink" Id="rId9"/>
    <Relationship TargetMode="External" Target="https://www.legis.iowa.gov/docs/iac/rule/481.100.5.pdf" Type="http://schemas.openxmlformats.org/officeDocument/2006/relationships/hyperlink" Id="rId10"/>
    <Relationship TargetMode="External" Target="https://www.legis.iowa.gov/docs/ico/chapter/99B.12.pdf" Type="http://schemas.openxmlformats.org/officeDocument/2006/relationships/hyperlink" Id="rId11"/>
    <Relationship TargetMode="External" Target="https://www.legis.iowa.gov/docs/ico/chapter/99B.1.pdf" Type="http://schemas.openxmlformats.org/officeDocument/2006/relationships/hyperlink" Id="rId12"/>
    <Relationship TargetMode="External" Target="https://www.legis.iowa.gov/docs/ico/chapter/99B.5.pdf" Type="http://schemas.openxmlformats.org/officeDocument/2006/relationships/hyperlink" Id="rId13"/>
    <Relationship TargetMode="External" Target="https://www.legis.iowa.gov/docs/ico/chapter/99B.21.pdf" Type="http://schemas.openxmlformats.org/officeDocument/2006/relationships/hyperlink" Id="rId14"/>
    <Relationship TargetMode="External" Target="https://www.legis.iowa.gov/docs/ico/chapter/99B.8.pdf" Type="http://schemas.openxmlformats.org/officeDocument/2006/relationships/hyperlink" Id="rId15"/>
    <Relationship TargetMode="External" Target="https://www.legis.iowa.gov/docs/iac/rule/481.103.5.pdf" Type="http://schemas.openxmlformats.org/officeDocument/2006/relationships/hyperlink" Id="rId16"/>
    <Relationship TargetMode="External" Target="https://www.legis.iowa.gov/docs/ico/chapter/99B.21.pdf" Type="http://schemas.openxmlformats.org/officeDocument/2006/relationships/hyperlink" Id="rId17"/>
    <Relationship TargetMode="External" Target="https://www.legis.iowa.gov/docs/ico/chapter/99B.21.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717D.2.pdf" Type="http://schemas.openxmlformats.org/officeDocument/2006/relationships/hyperlink" Id="rId20"/>
    <Relationship TargetMode="External" Target="https://www.legis.iowa.gov/docs/ico/chapter/99B.13.pdf" Type="http://schemas.openxmlformats.org/officeDocument/2006/relationships/hyperlink" Id="rId21"/>
    <Relationship TargetMode="External" Target="https://www.legis.iowa.gov/docs/ico/chapter/725.12.pdf" Type="http://schemas.openxmlformats.org/officeDocument/2006/relationships/hyperlink" Id="rId22"/>
    <Relationship TargetMode="External" Target="https://www.legis.iowa.gov/docs/iac/rule/481.103.12.pdf" Type="http://schemas.openxmlformats.org/officeDocument/2006/relationships/hyperlink" Id="rId23"/>
    <Relationship TargetMode="External" Target="https://www.legis.iowa.gov/docs/ico/chapter/99B.21.pdf" Type="http://schemas.openxmlformats.org/officeDocument/2006/relationships/hyperlink" Id="rId24"/>
    <Relationship TargetMode="External" Target="https://www.legis.iowa.gov/docs/ico/chapter/99B.21.pdf" Type="http://schemas.openxmlformats.org/officeDocument/2006/relationships/hyperlink" Id="rId25"/>
    <Relationship TargetMode="External" Target="https://www.legis.iowa.gov/docs/ico/chapter/99B.21.pdf" Type="http://schemas.openxmlformats.org/officeDocument/2006/relationships/hyperlink" Id="rId26"/>
    <Relationship TargetMode="External" Target="https://www.legis.iowa.gov/docs/ico/chapter/99B.21.pdf" Type="http://schemas.openxmlformats.org/officeDocument/2006/relationships/hyperlink" Id="rId27"/>
    <Relationship TargetMode="External" Target="https://www.legis.iowa.gov/docs/iac/rule/481.103.15.pdf" Type="http://schemas.openxmlformats.org/officeDocument/2006/relationships/hyperlink" Id="rId28"/>
    <Relationship TargetMode="External" Target="https://www.legis.iowa.gov/docs/ico/chapter/99B.16.pdf" Type="http://schemas.openxmlformats.org/officeDocument/2006/relationships/hyperlink" Id="rId29"/>
    <Relationship TargetMode="External" Target="http://dial.iowa.gov" Type="http://schemas.openxmlformats.org/officeDocument/2006/relationships/hyperlink" Id="rId30"/>
    <Relationship TargetMode="External" Target="https://www.legis.iowa.gov/docs/ico/chapter/99B.11.pdf" Type="http://schemas.openxmlformats.org/officeDocument/2006/relationships/hyperlink" Id="rId31"/>
    <Relationship TargetMode="External" Target="https://www.legis.iowa.gov/docs/ico/chapter/99B.21.pdf" Type="http://schemas.openxmlformats.org/officeDocument/2006/relationships/hyperlink" Id="rId32"/>
    <Relationship TargetMode="External" Target="https://www.legis.iowa.gov/docs/ico/chapter/99B.22.pdf" Type="http://schemas.openxmlformats.org/officeDocument/2006/relationships/hyperlink" Id="rId33"/>
    <Relationship TargetMode="External" Target="https://www.legis.iowa.gov/docs/ico/chapter/99B.12.pdf" Type="http://schemas.openxmlformats.org/officeDocument/2006/relationships/hyperlink" Id="rId34"/>
    <Relationship TargetMode="External" Target="https://www.legis.iowa.gov/docs/ico/chapter/99B.1-7.pdf" Type="http://schemas.openxmlformats.org/officeDocument/2006/relationships/hyperlink" Id="rId35"/>
    <Relationship TargetMode="External" Target="https://www.legis.iowa.gov/docs/ico/chapter/99B.11-16.pdf" Type="http://schemas.openxmlformats.org/officeDocument/2006/relationships/hyperlink" Id="rId36"/>
    <Relationship TargetMode="External" Target="https://www.legis.iowa.gov/docs/ico/chapter/99B.21-23.pdf" Type="http://schemas.openxmlformats.org/officeDocument/2006/relationships/hyperlink" Id="rId37"/>
    <Relationship TargetMode="External" Target="https://www.legis.iowa.gov/docs/ico/chapter/99B.32.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