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IOWA ELECTRICAL SAFETY CODE</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199—25.1</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standards relating to electric and communication facilities in this chapter are prescribed by the Iowa utilities commission pursuant to Iowa Code sections </w:t>
      </w:r>
      <w:hyperlink r:id="rId5">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476A.12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478.19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chapter is to promote safe and adequate service to the public, to provide standards for uniform and reasonable practices by utilities, and to establish a basis for determining the reasonableness of such demands as may be made by the public upon the utilities. The rules apply to electric and communication utility facilities located in the state of Iowa and supersede all conflicting rules of any such utility. In no way does this rule relieve any utility from any of its duties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w:t>
      </w:r>
      <w:r>
        <w:rPr>
          <w:rFonts w:ascii="Times New Roman" w:hAnsi="Times New Roman"/>
          <w:b w:val="false"/>
          <w:i w:val="false"/>
          <w:color w:val="000000"/>
          <w:sz w:val="22"/>
        </w:rPr>
        <w:t> </w:t>
      </w:r>
      <w:r>
        <w:rPr>
          <w:rFonts w:ascii="Times New Roman" w:hAnsi="Times New Roman"/>
          <w:b w:val="false"/>
          <w:i/>
          <w:color w:val="000000"/>
          <w:sz w:val="22"/>
        </w:rPr>
        <w:t xml:space="preserve">Definition of utility. </w:t>
      </w:r>
      <w:r>
        <w:rPr>
          <w:rFonts w:ascii="Times New Roman" w:hAnsi="Times New Roman"/>
          <w:b w:val="false"/>
          <w:i w:val="false"/>
          <w:color w:val="000000"/>
          <w:sz w:val="22"/>
        </w:rPr>
        <w:t>For the purpose of this chapter, a utility is any owner or operator of electric or communications facilities subject to the safety jurisdiction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199—25.2</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Iowa electrical safety code defined. </w:t>
      </w:r>
      <w:r>
        <w:rPr>
          <w:rFonts w:ascii="Times New Roman" w:hAnsi="Times New Roman"/>
          <w:b w:val="false"/>
          <w:i w:val="false"/>
          <w:color w:val="000000"/>
          <w:sz w:val="22"/>
        </w:rPr>
        <w:t>The standard minimum requirements for the installation and maintenance of electric substations, generating stations, and overhead and underground electric supply or communications lines adopted below, collectively constitute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color w:val="000000"/>
          <w:sz w:val="22"/>
        </w:rPr>
        <w:t xml:space="preserve">National Electrical Safety Code. </w:t>
      </w:r>
      <w:r>
        <w:rPr>
          <w:rFonts w:ascii="Times New Roman" w:hAnsi="Times New Roman"/>
          <w:b w:val="false"/>
          <w:i w:val="false"/>
          <w:color w:val="000000"/>
          <w:sz w:val="22"/>
        </w:rPr>
        <w:t>The American National Standards Institute (ANSI) C2-2023, “National Electrical Safety Code” (NESC), as published on August 1, 2022,  including issued Correction Sheets, is adopted as part of the Iowa electrical safety code, except Part 4, “Rules for Operation of Electric Supply and Communications Lines and Equipment,” which is not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color w:val="000000"/>
          <w:sz w:val="22"/>
        </w:rPr>
        <w:t xml:space="preserve">Modifications and qualifications to the NESC. </w:t>
      </w:r>
      <w:r>
        <w:rPr>
          <w:rFonts w:ascii="Times New Roman" w:hAnsi="Times New Roman"/>
          <w:b w:val="false"/>
          <w:i w:val="false"/>
          <w:color w:val="000000"/>
          <w:sz w:val="22"/>
        </w:rPr>
        <w:t>The standards set forth in the NESC are modified or qualified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Introduction to the National Electrical Safety Code. NESC 013A2 is modified to read as follows: “Types of construction and methods of installation other than those specified in the rules may be used experimentally to obtain information, if done where:</w:t>
      </w:r>
    </w:p>
    <w:p>
      <w:pPr>
        <w:spacing w:before="0" w:after="0"/>
        <w:ind w:left="120"/>
        <w:jc w:val="both"/>
      </w:pPr>
      <w:r>
        <w:rPr>
          <w:rFonts w:ascii="Times New Roman" w:hAnsi="Times New Roman"/>
          <w:b w:val="false"/>
          <w:i w:val="false"/>
          <w:color w:val="000000"/>
          <w:sz w:val="22"/>
        </w:rPr>
        <w:t>“1. Qualified supervision is provided,</w:t>
      </w:r>
    </w:p>
    <w:p>
      <w:pPr>
        <w:spacing w:before="0" w:after="0"/>
        <w:ind w:left="120"/>
        <w:jc w:val="both"/>
      </w:pPr>
      <w:r>
        <w:rPr>
          <w:rFonts w:ascii="Times New Roman" w:hAnsi="Times New Roman"/>
          <w:b w:val="false"/>
          <w:i w:val="false"/>
          <w:color w:val="000000"/>
          <w:sz w:val="22"/>
        </w:rPr>
        <w:t>“2. Equivalent safety is provided,</w:t>
      </w:r>
    </w:p>
    <w:p>
      <w:pPr>
        <w:spacing w:before="0" w:after="0"/>
        <w:ind w:left="120"/>
        <w:jc w:val="both"/>
      </w:pPr>
      <w:r>
        <w:rPr>
          <w:rFonts w:ascii="Times New Roman" w:hAnsi="Times New Roman"/>
          <w:b w:val="false"/>
          <w:i w:val="false"/>
          <w:color w:val="000000"/>
          <w:sz w:val="22"/>
        </w:rPr>
        <w:t>“3. On joint-use facilities, all joint users are notified in a timely manner, and</w:t>
      </w:r>
    </w:p>
    <w:p>
      <w:pPr>
        <w:spacing w:before="0" w:after="0"/>
        <w:ind w:left="120"/>
        <w:jc w:val="both"/>
      </w:pPr>
      <w:r>
        <w:rPr>
          <w:rFonts w:ascii="Times New Roman" w:hAnsi="Times New Roman"/>
          <w:b w:val="false"/>
          <w:i w:val="false"/>
          <w:color w:val="000000"/>
          <w:sz w:val="22"/>
        </w:rPr>
        <w:t>“4. Prior approval is obtained from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Minimum clearances.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instance where minimum clearances are provided in Iowa Code chapter </w:t>
      </w:r>
      <w:hyperlink r:id="rId11">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that are greater than otherwise required by these rules, the statutory clearances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clearances apply to all lines regardless of date of construction: NESC 232, vertical clearances for “Water areas not suitable for sailboating or where sailboating is prohibited,” “Water areas suitable for sailboating . . .,” and “Established boat ramps and associated rigging areas . . .”; and NESC 234E, “Clearance of Wires, Conductors, Cables or Unguarded Rigid Live Parts Installed Over or Near Swimming Areas With No Wind Displacement.”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Table 232-1, Footnote 21, is changed to read: “Where the U.S. Army Corps of Engineers or the state, or a surrogate thereof, issues a crossing permit, the clearances of that permit govern if equal to or greater than those required herein. Where the permit clearances are less than those required herein and water surface use restrictions on vessel heights are enforced, the permit clearances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for clearances near grain bins, for measurements made under field conditions, the commission will consider compliance with the overhead vertical line clearance requirements of Subsection 232 and Table 232-1 of the 1987 NESC indicative of compliance with the 1990 through 2017 editions of the NESC. (For an explanation of the differences between 1987 and subsequent code edition clearances, see Appendix A of the 1990 through 2017 editions of the NESC.)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Rule 217C1 is changed to read: “The ground end of at least one guy per anchor shall be provided with a substantial marker not less than eight feet long. The guy marker shall be of a conspicuous color such as yellow, orange, or red. Noncomplying guy markers shall be replaced as part of the utility’s inspection and maintenance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added to Rule 381G: “(3) Pad-mounted and other aboveground equipment not located within a fenced or otherwise protected area shall have affixed to its outside access door or cover a prominent ‘Warning’ or other appropriate sign of highly visible color, warning of hazardous voltage and including the name of the utility. This rule applies to all signs placed or replaced after June 18,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added to the first paragraph of Rule 110A1, after the sentence stating, “Entrances not under observation of an authorized attendant shall be kept locked,” the following sentences: “Entrances may be unlocked while authorized personnel are inside. However, if unlocked, the entrance gate must be fully closed, and latched or fastened if there is a gate-latching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Lines crossing railroad tracks will comply with the additional requirements of rule </w:t>
      </w:r>
      <w:hyperlink r:id="rId12">
        <w:r>
          <w:rPr>
            <w:rStyle w:val="Hyperlink"/>
            <w:rFonts w:ascii="Times New Roman" w:hAnsi="Times New Roman"/>
            <w:b w:val="false"/>
            <w:i w:val="false"/>
            <w:color w:val="000000"/>
            <w:sz w:val="22"/>
          </w:rPr>
          <w:t>199—42.6</w:t>
        </w:r>
      </w:hyperlink>
      <w:r>
        <w:rPr>
          <w:rFonts w:ascii="Times New Roman" w:hAnsi="Times New Roman"/>
          <w:b w:val="false"/>
          <w:i w:val="false"/>
          <w:color w:val="000000"/>
          <w:sz w:val="22"/>
        </w:rPr>
        <w:t>(476), “Engineering standards for electric and communications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color w:val="000000"/>
          <w:sz w:val="22"/>
        </w:rPr>
        <w:t xml:space="preserve">Grain bins.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 utilities shall conduct or participate in annual public information campaigns to inform farmers, farm lenders, grain bin merchants, and city and county zoning officials of the hazards of and standards for construction of grain bins near power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electric utility may refuse to provide electric service to any grain bin built near an existing electric line that does not provide the clearances required by the ANSI C2-2023 “National Electrical Safety Code,” Rule 234F. This paragraph applies only to grain bins loaded by portable augers, conveyors or elevators and built after September 9, 1992, or to grain bins loaded by permanently installed augers, conveyors, or elevator systems installed after December 24, 1997.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Joint-use construction. </w:t>
      </w:r>
      <w:r>
        <w:rPr>
          <w:rFonts w:ascii="Times New Roman" w:hAnsi="Times New Roman"/>
          <w:b w:val="false"/>
          <w:i w:val="false"/>
          <w:color w:val="000000"/>
          <w:sz w:val="22"/>
        </w:rPr>
        <w:t>Where it is mutually agreeable between an electric utility and a communication or cable television company, communication circuits or cables may be buried in the same trench or attached to the same supporting structure, provided this joint use is permitted by, and is constructed in compliance with,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Lines. </w:t>
      </w:r>
      <w:r>
        <w:rPr>
          <w:rFonts w:ascii="Times New Roman" w:hAnsi="Times New Roman"/>
          <w:b w:val="false"/>
          <w:i w:val="false"/>
          <w:color w:val="000000"/>
          <w:sz w:val="22"/>
        </w:rPr>
        <w:t>In order to limit the residual currents and voltages arising from line unbalances, the resistance, inductance, capacitance and leakage conductance of each phase conductor of an electric supply circuit in any section shall be as nearly equal as practical to the corresponding quantities in the other phase conductors in the same section.</w:t>
      </w:r>
    </w:p>
    <w:p>
      <w:pPr>
        <w:spacing w:before="0" w:after="0"/>
        <w:ind w:left="120"/>
        <w:jc w:val="both"/>
      </w:pPr>
      <w:r>
        <w:rPr>
          <w:rFonts w:ascii="Times New Roman" w:hAnsi="Times New Roman"/>
          <w:b w:val="false"/>
          <w:i w:val="false"/>
          <w:color w:val="000000"/>
          <w:sz w:val="22"/>
        </w:rPr>
        <w:t>The ampacity of a multigrounded neutral conductor of an electric supply circuit shall be adequate for the load that it carries. The ampacity of a multigrounded neutral conductor of an electric supply circuit shall not be less than 60 percent of that of any phase conductor with which it is associated, except for three phase four wire wye circuits where it shall have ampacity not less than 50 percent of that of any associated phase conductor. In no case shall the resistance of a multigrounded neutral conductor exceed 3.6 ohms per mile. (This does not modify the mechanical strength requirements for conductors.) A multigrounded conductor installed and utilized primarily for lightning shielding of the associated phase conductors need not comply with the above percentage ampacity requirements for neutral conductors.</w:t>
      </w:r>
    </w:p>
    <w:p>
      <w:pPr>
        <w:spacing w:before="0" w:after="0"/>
        <w:ind w:left="120"/>
        <w:jc w:val="both"/>
      </w:pPr>
      <w:r>
        <w:rPr>
          <w:rFonts w:ascii="Times New Roman" w:hAnsi="Times New Roman"/>
          <w:b w:val="false"/>
          <w:i w:val="false"/>
          <w:color w:val="000000"/>
          <w:sz w:val="22"/>
        </w:rPr>
        <w:t>Where the neutral conductor of the electric supply circuit is not multigrounded or in an inductive exposure involving communication or signal circuits and equipment where the controlling frequencies are 360 Hertz or lower, any neutral conductor shall have the same ampacity as the phase conductors with which it is associated.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color w:val="000000"/>
          <w:sz w:val="22"/>
        </w:rPr>
        <w:t xml:space="preserve">Other references adopted.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“National Electrical Code,” ANSI/NFPA 70-2023, as published on December 7, 2022, is adopted as a standard of accepted good practice for customer-owned electrical facilities beyond the utility point of delivery, except for installations subject to the provisions of the state fire marshal standards in rule </w:t>
      </w:r>
      <w:hyperlink r:id="rId13">
        <w:r>
          <w:rPr>
            <w:rStyle w:val="Hyperlink"/>
            <w:rFonts w:ascii="Times New Roman" w:hAnsi="Times New Roman"/>
            <w:b w:val="false"/>
            <w:i w:val="false"/>
            <w:color w:val="000000"/>
            <w:sz w:val="22"/>
          </w:rPr>
          <w:t>661—504.1</w:t>
        </w:r>
      </w:hyperlink>
      <w:r>
        <w:rPr>
          <w:rFonts w:ascii="Times New Roman" w:hAnsi="Times New Roman"/>
          <w:b w:val="false"/>
          <w:i w:val="false"/>
          <w:color w:val="000000"/>
          <w:sz w:val="22"/>
        </w:rPr>
        <w:t>(103).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Lineman’s and Cableman’s Handbook,” Fourteenth Edition; Shoemaker, Thomas M. and Mack, James E.; New York, McGraw-Hill Book Co., is adopted as a recommended guideline to implement the “National Electrical Safety Code” or “National Electrical Code,” and for developing the inspection and maintenance plans required by rule </w:t>
      </w:r>
      <w:hyperlink r:id="rId14">
        <w:r>
          <w:rPr>
            <w:rStyle w:val="Hyperlink"/>
            <w:rFonts w:ascii="Times New Roman" w:hAnsi="Times New Roman"/>
            <w:b w:val="false"/>
            <w:i w:val="false"/>
            <w:color w:val="000000"/>
            <w:sz w:val="22"/>
          </w:rPr>
          <w:t>199—25.3</w:t>
        </w:r>
      </w:hyperlink>
      <w:r>
        <w:rPr>
          <w:rFonts w:ascii="Times New Roman" w:hAnsi="Times New Roman"/>
          <w:b w:val="false"/>
          <w:i w:val="false"/>
          <w:color w:val="000000"/>
          <w:sz w:val="22"/>
        </w:rPr>
        <w:t>(476,478).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199—25.3</w:t>
      </w:r>
      <w:r>
        <w:rPr>
          <w:rFonts w:ascii="Times New Roman" w:hAnsi="Times New Roman"/>
          <w:b/>
          <w:i w:val="false"/>
          <w:color w:val="000000"/>
          <w:sz w:val="22"/>
        </w:rPr>
        <w:t xml:space="preserve">(476,478) </w:t>
      </w:r>
      <w:r>
        <w:rPr>
          <w:rFonts w:ascii="Times New Roman" w:hAnsi="Times New Roman"/>
          <w:b/>
          <w:i w:val="false"/>
          <w:color w:val="000000"/>
          <w:sz w:val="22"/>
        </w:rPr>
        <w:t xml:space="preserve">Inspection and maintenance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Filing of plan. </w:t>
      </w:r>
      <w:r>
        <w:rPr>
          <w:rFonts w:ascii="Times New Roman" w:hAnsi="Times New Roman"/>
          <w:b w:val="false"/>
          <w:i w:val="false"/>
          <w:color w:val="000000"/>
          <w:sz w:val="22"/>
        </w:rPr>
        <w:t>Each electric utility shall adopt and file with the commission a written plan for inspecting and maintaining its electric supply lines and substations (excluding generating stations) in order to determine the necessity for replacement, maintenance, and repair and for tree trimming or other vegetation management. If the plan is amended or altered, revised copies of the appropriate plan pages shall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Each investor-owned, rate-regulated utility shall include as part of its annual report to the commission, as required by </w:t>
      </w:r>
      <w:hyperlink r:id="rId15">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 xml:space="preserve">, certification of compliance with each area of the inspection and maintenance plan required by subrule </w:t>
      </w:r>
      <w:hyperlink r:id="rId16">
        <w:r>
          <w:rPr>
            <w:rStyle w:val="Hyperlink"/>
            <w:rFonts w:ascii="Times New Roman" w:hAnsi="Times New Roman"/>
            <w:b w:val="false"/>
            <w:i w:val="false"/>
            <w:color w:val="000000"/>
            <w:sz w:val="22"/>
          </w:rPr>
          <w:t>25.3(1)</w:t>
        </w:r>
      </w:hyperlink>
      <w:r>
        <w:rPr>
          <w:rFonts w:ascii="Times New Roman" w:hAnsi="Times New Roman"/>
          <w:b w:val="false"/>
          <w:i w:val="false"/>
          <w:color w:val="000000"/>
          <w:sz w:val="22"/>
        </w:rPr>
        <w:t xml:space="preserve"> or a detailed statement on areas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color w:val="000000"/>
          <w:sz w:val="22"/>
        </w:rPr>
        <w:t xml:space="preserve">Contents of plan. </w:t>
      </w:r>
      <w:r>
        <w:rPr>
          <w:rFonts w:ascii="Times New Roman" w:hAnsi="Times New Roman"/>
          <w:b w:val="false"/>
          <w:i w:val="false"/>
          <w:color w:val="000000"/>
          <w:sz w:val="22"/>
        </w:rPr>
        <w:t>The inspection plan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listing of all counties or parts of counties in which the utility has electric supply lines in Iowa. If the utility has district or regional offices responsible for implementation of a portion of the plan, the addresses of those offices and a description of the territory for which they are responsible shall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of lines, poles, and substations.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 schedules. The plan shall contain a schedule for the periodic inspection of the various units of the utility’s electric plant. The period between inspections shall be based on accepted good practice in the industry, but for lines and substations, the period shall not exceed ten years for any given line or piece of equipment. Lines operated at 34.5 kV or above shall be inspected at least annually for damage and to determine the condition of the overhead line insulators.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coverage. The plan shall provide for the inspection of all supply line and substation units within the adopted inspection periods and shall include a complete listing of all categories of items to be checked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Conduct of inspections. Inspections shall be conducted in a manner conducive to the identification of safety, maintenance, and reliability concerns or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Instructions to inspectors. Copies of instructions or guide materials used by utility inspectors in determining whether a facility is in acceptable condition or in need of corrective action 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Tree trimming or vegetation management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 The plan shall contain a schedule for periodic tree trimming or other measures to control vegetation growth under or along the various units of the utility’s electric plant. The period between inspections shall be based on accepted good practice in the industry and may vary depending on the nature of the vegetation at different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The plan shall include written procedures for vegetation management. The procedures shall promote the safety and reliability of electric lines and facilities. Where tree trimming is employed, practices shall be adopted that will protect the health of the tree and reduce undesirable regrowth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Pole inspections. </w:t>
      </w:r>
      <w:r>
        <w:rPr>
          <w:rFonts w:ascii="Times New Roman" w:hAnsi="Times New Roman"/>
          <w:b w:val="false"/>
          <w:i w:val="false"/>
          <w:color w:val="000000"/>
          <w:sz w:val="22"/>
        </w:rPr>
        <w:t>Pole inspections shall periodically include an examination of the poles that includes tests in addition to visual inspection in appropriate circumstances. These additional tests may include sounding, boring, groundline exposure, and, if applicable, pole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Each utility shall keep sufficient records to demonstrate compliance with its inspection and vegetation management plans. For each inspection unit, the records of line and substation inspections and pole inspections shall include the inspection date(s), the findings of the inspection, and the disposition or scheduling of repairs or maintenance found necessary during the inspection. For each inspection unit, the records of vegetation management shall include the date(s) during which the work was conducted. The records shall be kept until two years after the next periodic inspection or vegetation management action in the inspection and maintenance plan cycle is completed or until all necessary repairs and maintenance are completed,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Applicable portions of Rural Utilities Service (RUS) Bulletins 1730-1, as approved on September 23, 2016; 1730B-121, as approved August 13, 2013; and 1724E-300, as approved June 7, 2001; and “The Lineman’s and Cableman’s Handbook” are suggested as guidelines for the development and implementation of an inspection plan. ANSI A300 (Part 1)-2017, “Pruning,” as published April 2017, and Section 35 of “The Lineman’s and Cableman’s Handbook” are suggested as guides for tree trimming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199—25.4</w:t>
      </w:r>
      <w:r>
        <w:rPr>
          <w:rFonts w:ascii="Times New Roman" w:hAnsi="Times New Roman"/>
          <w:b/>
          <w:i w:val="false"/>
          <w:color w:val="000000"/>
          <w:sz w:val="22"/>
        </w:rPr>
        <w:t xml:space="preserve">(476,478) </w:t>
      </w:r>
      <w:r>
        <w:rPr>
          <w:rFonts w:ascii="Times New Roman" w:hAnsi="Times New Roman"/>
          <w:b/>
          <w:i w:val="false"/>
          <w:color w:val="000000"/>
          <w:sz w:val="22"/>
        </w:rPr>
        <w:t xml:space="preserve">Correction of problems found during inspections and pole attachment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Corrective action shall be taken within a reasonable period of time on all potentially hazardous conditions, instances of safety code noncompliance, maintenance needs, potential threats to safety and reliability, or other concerns identified during inspections. Hazardous conditions shall be corrected promptly. In addition to the general requirements stated in this subrule, pole attachments shall comply with the specific requirements and procedures established in subrule </w:t>
      </w:r>
      <w:hyperlink r:id="rId17">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To ensure the safety of pole attachments to poles owned by utilities in Iowa, this subrule establishes requirements for attaching electric lines, communications lines, cable systems, video service lines, data lines, wireless antennae and other wireless facilities, or similar lines and facilities that are attached to the excess space on poles owned by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w:t>
      </w:r>
      <w:r>
        <w:rPr>
          <w:rFonts w:ascii="Times New Roman" w:hAnsi="Times New Roman"/>
          <w:b w:val="false"/>
          <w:i w:val="false"/>
          <w:color w:val="000000"/>
          <w:sz w:val="22"/>
        </w:rPr>
        <w:t>means any pole owned by a utility that carries electric lines, communications lines, cable systems, video service lines, data service lines, wireless antennae or other wireless facilities, or similar lines and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attachment” </w:t>
      </w:r>
      <w:r>
        <w:rPr>
          <w:rFonts w:ascii="Times New Roman" w:hAnsi="Times New Roman"/>
          <w:b w:val="false"/>
          <w:i w:val="false"/>
          <w:color w:val="000000"/>
          <w:sz w:val="22"/>
        </w:rPr>
        <w:t xml:space="preserve">means any electric line, communication circuit, cable system, video service line, data service line, antenna and other associated wireless equipment, or similar lines and facilities attached to a pole or other supporting structure subject to the safety jurisdiction of the commission pursuant to the Iowa electrical safety code, rule </w:t>
      </w:r>
      <w:hyperlink r:id="rId18">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occupant” </w:t>
      </w:r>
      <w:r>
        <w:rPr>
          <w:rFonts w:ascii="Times New Roman" w:hAnsi="Times New Roman"/>
          <w:b w:val="false"/>
          <w:i w:val="false"/>
          <w:color w:val="000000"/>
          <w:sz w:val="22"/>
        </w:rPr>
        <w:t>means any electric utility, telecommunications carrier, cable system provider, video service provider, data service provider, wireless service provider, or similar person or entity that constructs, operates, or maintains pole attachments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“Pole owner” </w:t>
      </w:r>
      <w:r>
        <w:rPr>
          <w:rFonts w:ascii="Times New Roman" w:hAnsi="Times New Roman"/>
          <w:b w:val="false"/>
          <w:i w:val="false"/>
          <w:color w:val="000000"/>
          <w:sz w:val="22"/>
        </w:rPr>
        <w:t xml:space="preserve">means a utility that owns poles subject to the safety jurisdiction of the commission pursuant to the Iowa electrical safety code, rule </w:t>
      </w:r>
      <w:hyperlink r:id="rId19">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electrical safety code. </w:t>
      </w:r>
      <w:r>
        <w:rPr>
          <w:rFonts w:ascii="Times New Roman" w:hAnsi="Times New Roman"/>
          <w:b w:val="false"/>
          <w:i w:val="false"/>
          <w:color w:val="000000"/>
          <w:sz w:val="22"/>
        </w:rPr>
        <w:t xml:space="preserve">Pole attachments to poles shall be constructed, installed, operated, and maintained in compliance with the Iowa electrical safety code, rule </w:t>
      </w:r>
      <w:hyperlink r:id="rId20">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 and the requirements and procedures established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Requests for access to poles; exceptions for service drops and overlashing.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pole owner shall provide nondiscriminatory access to poles it owns, to the extent required by federal or state law. Requests for access to poles by an electric utility, telecommunications carrier, cable system operator, video service provider, data service provider, wireless service provider, or similar person or entity shall be made in writing or by any method as may be agreed upon by the pole owner and the person or entity requesting access to the pole. If access is denied, the pole owner shall explain in detail the specific reason for denial and how the denial relates to reasons of lack of capacity, safety, reliability, or engineering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drops are not subject to the notice and approval requirements in subparagraph </w:t>
      </w:r>
      <w:hyperlink r:id="rId21">
        <w:r>
          <w:rPr>
            <w:rStyle w:val="Hyperlink"/>
            <w:rFonts w:ascii="Times New Roman" w:hAnsi="Times New Roman"/>
            <w:b w:val="false"/>
            <w:i w:val="false"/>
            <w:color w:val="000000"/>
            <w:sz w:val="22"/>
          </w:rPr>
          <w:t>25.4(2)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Instead, pole occupants shall provide notice to pole owners within 30 days of the installation of a new service drop unless the pole occupant and pole owner have negotiated a different notification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Overlashing of existing lines is not subject to the notice and approval requirements in subparagraph </w:t>
      </w:r>
      <w:hyperlink r:id="rId22">
        <w:r>
          <w:rPr>
            <w:rStyle w:val="Hyperlink"/>
            <w:rFonts w:ascii="Times New Roman" w:hAnsi="Times New Roman"/>
            <w:b w:val="false"/>
            <w:i w:val="false"/>
            <w:color w:val="000000"/>
            <w:sz w:val="22"/>
          </w:rPr>
          <w:t>25.4(2)</w:t>
        </w:r>
      </w:hyperlink>
      <w:r>
        <w:rPr>
          <w:rFonts w:ascii="Times New Roman" w:hAnsi="Times New Roman"/>
          <w:b w:val="false"/>
          <w:i/>
          <w:color w:val="000000"/>
          <w:sz w:val="22"/>
        </w:rPr>
        <w:t>“c”</w:t>
      </w:r>
      <w:r>
        <w:rPr>
          <w:rFonts w:ascii="Times New Roman" w:hAnsi="Times New Roman"/>
          <w:b w:val="false"/>
          <w:i w:val="false"/>
          <w:color w:val="000000"/>
          <w:sz w:val="22"/>
        </w:rPr>
        <w:t>(1). Pole occupants shall provide notice to pole owners of proposed overlashing at least seven days prior to installation of the overlashing unless the pole occupant and pole owner have negotiated a different notification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violation. </w:t>
      </w:r>
      <w:r>
        <w:rPr>
          <w:rFonts w:ascii="Times New Roman" w:hAnsi="Times New Roman"/>
          <w:b w:val="false"/>
          <w:i w:val="false"/>
          <w:color w:val="000000"/>
          <w:sz w:val="22"/>
        </w:rPr>
        <w:t>A pole owner shall notify in writing a pole occupant of an alleged violation of the Iowa electrical safety code by a pole attachment owned by the pole occupant or may provide notice by another method as may be agreed upon by the parties to a pole attachment agreement. The notice shall include the address and pole location where the alleged violation occurred, a description of the alleged violation, and suggested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receipt of notification from a pole owner that the pole occupant has one or more pole attachments in violation of the Iowa electrical safety code, the pole occupant shall respond to the pole owner within 60 days in writing or by another method as may be agreed upon by the pole occupant and the pole owner. The response shall provide a plan for corrective action, state that the violation has been corrected, indicate that the pole attachment is owned by a different pole occupant, or indicate that the pole occupant disputes that a violation has occurred. The violation shall be corrected within 180 days of the date notification is received unless good cause is shown for any delay in taking corrective action. A disagreement that a violation has occurred, a claim that correction is not possible within the specific time frames due to events beyond the control of the pole occupant, or a claim that a different pole occupant is responsible for the alleged violation will be considered good cause to extend the time for taking corrective action. The pole occupant and pole owner may also agree to an extension of the time for taking corrective action. The pole owner and pole occupant shall cooperate in determining the cause of a violation and an efficient and cost-effective method of correcting a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violation could reasonably be expected to endanger life or property, the pole occupant shall take the necessary action to correct, disconnect, or isolate the problem immediately upon notification. If immediate corrective action is not taken by the pole occupant for a violation that could reasonably be expected to endanger life or property, the pole owner may take the necessary corrective action and the pole occupant shall reimburse the pole owner for the actual cost of any corrective measures. If the pole owner is later determined to have caused the violation and the pole occupant has taken corrective action, the pole owner shall reimburse the pole occupant for the actual cost of the corrective action. Disputes concerning the ownership of the pole attachment should be resolved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Negotiated resolution of disputes. </w:t>
      </w:r>
      <w:r>
        <w:rPr>
          <w:rFonts w:ascii="Times New Roman" w:hAnsi="Times New Roman"/>
          <w:b w:val="false"/>
          <w:i w:val="false"/>
          <w:color w:val="000000"/>
          <w:sz w:val="22"/>
        </w:rPr>
        <w:t xml:space="preserve">Parties to disputes over alleged violations of the Iowa electrical safety code, the cause of a violation, the pole occupant responsible for the violation, the cost-effective corrective action, or any other dispute regarding the provisions of subrule </w:t>
      </w:r>
      <w:hyperlink r:id="rId23">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shall attempt to resolve disputes through good-faith negotiations. Parties may file an informal complaint with the commission pursuant to </w:t>
      </w:r>
      <w:hyperlink r:id="rId24">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as part of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concerning the requirements or procedures established in subrule </w:t>
      </w:r>
      <w:hyperlink r:id="rId25">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including alleged violations of the Iowa electrical safety code, may be filed with the commission by pole owners or pole occupants pursuant to the complaint procedures in </w:t>
      </w:r>
      <w:hyperlink r:id="rId26">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 xml:space="preserve">Persons found to have violated the provisions of subrule </w:t>
      </w:r>
      <w:hyperlink r:id="rId27">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may be subject to civil penalties pursuant to Iowa Code section </w:t>
      </w:r>
      <w:hyperlink r:id="rId28">
        <w:r>
          <w:rPr>
            <w:rStyle w:val="Hyperlink"/>
            <w:rFonts w:ascii="Times New Roman" w:hAnsi="Times New Roman"/>
            <w:b w:val="false"/>
            <w:i w:val="false"/>
            <w:color w:val="000000"/>
            <w:sz w:val="22"/>
          </w:rPr>
          <w:t>476.51</w:t>
        </w:r>
      </w:hyperlink>
      <w:r>
        <w:rPr>
          <w:rFonts w:ascii="Times New Roman" w:hAnsi="Times New Roman"/>
          <w:b w:val="false"/>
          <w:i w:val="false"/>
          <w:color w:val="000000"/>
          <w:sz w:val="22"/>
        </w:rPr>
        <w:t xml:space="preserve"> or to other action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199—25.5</w:t>
      </w:r>
      <w:r>
        <w:rPr>
          <w:rFonts w:ascii="Times New Roman" w:hAnsi="Times New Roman"/>
          <w:b/>
          <w:i w:val="false"/>
          <w:color w:val="000000"/>
          <w:sz w:val="22"/>
        </w:rPr>
        <w:t xml:space="preserve">(476,478) </w:t>
      </w:r>
      <w:r>
        <w:rPr>
          <w:rFonts w:ascii="Times New Roman" w:hAnsi="Times New Roman"/>
          <w:b/>
          <w:i w:val="false"/>
          <w:color w:val="000000"/>
          <w:sz w:val="22"/>
        </w:rPr>
        <w:t xml:space="preserve">Accident reports. </w:t>
      </w:r>
      <w:r>
        <w:rPr>
          <w:rFonts w:ascii="Times New Roman" w:hAnsi="Times New Roman"/>
          <w:b w:val="false"/>
          <w:i w:val="false"/>
          <w:color w:val="000000"/>
          <w:sz w:val="22"/>
        </w:rPr>
        <w:t>This rule applies to all owners or operators of electrical facilities subject to the safety jurisdiction of the commission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electrical facilities subject to the safety jurisdiction of the commission shall provide the commission with a 24-hour contact number where the commission can obtain immediate access to a person knowledgeable about any incidents involving contact with energized electrical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electrical facilities subject to the safety jurisdiction of the commission shall notify the commission of any incident or accident involving contact with energized electrical facilities that meets one or more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or other person coming in contact with energized electrical facilities that results in death or personal injury necessitating in-patient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Estimated property damage of $25,000 or more to the property of the utility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incident considered significant by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electrical lines being taken out of service for longer than 12 hours due to physical contact with the electrical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be notified immediately, or as soon as practical thereafter, by email to the commission duty officer at </w:t>
      </w:r>
      <w:hyperlink r:id="rId29">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service is not available, by calling 515.745.2332. The person contacting the commission shall leave a telephone number of a person who can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company, the name and telephone number of the person making the report, and the name and telephone number of a contact person knowledgeable about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deaths or personal injuries requiring in-patient hospitalization and the extent of those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Initial estimate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summary of the significant information available regarding the probable cause of the incident and extent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oral or written report made to a federal agency, the agency receiving the report, and the name and telephone number of the person who made or prepared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incident reports. Within 30 days of the date of the incident, the owner or operator shall file a written report with the commission. The report shall include the information required for notice in subrule </w:t>
      </w:r>
      <w:hyperlink r:id="rId30">
        <w:r>
          <w:rPr>
            <w:rStyle w:val="Hyperlink"/>
            <w:rFonts w:ascii="Times New Roman" w:hAnsi="Times New Roman"/>
            <w:b w:val="false"/>
            <w:i w:val="false"/>
            <w:color w:val="000000"/>
            <w:sz w:val="22"/>
          </w:rPr>
          <w:t>25.5(3)</w:t>
        </w:r>
      </w:hyperlink>
      <w:r>
        <w:rPr>
          <w:rFonts w:ascii="Times New Roman" w:hAnsi="Times New Roman"/>
          <w:b w:val="false"/>
          <w:i w:val="false"/>
          <w:color w:val="000000"/>
          <w:sz w:val="22"/>
        </w:rPr>
        <w:t>, the probable cause as determined by the company, the number and cause of any deaths or personal injuries requiring in-patient hospitalization, and a detailed description of property damage and the amount of monetary damages. If significant additional information becomes available at a later date, a supplemental report shall be filed. Duplicate copies of any written reports filed with or submitted to a federal agency concerning the incident shall also be provided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1">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11/19/82, Notice 9/1/82—published 12/8/82, effective 1/12/83]</w:t>
      </w:r>
    </w:p>
    <w:p>
      <w:pPr>
        <w:spacing w:before="0" w:after="0"/>
        <w:ind w:left="120"/>
        <w:jc w:val="center"/>
      </w:pPr>
      <w:r>
        <w:rPr>
          <w:rFonts w:ascii="Times New Roman" w:hAnsi="Times New Roman"/>
          <w:b w:val="false"/>
          <w:i w:val="false"/>
          <w:color w:val="000000"/>
          <w:sz w:val="21"/>
        </w:rPr>
        <w:t>[Filed 1/28/83, Notice 12/8/82—published 2/16/83, effective 3/23/83]</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11/18/91, Notice 4/17/91—published 12/11/91, effective 1/15/92]</w:t>
      </w:r>
    </w:p>
    <w:p>
      <w:pPr>
        <w:spacing w:before="0" w:after="0"/>
        <w:ind w:left="120"/>
        <w:jc w:val="center"/>
      </w:pPr>
      <w:r>
        <w:rPr>
          <w:rFonts w:ascii="Times New Roman" w:hAnsi="Times New Roman"/>
          <w:b w:val="false"/>
          <w:i w:val="false"/>
          <w:color w:val="000000"/>
          <w:sz w:val="21"/>
        </w:rPr>
        <w:t>[Filed 7/15/92, Notice 12/11/91—published 8/5/92, effective 9/9/92]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10/20/94, Notice 6/22/94—published 11/9/94, effective 12/14/94]</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10/25/02, Notice 3/6/02—published 11/13/02, effective 12/18/02]</w:t>
      </w:r>
    </w:p>
    <w:p>
      <w:pPr>
        <w:spacing w:before="0" w:after="0"/>
        <w:ind w:left="120"/>
        <w:jc w:val="center"/>
      </w:pPr>
      <w:r>
        <w:rPr>
          <w:rFonts w:ascii="Times New Roman" w:hAnsi="Times New Roman"/>
          <w:b w:val="false"/>
          <w:i w:val="false"/>
          <w:color w:val="000000"/>
          <w:sz w:val="21"/>
        </w:rPr>
        <w:t>[Filed 4/24/03, Notice 12/11/02—published 5/14/03, effective 6/18/03]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[Filed 6/14/07, Notice 12/20/06—published 7/4/07, effective 8/8/07]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1259C</w:t>
      </w:r>
      <w:r>
        <w:rPr>
          <w:rFonts w:ascii="Times New Roman" w:hAnsi="Times New Roman"/>
          <w:b w:val="false"/>
          <w:i w:val="false"/>
          <w:color w:val="000000"/>
          <w:sz w:val="21"/>
        </w:rPr>
        <w:t xml:space="preserve"> (Notice ARC 0784C, IAB 6/12/13)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3010C</w:t>
      </w:r>
      <w:r>
        <w:rPr>
          <w:rFonts w:ascii="Times New Roman" w:hAnsi="Times New Roman"/>
          <w:b w:val="false"/>
          <w:i w:val="false"/>
          <w:color w:val="000000"/>
          <w:sz w:val="21"/>
        </w:rPr>
        <w:t xml:space="preserve"> (Notice ARC 2815C, IAB 11/23/16)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5531C</w:t>
      </w:r>
      <w:r>
        <w:rPr>
          <w:rFonts w:ascii="Times New Roman" w:hAnsi="Times New Roman"/>
          <w:b w:val="false"/>
          <w:i w:val="false"/>
          <w:color w:val="000000"/>
          <w:sz w:val="21"/>
        </w:rPr>
        <w:t xml:space="preserve"> (Notice ARC 5153C, IAB 8/26/20)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9045C</w:t>
      </w:r>
      <w:r>
        <w:rPr>
          <w:rFonts w:ascii="Times New Roman" w:hAnsi="Times New Roman"/>
          <w:b w:val="false"/>
          <w:i w:val="false"/>
          <w:color w:val="000000"/>
          <w:sz w:val="21"/>
        </w:rPr>
        <w:t xml:space="preserve"> (Notice ARC 8200C, IAB 8/21/24)</w:t>
      </w:r>
      <w:r>
        <w:rPr>
          <w:rFonts w:ascii="Times New Roman" w:hAnsi="Times New Roman"/>
          <w:b w:val="false"/>
          <w:i w:val="false"/>
          <w:color w:val="000000"/>
          <w:sz w:val="21"/>
        </w:rPr>
        <w:t>, IAB 3/19/25, effective 4/23/25]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1.pdf" Type="http://schemas.openxmlformats.org/officeDocument/2006/relationships/hyperlink" Id="rId5"/>
    <Relationship TargetMode="External" Target="https://www.legis.iowa.gov/docs/ico/chapter/476.1B.pdf" Type="http://schemas.openxmlformats.org/officeDocument/2006/relationships/hyperlink" Id="rId6"/>
    <Relationship TargetMode="External" Target="https://www.legis.iowa.gov/docs/ico/chapter/476.2.pdf" Type="http://schemas.openxmlformats.org/officeDocument/2006/relationships/hyperlink" Id="rId7"/>
    <Relationship TargetMode="External" Target="https://www.legis.iowa.gov/docs/ico/chapter/476A.12.pdf" Type="http://schemas.openxmlformats.org/officeDocument/2006/relationships/hyperlink" Id="rId8"/>
    <Relationship TargetMode="External" Target="https://www.legis.iowa.gov/docs/ico/chapter/478.19.pdf" Type="http://schemas.openxmlformats.org/officeDocument/2006/relationships/hyperlink" Id="rId9"/>
    <Relationship TargetMode="External" Target="https://www.legis.iowa.gov/docs/ico/chapter/478.20.pdf" Type="http://schemas.openxmlformats.org/officeDocument/2006/relationships/hyperlink" Id="rId10"/>
    <Relationship TargetMode="External" Target="https://www.legis.iowa.gov/docs/ico/chapter/478.pdf" Type="http://schemas.openxmlformats.org/officeDocument/2006/relationships/hyperlink" Id="rId11"/>
    <Relationship TargetMode="External" Target="https://www.legis.iowa.gov/docs/iac/rule/199.42.6.pdf" Type="http://schemas.openxmlformats.org/officeDocument/2006/relationships/hyperlink" Id="rId12"/>
    <Relationship TargetMode="External" Target="https://www.legis.iowa.gov/docs/iac/rule/661.504.1.pdf" Type="http://schemas.openxmlformats.org/officeDocument/2006/relationships/hyperlink" Id="rId13"/>
    <Relationship TargetMode="External" Target="https://www.legis.iowa.gov/docs/iac/rule/199.25.3.pdf" Type="http://schemas.openxmlformats.org/officeDocument/2006/relationships/hyperlink" Id="rId14"/>
    <Relationship TargetMode="External" Target="https://www.legis.iowa.gov/docs/iac/chapter/199.23.pdf" Type="http://schemas.openxmlformats.org/officeDocument/2006/relationships/hyperlink" Id="rId15"/>
    <Relationship TargetMode="External" Target="https://www.legis.iowa.gov/docs/iac/rule/199.25.3.pdf" Type="http://schemas.openxmlformats.org/officeDocument/2006/relationships/hyperlink" Id="rId16"/>
    <Relationship TargetMode="External" Target="https://www.legis.iowa.gov/docs/iac/rule/199.25.4.pdf" Type="http://schemas.openxmlformats.org/officeDocument/2006/relationships/hyperlink" Id="rId17"/>
    <Relationship TargetMode="External" Target="https://www.legis.iowa.gov/docs/iac/rule/199.25.2.pdf" Type="http://schemas.openxmlformats.org/officeDocument/2006/relationships/hyperlink" Id="rId18"/>
    <Relationship TargetMode="External" Target="https://www.legis.iowa.gov/docs/iac/rule/199.25.2.pdf" Type="http://schemas.openxmlformats.org/officeDocument/2006/relationships/hyperlink" Id="rId19"/>
    <Relationship TargetMode="External" Target="https://www.legis.iowa.gov/docs/iac/rule/199.25.2.pdf" Type="http://schemas.openxmlformats.org/officeDocument/2006/relationships/hyperlink" Id="rId20"/>
    <Relationship TargetMode="External" Target="https://www.legis.iowa.gov/docs/iac/rule/199.25.4.pdf" Type="http://schemas.openxmlformats.org/officeDocument/2006/relationships/hyperlink" Id="rId21"/>
    <Relationship TargetMode="External" Target="https://www.legis.iowa.gov/docs/iac/rule/199.25.4.pdf" Type="http://schemas.openxmlformats.org/officeDocument/2006/relationships/hyperlink" Id="rId22"/>
    <Relationship TargetMode="External" Target="https://www.legis.iowa.gov/docs/iac/rule/199.25.4.pdf" Type="http://schemas.openxmlformats.org/officeDocument/2006/relationships/hyperlink" Id="rId23"/>
    <Relationship TargetMode="External" Target="https://www.legis.iowa.gov/docs/iac/chapter/199.6.pdf" Type="http://schemas.openxmlformats.org/officeDocument/2006/relationships/hyperlink" Id="rId24"/>
    <Relationship TargetMode="External" Target="https://www.legis.iowa.gov/docs/iac/rule/199.25.4.pdf" Type="http://schemas.openxmlformats.org/officeDocument/2006/relationships/hyperlink" Id="rId25"/>
    <Relationship TargetMode="External" Target="https://www.legis.iowa.gov/docs/iac/chapter/199.6.pdf" Type="http://schemas.openxmlformats.org/officeDocument/2006/relationships/hyperlink" Id="rId26"/>
    <Relationship TargetMode="External" Target="https://www.legis.iowa.gov/docs/iac/rule/199.25.4.pdf" Type="http://schemas.openxmlformats.org/officeDocument/2006/relationships/hyperlink" Id="rId27"/>
    <Relationship TargetMode="External" Target="https://www.legis.iowa.gov/docs/ico/chapter/476.51.pdf" Type="http://schemas.openxmlformats.org/officeDocument/2006/relationships/hyperlink" Id="rId28"/>
    <Relationship TargetMode="External" Target="mailto:dutyofficer@iuc.iowa.gov" Type="http://schemas.openxmlformats.org/officeDocument/2006/relationships/hyperlink" Id="rId29"/>
    <Relationship TargetMode="External" Target="https://www.legis.iowa.gov/docs/iac/rule/199.25.5.pdf" Type="http://schemas.openxmlformats.org/officeDocument/2006/relationships/hyperlink" Id="rId30"/>
    <Relationship TargetMode="External" Target="https://www.legis.iowa.gov/docs/ico/chapter/478.pdf" Type="http://schemas.openxmlformats.org/officeDocument/2006/relationships/hyperlink"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