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IOWA VETERANS HOME</w:t>
      </w:r>
    </w:p>
    <w:p>
      <w:pPr>
        <w:spacing w:before="0" w:after="0"/>
        <w:ind w:left="120"/>
        <w:jc w:val="center"/>
      </w:pPr>
      <w:r>
        <w:rPr>
          <w:rFonts w:ascii="Times New Roman" w:hAnsi="Times New Roman"/>
          <w:b w:val="false"/>
          <w:i w:val="false"/>
          <w:color w:val="000000"/>
          <w:sz w:val="14"/>
        </w:rPr>
        <w:t>[Prior to 2/29/84, Social Services[770] Ch 134]</w:t>
      </w:r>
    </w:p>
    <w:p>
      <w:pPr>
        <w:spacing w:before="0" w:after="0"/>
        <w:ind w:left="120"/>
        <w:jc w:val="center"/>
      </w:pPr>
      <w:r>
        <w:rPr>
          <w:rFonts w:ascii="Times New Roman" w:hAnsi="Times New Roman"/>
          <w:b w:val="false"/>
          <w:i w:val="false"/>
          <w:color w:val="000000"/>
          <w:sz w:val="14"/>
        </w:rPr>
        <w:t>[Prior to 2/11/87, Human Services[498] Ch 10]</w:t>
      </w:r>
    </w:p>
    <w:p>
      <w:pPr>
        <w:spacing w:before="0" w:after="0"/>
        <w:ind w:left="120"/>
        <w:jc w:val="center"/>
      </w:pPr>
      <w:r>
        <w:rPr>
          <w:rFonts w:ascii="Times New Roman" w:hAnsi="Times New Roman"/>
          <w:b w:val="false"/>
          <w:i w:val="false"/>
          <w:color w:val="000000"/>
          <w:sz w:val="14"/>
        </w:rPr>
        <w:t>[Prior to 1/20/93, Human Services[441] Ch 10]</w:t>
      </w:r>
    </w:p>
    <w:p>
      <w:pPr>
        <w:spacing w:before="0" w:after="0"/>
        <w:ind w:left="120"/>
        <w:jc w:val="left"/>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The Iowa Veterans Home is a long-term health care facility located in Marshalltown, Iowa, with oversight provided by the commission of veterans affairs.</w:t>
      </w:r>
    </w:p>
    <w:p>
      <w:pPr>
        <w:spacing w:before="0" w:after="0"/>
        <w:ind w:left="120"/>
        <w:jc w:val="both"/>
      </w:pPr>
      <w:r>
        <w:rPr>
          <w:rFonts w:ascii="Times New Roman" w:hAnsi="Times New Roman"/>
          <w:b/>
          <w:i w:val="false"/>
          <w:color w:val="000000"/>
          <w:sz w:val="22"/>
        </w:rPr>
        <w:t>801—10.1</w:t>
      </w:r>
      <w:r>
        <w:rPr>
          <w:rFonts w:ascii="Times New Roman" w:hAnsi="Times New Roman"/>
          <w:b/>
          <w:i w:val="false"/>
          <w:color w:val="000000"/>
          <w:sz w:val="22"/>
        </w:rPr>
        <w:t xml:space="preserve">(35D) </w:t>
      </w:r>
      <w:r>
        <w:rPr>
          <w:rFonts w:ascii="Times New Roman" w:hAnsi="Times New Roman"/>
          <w:b/>
          <w:i w:val="false"/>
          <w:color w:val="000000"/>
          <w:sz w:val="22"/>
        </w:rPr>
        <w:t xml:space="preserve">Definitions relevant to Iowa Veterans Home. </w:t>
      </w:r>
      <w:r>
        <w:rPr>
          <w:rFonts w:ascii="Times New Roman" w:hAnsi="Times New Roman"/>
          <w:b w:val="false"/>
          <w:i w:val="false"/>
          <w:color w:val="000000"/>
          <w:sz w:val="22"/>
        </w:rPr>
        <w:t>The following definitions are unique to rules pertaining to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“Acute alcoholic” </w:t>
      </w:r>
      <w:r>
        <w:rPr>
          <w:rFonts w:ascii="Times New Roman" w:hAnsi="Times New Roman"/>
          <w:b w:val="false"/>
          <w:i w:val="false"/>
          <w:color w:val="000000"/>
          <w:sz w:val="22"/>
        </w:rPr>
        <w:t>means any disturbance of emotional equilibrium caused by the consumption of alcohol resulting in behavior not currently controllable.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“Acutely mentally ill” </w:t>
      </w:r>
      <w:r>
        <w:rPr>
          <w:rFonts w:ascii="Times New Roman" w:hAnsi="Times New Roman"/>
          <w:b w:val="false"/>
          <w:i w:val="false"/>
          <w:color w:val="000000"/>
          <w:sz w:val="22"/>
        </w:rPr>
        <w:t>means any disturbance of emotional equilibrium manifested in maladaptive behavior and impaired functioning caused by genetic, physical, chemical, biological, psychological, social or cultural factors which requires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“Addicted to drugs” </w:t>
      </w:r>
      <w:r>
        <w:rPr>
          <w:rFonts w:ascii="Times New Roman" w:hAnsi="Times New Roman"/>
          <w:b w:val="false"/>
          <w:i w:val="false"/>
          <w:color w:val="000000"/>
          <w:sz w:val="22"/>
        </w:rPr>
        <w:t xml:space="preserve">means a state of dependency as medically determined resulting from excessive or prolonged use of drugs as defined in Iowa Code chapter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“Admissions committee” </w:t>
      </w:r>
      <w:r>
        <w:rPr>
          <w:rFonts w:ascii="Times New Roman" w:hAnsi="Times New Roman"/>
          <w:b w:val="false"/>
          <w:i w:val="false"/>
          <w:color w:val="000000"/>
          <w:sz w:val="22"/>
        </w:rPr>
        <w:t>means the committee appointed by the commandant to review applications to determine eligibility for admission and appropriate level and category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“Admissions coordinator” </w:t>
      </w:r>
      <w:r>
        <w:rPr>
          <w:rFonts w:ascii="Times New Roman" w:hAnsi="Times New Roman"/>
          <w:b w:val="false"/>
          <w:i w:val="false"/>
          <w:color w:val="000000"/>
          <w:sz w:val="22"/>
        </w:rPr>
        <w:t>means the individual responsible for the coordination of the admissions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is applying for admission into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“Assets” </w:t>
      </w:r>
      <w:r>
        <w:rPr>
          <w:rFonts w:ascii="Times New Roman" w:hAnsi="Times New Roman"/>
          <w:b w:val="false"/>
          <w:i w:val="false"/>
          <w:color w:val="000000"/>
          <w:sz w:val="22"/>
        </w:rPr>
        <w:t>means items of value held by, or on behalf of, an applicant or member. Assets include, but are not limited to, cash, savings and checking accounts; stocks; bonds; contracts for sale of property; homestead or nonhomestead property. Nonrecurring windfall payments such as, but not limited to, inheritances; death benefits; insurance or tort claim settlements; and cash payments received from the conversion of a nonliquid asset to cash shall be considered assets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 once”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“timely” </w:t>
      </w:r>
      <w:r>
        <w:rPr>
          <w:rFonts w:ascii="Times New Roman" w:hAnsi="Times New Roman"/>
          <w:b w:val="false"/>
          <w:i w:val="false"/>
          <w:color w:val="000000"/>
          <w:sz w:val="22"/>
        </w:rPr>
        <w:t>means within ten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“Collaborative care plan” </w:t>
      </w:r>
      <w:r>
        <w:rPr>
          <w:rFonts w:ascii="Times New Roman" w:hAnsi="Times New Roman"/>
          <w:b w:val="false"/>
          <w:i w:val="false"/>
          <w:color w:val="000000"/>
          <w:sz w:val="22"/>
        </w:rPr>
        <w:t>means the plan of care developed for a member by the resident care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“Commandant” </w:t>
      </w:r>
      <w:r>
        <w:rPr>
          <w:rFonts w:ascii="Times New Roman" w:hAnsi="Times New Roman"/>
          <w:b w:val="false"/>
          <w:i w:val="false"/>
          <w:color w:val="000000"/>
          <w:sz w:val="22"/>
        </w:rPr>
        <w:t>means the chief executive officer of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“Continuously disruptive” </w:t>
      </w:r>
      <w:r>
        <w:rPr>
          <w:rFonts w:ascii="Times New Roman" w:hAnsi="Times New Roman"/>
          <w:b w:val="false"/>
          <w:i w:val="false"/>
          <w:color w:val="000000"/>
          <w:sz w:val="22"/>
        </w:rPr>
        <w:t xml:space="preserve">means any behavior, on a recurring basis, which has been documented by Iowa Veterans Home staff, that causes harm to a member or staff or conflicts with the member responsibilities set forth in subrule </w:t>
      </w:r>
      <w:hyperlink r:id="rId6">
        <w:r>
          <w:rPr>
            <w:rStyle w:val="Hyperlink"/>
            <w:rFonts w:ascii="Times New Roman" w:hAnsi="Times New Roman"/>
            <w:b w:val="false"/>
            <w:i w:val="false"/>
            <w:color w:val="000000"/>
            <w:sz w:val="22"/>
          </w:rPr>
          <w:t>10.12(1)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“Countable asset” </w:t>
      </w:r>
      <w:r>
        <w:rPr>
          <w:rFonts w:ascii="Times New Roman" w:hAnsi="Times New Roman"/>
          <w:b w:val="false"/>
          <w:i w:val="false"/>
          <w:color w:val="000000"/>
          <w:sz w:val="22"/>
        </w:rPr>
        <w:t>means an asset to be considered in calculation of member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“Dangerous to self or others” </w:t>
      </w:r>
      <w:r>
        <w:rPr>
          <w:rFonts w:ascii="Times New Roman" w:hAnsi="Times New Roman"/>
          <w:b w:val="false"/>
          <w:i w:val="false"/>
          <w:color w:val="000000"/>
          <w:sz w:val="22"/>
        </w:rPr>
        <w:t>means any activity by a member which would result in injury to the member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w:t>
      </w:r>
      <w:r>
        <w:rPr>
          <w:rFonts w:ascii="Times New Roman" w:hAnsi="Times New Roman"/>
          <w:b w:val="false"/>
          <w:i w:val="false"/>
          <w:color w:val="000000"/>
          <w:sz w:val="22"/>
        </w:rPr>
        <w:t>means a person for whose financial support an applicant or member is legally responsible or obligated.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“Diversion” </w:t>
      </w:r>
      <w:r>
        <w:rPr>
          <w:rFonts w:ascii="Times New Roman" w:hAnsi="Times New Roman"/>
          <w:b w:val="false"/>
          <w:i w:val="false"/>
          <w:color w:val="000000"/>
          <w:sz w:val="22"/>
        </w:rPr>
        <w:t>means income that is transferred to a spouse before the member support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“DVA” </w:t>
      </w:r>
      <w:r>
        <w:rPr>
          <w:rFonts w:ascii="Times New Roman" w:hAnsi="Times New Roman"/>
          <w:b w:val="false"/>
          <w:i w:val="false"/>
          <w:color w:val="000000"/>
          <w:sz w:val="22"/>
        </w:rPr>
        <w:t>means the U.S.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 time” </w:t>
      </w:r>
      <w:r>
        <w:rPr>
          <w:rFonts w:ascii="Times New Roman" w:hAnsi="Times New Roman"/>
          <w:b w:val="false"/>
          <w:i w:val="false"/>
          <w:color w:val="000000"/>
          <w:sz w:val="22"/>
        </w:rPr>
        <w:t>means 12 days of leave time each calendar year for which the member is not charged for care during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 support rate” </w:t>
      </w:r>
      <w:r>
        <w:rPr>
          <w:rFonts w:ascii="Times New Roman" w:hAnsi="Times New Roman"/>
          <w:b w:val="false"/>
          <w:i w:val="false"/>
          <w:color w:val="000000"/>
          <w:sz w:val="22"/>
        </w:rPr>
        <w:t>means the maximum daily rate of support times the billable days of care received in any month less any offsets.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“Gold Star parent” </w:t>
      </w:r>
      <w:r>
        <w:rPr>
          <w:rFonts w:ascii="Times New Roman" w:hAnsi="Times New Roman"/>
          <w:b w:val="false"/>
          <w:i w:val="false"/>
          <w:color w:val="000000"/>
          <w:sz w:val="22"/>
        </w:rPr>
        <w:t>means a parent of a deceased member of the United States armed forces who died while serving on active duty during a time of military conflict or who died as a result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“Honorable discharge” </w:t>
      </w:r>
      <w:r>
        <w:rPr>
          <w:rFonts w:ascii="Times New Roman" w:hAnsi="Times New Roman"/>
          <w:b w:val="false"/>
          <w:i w:val="false"/>
          <w:color w:val="000000"/>
          <w:sz w:val="22"/>
        </w:rPr>
        <w:t>means separation or retirement from active military service. The veteran must be eligible for medical care in the DVA system (excluding financial eligibility). Honorable discharge includes general discharges under honorable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means money gained by labor or service, or money paid periodically to an applicant or member. Income includes, but is not limited to, disability, retirement pensions or benefits; interest, dividends, payments from long-term care insurance, or other income received from investments; income from property rentals; certain moneys related to real estate contracts; earnings from regular employment or self-employment enterprises.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“IVH” </w:t>
      </w:r>
      <w:r>
        <w:rPr>
          <w:rFonts w:ascii="Times New Roman" w:hAnsi="Times New Roman"/>
          <w:b w:val="false"/>
          <w:i w:val="false"/>
          <w:color w:val="000000"/>
          <w:sz w:val="22"/>
        </w:rPr>
        <w:t>means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representative” </w:t>
      </w:r>
      <w:r>
        <w:rPr>
          <w:rFonts w:ascii="Times New Roman" w:hAnsi="Times New Roman"/>
          <w:b w:val="false"/>
          <w:i w:val="false"/>
          <w:color w:val="000000"/>
          <w:sz w:val="22"/>
        </w:rPr>
        <w:t>for purposes of applicant or member personal and care decisions means durable power of attorney for health care, guardian, or next-of-kin (spouse, adult children, parents, adult siblings). For applicant or member financial decisions, “legal representative” means conservator, power of attorney, fiduciary or representative payee or next-of-kin (spouse, adult children, parents, adult siblings).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nursing home administrator” </w:t>
      </w:r>
      <w:r>
        <w:rPr>
          <w:rFonts w:ascii="Times New Roman" w:hAnsi="Times New Roman"/>
          <w:b w:val="false"/>
          <w:i w:val="false"/>
          <w:color w:val="000000"/>
          <w:sz w:val="22"/>
        </w:rPr>
        <w:t xml:space="preserve">means a duly licensed nursing home administrator pursuant to Iowa Code chapter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provider” </w:t>
      </w:r>
      <w:r>
        <w:rPr>
          <w:rFonts w:ascii="Times New Roman" w:hAnsi="Times New Roman"/>
          <w:b w:val="false"/>
          <w:i w:val="false"/>
          <w:color w:val="000000"/>
          <w:sz w:val="22"/>
        </w:rPr>
        <w:t>means a doctor of medicine or osteopathic medicine who is licensed to practice in the state of Iowa. Except as defined by Iowa law, a medical provider also means an advanced registered nurse practitioner or physician assistant who is licensed to practice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means a resident of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support” </w:t>
      </w:r>
      <w:r>
        <w:rPr>
          <w:rFonts w:ascii="Times New Roman" w:hAnsi="Times New Roman"/>
          <w:b w:val="false"/>
          <w:i w:val="false"/>
          <w:color w:val="000000"/>
          <w:sz w:val="22"/>
        </w:rPr>
        <w:t>means the dollar amount which is billed monthly to the member or legal representative for the member’s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“PASRR” </w:t>
      </w:r>
      <w:r>
        <w:rPr>
          <w:rFonts w:ascii="Times New Roman" w:hAnsi="Times New Roman"/>
          <w:b w:val="false"/>
          <w:i w:val="false"/>
          <w:color w:val="000000"/>
          <w:sz w:val="22"/>
        </w:rPr>
        <w:t>means preadmission screening and resident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care committee”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“RCC” </w:t>
      </w:r>
      <w:r>
        <w:rPr>
          <w:rFonts w:ascii="Times New Roman" w:hAnsi="Times New Roman"/>
          <w:b w:val="false"/>
          <w:i w:val="false"/>
          <w:color w:val="000000"/>
          <w:sz w:val="22"/>
        </w:rPr>
        <w:t>means the member, a social worker, a registered nurse, a dietitian, a medical provider, a recreation specialist and a mental health provider, as required, who are involved in reviewing the member’s assessment data and developing a collaborative care plan for the individual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“Resource” </w:t>
      </w:r>
      <w:r>
        <w:rPr>
          <w:rFonts w:ascii="Times New Roman" w:hAnsi="Times New Roman"/>
          <w:b w:val="false"/>
          <w:i w:val="false"/>
          <w:color w:val="000000"/>
          <w:sz w:val="22"/>
        </w:rPr>
        <w:t>means assets and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“Spouse” </w:t>
      </w:r>
      <w:r>
        <w:rPr>
          <w:rFonts w:ascii="Times New Roman" w:hAnsi="Times New Roman"/>
          <w:b w:val="false"/>
          <w:i w:val="false"/>
          <w:color w:val="000000"/>
          <w:sz w:val="22"/>
        </w:rPr>
        <w:t>means a person who is the legal or common-law wife or husband of a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“Surviving spouse” </w:t>
      </w:r>
      <w:r>
        <w:rPr>
          <w:rFonts w:ascii="Times New Roman" w:hAnsi="Times New Roman"/>
          <w:b w:val="false"/>
          <w:i w:val="false"/>
          <w:color w:val="000000"/>
          <w:sz w:val="22"/>
        </w:rPr>
        <w:t>means a person who is the legal or common-law widow or widower of a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“Therapeutic activity” </w:t>
      </w:r>
      <w:r>
        <w:rPr>
          <w:rFonts w:ascii="Times New Roman" w:hAnsi="Times New Roman"/>
          <w:b w:val="false"/>
          <w:i w:val="false"/>
          <w:color w:val="000000"/>
          <w:sz w:val="22"/>
        </w:rPr>
        <w:t>means an activity that is considered as treatment. A therapist shall determine that a particular activity is beneficial to the well-being of a member and shall include this determination in the member’s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means a person who served in the active military and who was discharged or released therefrom under honorable conditions. Honorable and general discharges qualify a person as a veteran. The veteran must be eligible for medical care in the DVA system (excluding financial eligibility).</w:t>
      </w:r>
    </w:p>
    <w:p>
      <w:pPr>
        <w:spacing w:before="0" w:after="0"/>
        <w:ind w:left="120"/>
        <w:jc w:val="both"/>
      </w:pPr>
      <w:r>
        <w:rPr>
          <w:rFonts w:ascii="Times New Roman" w:hAnsi="Times New Roman"/>
          <w:b w:val="false"/>
          <w:i w:val="false"/>
          <w:color w:val="000000"/>
          <w:sz w:val="22"/>
        </w:rPr>
        <w:t>In addition, veteran includes a person who served in the merchant marine or as a civil service crew member between December 7, 1941, and August 15, 1945.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“Visitation” </w:t>
      </w:r>
      <w:r>
        <w:rPr>
          <w:rFonts w:ascii="Times New Roman" w:hAnsi="Times New Roman"/>
          <w:b w:val="false"/>
          <w:i w:val="false"/>
          <w:color w:val="000000"/>
          <w:sz w:val="22"/>
        </w:rPr>
        <w:t>is considered part of the individual’s therapeutic program. Visits are expected to benefit the individual’s treatment goals while meeting the security needs of the facility and ensuring the safety of the individual and visitor.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“Voluntary discharge” </w:t>
      </w:r>
      <w:r>
        <w:rPr>
          <w:rFonts w:ascii="Times New Roman" w:hAnsi="Times New Roman"/>
          <w:b w:val="false"/>
          <w:i w:val="false"/>
          <w:color w:val="000000"/>
          <w:sz w:val="22"/>
        </w:rPr>
        <w:t>means a member wishes to terminate the member’s association with IVH on a permanent basis. This includes discharge for medical reasons which have been approved by a qualified medical provider. All other discharges are involuntary.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801—10.2</w:t>
      </w:r>
      <w:r>
        <w:rPr>
          <w:rFonts w:ascii="Times New Roman" w:hAnsi="Times New Roman"/>
          <w:b/>
          <w:i w:val="false"/>
          <w:color w:val="000000"/>
          <w:sz w:val="22"/>
        </w:rPr>
        <w:t xml:space="preserve">(35D)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Veterans, spouses of veterans, and Gold Star parents shall be eligible for admission to IVH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val="false"/>
          <w:color w:val="000000"/>
          <w:sz w:val="22"/>
        </w:rPr>
        <w:t>Veterans shall be eligible for admittance to IVH in accordance with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disabled by reason of disease, injury or old age and meets the qualifications for nursing or residential level of care available at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cannot be competitively employed on the day of admission or throughout the individual’s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met the residency requirements of the state of Iowa on the date of admission to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who has been diagnosed by a qualified health care professional as acutely mentally ill, as an acute alcoholic, as addicted to drugs, as continuously disruptive, or as dangerous to self or others shall not be admitted to or retained at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 must be eligible for care and treatment at a DVA medical center (excluding financial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Individuals admitted to the domiciliary level of care must meet DVA criteria stated in Department of Veterans Affairs, State Home Per Diem Program, Veterans Health Administration Directive 1610SH.01(1).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Homelessness does not disqualify persons otherwise eligible for admission to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val="false"/>
          <w:color w:val="000000"/>
          <w:sz w:val="22"/>
        </w:rPr>
        <w:t>Spouses and surviving spouses shall be admitted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spouse or surviving spouse shall have been married to a veteran for at least one year preceding date of application or date of death of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spouse of a veteran is eligible for admittance to IVH only if the veteran is admitted.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surviving spouse of a deceased veteran is eligible for admittance to IVH if the deceased veteran would also be eligible for admittance to IVH if still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Spouses, surviving spouses and Gold Star parents admitted to IVH shall not exceed more than 25 percent of the total number of members at IVH as provided in U.S.C. Title 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val="false"/>
          <w:color w:val="000000"/>
          <w:sz w:val="22"/>
        </w:rPr>
        <w:t>A Gold Star parent shall be eligible for admittance in accordance with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parent’s child died while serving on active duty in the armed forces of the United States during a time of military conflict or died as a result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is disabled by reason of disease, injury or old age and meets the qualifications for nursing or residential level of care available at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cannot be competitively employed on the day of admission or throughout the individual’s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met the residency requirements of the state of Iowa on the date of admission to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 who has been diagnosed by a qualified health care professional as acutely mentally ill, as an acute alcoholic, as addicted to drugs, as continuously disruptive, or as dangerous to self or others shall not be admitted to or retained at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Gold Star parents, spouses and surviving spouses admitted to IVH shall not exceed more than 25 percent of the total number of members at IVH as provided in U.S.C. Title 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was not a member of the United States armed forces may be eligible for admittance in accordance with the limitations described in subrule </w:t>
      </w:r>
      <w:hyperlink r:id="rId8">
        <w:r>
          <w:rPr>
            <w:rStyle w:val="Hyperlink"/>
            <w:rFonts w:ascii="Times New Roman" w:hAnsi="Times New Roman"/>
            <w:b w:val="false"/>
            <w:i w:val="false"/>
            <w:color w:val="000000"/>
            <w:sz w:val="22"/>
          </w:rPr>
          <w:t>10.2(1)</w:t>
        </w:r>
      </w:hyperlink>
      <w:r>
        <w:rPr>
          <w:rFonts w:ascii="Times New Roman" w:hAnsi="Times New Roman"/>
          <w:b w:val="false"/>
          <w:i w:val="false"/>
          <w:color w:val="000000"/>
          <w:sz w:val="22"/>
        </w:rPr>
        <w:t>,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was a member of the armed services of a nation with which the United States was allied during a time of conflict.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is eligible for admission to a DVA medical center in accordance with U.S.C. Title 38, Chapter 17, Medical Care, Subchapter 2, Section 1710.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801—10.3</w:t>
      </w:r>
      <w:r>
        <w:rPr>
          <w:rFonts w:ascii="Times New Roman" w:hAnsi="Times New Roman"/>
          <w:b/>
          <w:i w:val="false"/>
          <w:color w:val="000000"/>
          <w:sz w:val="22"/>
        </w:rPr>
        <w:t xml:space="preserve">(35D) </w:t>
      </w:r>
      <w:r>
        <w:rPr>
          <w:rFonts w:ascii="Times New Roman" w:hAnsi="Times New Roman"/>
          <w:b/>
          <w:i w:val="false"/>
          <w:color w:val="000000"/>
          <w:sz w:val="22"/>
        </w:rPr>
        <w:t xml:space="preserve">Application. </w:t>
      </w:r>
      <w:r>
        <w:rPr>
          <w:rFonts w:ascii="Times New Roman" w:hAnsi="Times New Roman"/>
          <w:b w:val="false"/>
          <w:i w:val="false"/>
          <w:color w:val="000000"/>
          <w:sz w:val="22"/>
        </w:rPr>
        <w:t>All applicants shall apply for admission to IVH in accordance with the following subrules: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All applicants shall make application to IVH through the county commission of veterans affairs in the applicant’s county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on the “Veteran Application for Admission to the Iowa Veterans Home,” Form 475-0409, the “Spouse’s Application for Admission to the Iowa Veterans Home,” Form 475-0410, or the “Gold Star Parent Application for Admission to the Iowa Veterans Home,” Form 475-2044. Separate applications shall be required for an eligible veteran and the spouse of the veteran when both veteran and spouse are applying for admission. The applications may be obtained 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commission of veterans affairs’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DVA medical centers located in or serving veterans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Website: </w:t>
      </w:r>
      <w:hyperlink r:id="rId9">
        <w:r>
          <w:rPr>
            <w:rStyle w:val="Hyperlink"/>
            <w:rFonts w:ascii="Times New Roman" w:hAnsi="Times New Roman"/>
            <w:b w:val="false"/>
            <w:i w:val="false"/>
            <w:color w:val="000000"/>
            <w:sz w:val="22"/>
            <w:u w:val="single"/>
          </w:rPr>
          <w:t>ivh.iowa.gov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copy of a physical which has been completed within three months of application. If needed, a physical examination shall be scheduled by the applicant’s primary care provider. Information must be authenticated by the medical provider’s original signature or electronic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The following items shall be attached to the application before it is forwarded to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veteran’s honorable discharge (DD214) from the armed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is a married or surviving spouse, a copy of the marriage certificate or evidence of a common-law marriage on which a prudent person would rely.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is a Gold Star parent, a copy of the child’s birth certificate and certification of the child’s death while serving on active duty in the armed forces of the United States during a time of military conflict.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applicant’s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marriage license(s), divorce decree(s) or death certificate of the spouse,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completed “Personal Functional Assessment,” Form 475-0837.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completed “Supplement to Application for Admission to the Iowa Veterans Home,” Form 475-0843.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completed “Financial Affidavit,” Form 475-0839.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w:t>
      </w:r>
      <w:r>
        <w:rPr>
          <w:rFonts w:ascii="Times New Roman" w:hAnsi="Times New Roman"/>
          <w:b w:val="false"/>
          <w:i w:val="false"/>
          <w:color w:val="000000"/>
          <w:sz w:val="22"/>
        </w:rPr>
        <w:t> </w:t>
      </w:r>
      <w:r>
        <w:rPr>
          <w:rFonts w:ascii="Times New Roman" w:hAnsi="Times New Roman"/>
          <w:b w:val="false"/>
          <w:i w:val="false"/>
          <w:color w:val="000000"/>
          <w:sz w:val="22"/>
        </w:rPr>
        <w:t xml:space="preserve">Once the requirements of subrules </w:t>
      </w:r>
      <w:hyperlink r:id="rId10">
        <w:r>
          <w:rPr>
            <w:rStyle w:val="Hyperlink"/>
            <w:rFonts w:ascii="Times New Roman" w:hAnsi="Times New Roman"/>
            <w:b w:val="false"/>
            <w:i w:val="false"/>
            <w:color w:val="000000"/>
            <w:sz w:val="22"/>
          </w:rPr>
          <w:t>10.3(2)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10.3(3)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10.3(4)</w:t>
        </w:r>
      </w:hyperlink>
      <w:r>
        <w:rPr>
          <w:rFonts w:ascii="Times New Roman" w:hAnsi="Times New Roman"/>
          <w:b w:val="false"/>
          <w:i w:val="false"/>
          <w:color w:val="000000"/>
          <w:sz w:val="22"/>
        </w:rPr>
        <w:t xml:space="preserve"> have been met, the county commission of veterans affairs shall forward the completed application to the admissions office at IVH. No county shall require additional requirements for the application for admission beyond the requirements stated in these rules. Neither shall a county require additional forms to be filled out or provided by the applicant other than the forms required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w:t>
      </w:r>
      <w:r>
        <w:rPr>
          <w:rFonts w:ascii="Times New Roman" w:hAnsi="Times New Roman"/>
          <w:b w:val="false"/>
          <w:i w:val="false"/>
          <w:color w:val="000000"/>
          <w:sz w:val="22"/>
        </w:rPr>
        <w:t> </w:t>
      </w:r>
      <w:r>
        <w:rPr>
          <w:rFonts w:ascii="Times New Roman" w:hAnsi="Times New Roman"/>
          <w:b w:val="false"/>
          <w:i w:val="false"/>
          <w:color w:val="000000"/>
          <w:sz w:val="22"/>
        </w:rPr>
        <w:t>Eligibility determinations are subject to approval by the commandant or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801—10.4</w:t>
      </w:r>
      <w:r>
        <w:rPr>
          <w:rFonts w:ascii="Times New Roman" w:hAnsi="Times New Roman"/>
          <w:b/>
          <w:i w:val="false"/>
          <w:color w:val="000000"/>
          <w:sz w:val="22"/>
        </w:rPr>
        <w:t xml:space="preserve">(35D) </w:t>
      </w:r>
      <w:r>
        <w:rPr>
          <w:rFonts w:ascii="Times New Roman" w:hAnsi="Times New Roman"/>
          <w:b/>
          <w:i w:val="false"/>
          <w:color w:val="000000"/>
          <w:sz w:val="22"/>
        </w:rPr>
        <w:t xml:space="preserve">Application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Applications received by the admissions office shall be reviewed for completeness. The county commission of veterans affairs shall be required to submit additional information if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The admissions committee shall assign the level of care required by the applicant. If a special care unit or treatment is required, this shall be designated. If there is a question regarding the level of care for which the applicant qualifies, the applicant shall be scheduled for either a preadmission visit with appropriate staff or a site visit in order to make a determination of appropriate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Regardless of whether or not the applicant can be immediately admitted, the applicant shall be notified by the admissions coordinator of the applicant’s designated level of care. An applicant who does not wish to be admitted to the designated level of care may submit evidence to show that another level of care may be more appropriate. However, once the admissions committee makes a final determination, the applicant who does not wish to be admitted under the designated level of care may withdraw the application or have the application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val="false"/>
          <w:color w:val="000000"/>
          <w:sz w:val="22"/>
        </w:rPr>
        <w:t>When space is not immediately available in the level of care assigned or on the appropriate special care unit, the applicant’s name shall be placed on the appropriate waiting list for that level of care or special care unit in the order of the date the application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val="false"/>
          <w:color w:val="000000"/>
          <w:sz w:val="22"/>
        </w:rPr>
        <w:t>When space is available at time of application, or when space becomes available in accordance with the designated waiting list, the applicant shall be scheduled for admittance to IVH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whose physical examination or personal functional assessment, or both if applicable, was completed more than three months prior to the scheduled date of admittance may be required to obtain another physical examination by a medical provider or complete a current personal functional assessment, or both if applicable. This information shall be reviewed to determine that the applicant is capable of functioning at the previously determined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who requires a different level of care than previously determined shall be admitted to the level of care required if a bed is available or shall have the applicant’s name placed on the waiting list for the appropriate level of care in accordance with the date the original application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an applicant’s admission to a nursing care unit, the PASRR shall be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801—10.5</w:t>
      </w:r>
      <w:r>
        <w:rPr>
          <w:rFonts w:ascii="Times New Roman" w:hAnsi="Times New Roman"/>
          <w:b/>
          <w:i w:val="false"/>
          <w:color w:val="000000"/>
          <w:sz w:val="22"/>
        </w:rPr>
        <w:t xml:space="preserve">(35D) </w:t>
      </w:r>
      <w:r>
        <w:rPr>
          <w:rFonts w:ascii="Times New Roman" w:hAnsi="Times New Roman"/>
          <w:b/>
          <w:i w:val="false"/>
          <w:color w:val="000000"/>
          <w:sz w:val="22"/>
        </w:rPr>
        <w:t xml:space="preserve">Applicant’s responsibilities. </w:t>
      </w:r>
      <w:r>
        <w:rPr>
          <w:rFonts w:ascii="Times New Roman" w:hAnsi="Times New Roman"/>
          <w:b w:val="false"/>
          <w:i w:val="false"/>
          <w:color w:val="000000"/>
          <w:sz w:val="22"/>
        </w:rPr>
        <w:t>Prior to admission to IVH, the applicant or a person acting on the applicant’s behalf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Report any change in the applicant’s condition that could affect the previously determined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Report changes in mailing address, county or state of residency.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val="false"/>
          <w:color w:val="000000"/>
          <w:sz w:val="22"/>
        </w:rPr>
        <w:t>Provide additional information, verification or authorization for verification concerning the applicant’s circumstances, condition of health, and resources if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val="false"/>
          <w:color w:val="000000"/>
          <w:sz w:val="22"/>
        </w:rPr>
        <w:t>Participate in a preadmission evaluation for level of care if required.</w:t>
      </w:r>
    </w:p>
    <w:p>
      <w:pPr>
        <w:spacing w:before="0" w:after="0"/>
        <w:ind w:left="120"/>
        <w:jc w:val="both"/>
      </w:pPr>
      <w:r>
        <w:rPr>
          <w:rFonts w:ascii="Times New Roman" w:hAnsi="Times New Roman"/>
          <w:b/>
          <w:i w:val="false"/>
          <w:color w:val="000000"/>
          <w:sz w:val="22"/>
        </w:rPr>
        <w:t>801—10.6</w:t>
      </w:r>
      <w:r>
        <w:rPr>
          <w:rFonts w:ascii="Times New Roman" w:hAnsi="Times New Roman"/>
          <w:b/>
          <w:i w:val="false"/>
          <w:color w:val="000000"/>
          <w:sz w:val="22"/>
        </w:rPr>
        <w:t xml:space="preserve">(35D) </w:t>
      </w:r>
      <w:r>
        <w:rPr>
          <w:rFonts w:ascii="Times New Roman" w:hAnsi="Times New Roman"/>
          <w:b/>
          <w:i w:val="false"/>
          <w:color w:val="000000"/>
          <w:sz w:val="22"/>
        </w:rPr>
        <w:t xml:space="preserve">Admission to IVH.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notified by the admissions coordinator to appear for admission to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Upon arrival at IVH, the applicant or legal representative shall meet with the admissions staff for an admission interview.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val="false"/>
          <w:color w:val="000000"/>
          <w:sz w:val="22"/>
        </w:rPr>
        <w:t>During the interview, the following items will be reviewed and signed by the applicant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Permission for Treatment, Form 475-0814.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“Contractual Agreement,” Form 475-1833.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applicant’s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support, billing process and banking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val="false"/>
          <w:color w:val="000000"/>
          <w:sz w:val="22"/>
        </w:rPr>
        <w:t>An applicant becomes a member at that point in time when the applicant or legal representative signs and dates the “Contractual Agreement,” Form 475-1833, or otherwise authorizes, in writing, acceptance of the terms of admittance specified in the Contractual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w:t>
      </w:r>
      <w:r>
        <w:rPr>
          <w:rFonts w:ascii="Times New Roman" w:hAnsi="Times New Roman"/>
          <w:b w:val="false"/>
          <w:i w:val="false"/>
          <w:color w:val="000000"/>
          <w:sz w:val="22"/>
        </w:rPr>
        <w:t> </w:t>
      </w:r>
      <w:r>
        <w:rPr>
          <w:rFonts w:ascii="Times New Roman" w:hAnsi="Times New Roman"/>
          <w:b w:val="false"/>
          <w:i w:val="false"/>
          <w:color w:val="000000"/>
          <w:sz w:val="22"/>
        </w:rPr>
        <w:t>Each member shall be placed on a unit providing the appropriate level of care based on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requiring a subsequent change in placement based on individual care needs shall be transferred to a unit which provides the appropriate level of care within the scope of its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Members shall have priority over new admissions for placement on a unit when a vacant bed becomes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w:t>
      </w:r>
      <w:r>
        <w:rPr>
          <w:rFonts w:ascii="Times New Roman" w:hAnsi="Times New Roman"/>
          <w:b w:val="false"/>
          <w:i w:val="false"/>
          <w:color w:val="000000"/>
          <w:sz w:val="22"/>
        </w:rPr>
        <w:t> </w:t>
      </w:r>
      <w:r>
        <w:rPr>
          <w:rFonts w:ascii="Times New Roman" w:hAnsi="Times New Roman"/>
          <w:b w:val="false"/>
          <w:i w:val="false"/>
          <w:color w:val="000000"/>
          <w:sz w:val="22"/>
        </w:rPr>
        <w:t xml:space="preserve">Care at IVH shall be provided in accordance with Iowa Code chapter </w:t>
      </w:r>
      <w:hyperlink r:id="rId13">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481—Chapter 57</w:t>
        </w:r>
      </w:hyperlink>
      <w:r>
        <w:rPr>
          <w:rFonts w:ascii="Times New Roman" w:hAnsi="Times New Roman"/>
          <w:b w:val="false"/>
          <w:i w:val="false"/>
          <w:color w:val="000000"/>
          <w:sz w:val="22"/>
        </w:rPr>
        <w:t xml:space="preserve">, Residential Care Facilities; </w:t>
      </w:r>
      <w:hyperlink r:id="rId15">
        <w:r>
          <w:rPr>
            <w:rStyle w:val="Hyperlink"/>
            <w:rFonts w:ascii="Times New Roman" w:hAnsi="Times New Roman"/>
            <w:b w:val="false"/>
            <w:i w:val="false"/>
            <w:color w:val="000000"/>
            <w:sz w:val="22"/>
          </w:rPr>
          <w:t>481—Chapter 58</w:t>
        </w:r>
      </w:hyperlink>
      <w:r>
        <w:rPr>
          <w:rFonts w:ascii="Times New Roman" w:hAnsi="Times New Roman"/>
          <w:b w:val="false"/>
          <w:i w:val="false"/>
          <w:color w:val="000000"/>
          <w:sz w:val="22"/>
        </w:rPr>
        <w:t>, Nursing Facilities; and DVA State Veterans Homes, Veterans Health Administration, M-5, Part 8, Chapter 2, Procedure for Obtaining Recognition of a State Veterans Home and Applicable Standards, 2.07, Standards for Nursing Care, and 2.08, Standards for Domiciliary Care, November 4, 1992.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801—10.7</w:t>
      </w:r>
      <w:r>
        <w:rPr>
          <w:rFonts w:ascii="Times New Roman" w:hAnsi="Times New Roman"/>
          <w:b w:val="false"/>
          <w:i w:val="false"/>
          <w:color w:val="000000"/>
          <w:sz w:val="22"/>
        </w:rPr>
        <w:t xml:space="preserve"> to </w:t>
      </w:r>
      <w:r>
        <w:rPr>
          <w:rFonts w:ascii="Times New Roman" w:hAnsi="Times New Roman"/>
          <w:b/>
          <w:i w:val="false"/>
          <w:color w:val="000000"/>
          <w:sz w:val="22"/>
        </w:rPr>
        <w:t>10.10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801—10.11</w:t>
      </w:r>
      <w:r>
        <w:rPr>
          <w:rFonts w:ascii="Times New Roman" w:hAnsi="Times New Roman"/>
          <w:b/>
          <w:i w:val="false"/>
          <w:color w:val="000000"/>
          <w:sz w:val="22"/>
        </w:rPr>
        <w:t xml:space="preserve">(35D) </w:t>
      </w:r>
      <w:r>
        <w:rPr>
          <w:rFonts w:ascii="Times New Roman" w:hAnsi="Times New Roman"/>
          <w:b/>
          <w:i w:val="false"/>
          <w:color w:val="000000"/>
          <w:sz w:val="22"/>
        </w:rPr>
        <w:t xml:space="preserve">Member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 rights shall be in accordance with those listed in </w:t>
      </w:r>
      <w:hyperlink r:id="rId16">
        <w:r>
          <w:rPr>
            <w:rStyle w:val="Hyperlink"/>
            <w:rFonts w:ascii="Times New Roman" w:hAnsi="Times New Roman"/>
            <w:b w:val="false"/>
            <w:i w:val="false"/>
            <w:color w:val="000000"/>
            <w:sz w:val="22"/>
          </w:rPr>
          <w:t>481—Chapter 57</w:t>
        </w:r>
      </w:hyperlink>
      <w:r>
        <w:rPr>
          <w:rFonts w:ascii="Times New Roman" w:hAnsi="Times New Roman"/>
          <w:b w:val="false"/>
          <w:i w:val="false"/>
          <w:color w:val="000000"/>
          <w:sz w:val="22"/>
        </w:rPr>
        <w:t xml:space="preserve"> for members residing in the residential care facility level of care, those listed in </w:t>
      </w:r>
      <w:hyperlink r:id="rId17">
        <w:r>
          <w:rPr>
            <w:rStyle w:val="Hyperlink"/>
            <w:rFonts w:ascii="Times New Roman" w:hAnsi="Times New Roman"/>
            <w:b w:val="false"/>
            <w:i w:val="false"/>
            <w:color w:val="000000"/>
            <w:sz w:val="22"/>
          </w:rPr>
          <w:t>481—Chapter 58</w:t>
        </w:r>
      </w:hyperlink>
      <w:r>
        <w:rPr>
          <w:rFonts w:ascii="Times New Roman" w:hAnsi="Times New Roman"/>
          <w:b w:val="false"/>
          <w:i w:val="false"/>
          <w:color w:val="000000"/>
          <w:sz w:val="22"/>
        </w:rPr>
        <w:t xml:space="preserve"> for members residing in the nursing facility level of care, and those noted in Department of Veterans Affairs, State Veterans Homes, Veterans Health Administration, pertaining to residents of state veterans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val="false"/>
          <w:color w:val="000000"/>
          <w:sz w:val="22"/>
        </w:rPr>
        <w:t>A member has the right to share a room with the member’s spouse when both members consent to the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w:t>
      </w:r>
      <w:r>
        <w:rPr>
          <w:rFonts w:ascii="Times New Roman" w:hAnsi="Times New Roman"/>
          <w:b w:val="false"/>
          <w:i w:val="false"/>
          <w:color w:val="000000"/>
          <w:sz w:val="22"/>
        </w:rPr>
        <w:t> </w:t>
      </w:r>
      <w:r>
        <w:rPr>
          <w:rFonts w:ascii="Times New Roman" w:hAnsi="Times New Roman"/>
          <w:b w:val="false"/>
          <w:i w:val="false"/>
          <w:color w:val="000000"/>
          <w:sz w:val="22"/>
        </w:rPr>
        <w:t>If a member is incompetent and not restored to legal capacity, or if the medical provider determines that a member is incapable of understanding and exercising these rights, the rights devolve to the member’s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w:t>
      </w:r>
      <w:r>
        <w:rPr>
          <w:rFonts w:ascii="Times New Roman" w:hAnsi="Times New Roman"/>
          <w:b w:val="false"/>
          <w:i w:val="false"/>
          <w:color w:val="000000"/>
          <w:sz w:val="22"/>
        </w:rPr>
        <w:t> </w:t>
      </w:r>
      <w:r>
        <w:rPr>
          <w:rFonts w:ascii="Times New Roman" w:hAnsi="Times New Roman"/>
          <w:b w:val="false"/>
          <w:i w:val="false"/>
          <w:color w:val="000000"/>
          <w:sz w:val="22"/>
        </w:rPr>
        <w:t xml:space="preserve">In some cases, a member may be determined to be in need of an agent by the DVA, the Social Security Administration or a similar funding source. In these cases, the commandant or designee may serve as agent subject to Iowa Code section </w:t>
      </w:r>
      <w:hyperlink r:id="rId18">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All rights and responsibilities regarding the financial awards shall devolve to the commandant or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801—10.12</w:t>
      </w:r>
      <w:r>
        <w:rPr>
          <w:rFonts w:ascii="Times New Roman" w:hAnsi="Times New Roman"/>
          <w:b/>
          <w:i w:val="false"/>
          <w:color w:val="000000"/>
          <w:sz w:val="22"/>
        </w:rPr>
        <w:t xml:space="preserve">(35D) </w:t>
      </w:r>
      <w:r>
        <w:rPr>
          <w:rFonts w:ascii="Times New Roman" w:hAnsi="Times New Roman"/>
          <w:b/>
          <w:i w:val="false"/>
          <w:color w:val="000000"/>
          <w:sz w:val="22"/>
        </w:rPr>
        <w:t xml:space="preserve">Member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val="false"/>
          <w:color w:val="000000"/>
          <w:sz w:val="22"/>
        </w:rPr>
        <w:t>The member or legal representative has the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timely report the existence of or changes in the member’s income, spouse’s income, assets or marital status, including the conversion of nonliquid assets to liquid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apply for all benefits due (such as, but not limited to, Title XIX, DVA pension, DVA compensation, Social Security, private pension programs, or any combination), and accept the available billing programs offered at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provide information concerning the physical condition and, to the best of the member’s knowledge, accurate and complete information concerning present physical complaints, past illnesses, hospitalizations, medications and other matters related to the member’s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report unexpected changes in the member’s condition to the attending medical provider or other clinician.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participate in treatment planning, cooperate with the treatment team in carrying out the treatment plan, and to participate in the evaluation of the member’s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be considerate of the rights of other members and staff and control behavior in respect to smoking, noise, and number of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 treat other members and staff with dignity and respect.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 respect the property of other members, staff, and IVH. A member or legal representative may be held financially responsible for any property damaged or destroyed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ask questions about anything that the member may not understand about the member’s care or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To accept the consequences of the member’s actions if the member refuses treatment or fails to follow prescribed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To follow the rules and regulations of IVH regarding member care and conduct as set out in subrule </w:t>
      </w:r>
      <w:hyperlink r:id="rId19">
        <w:r>
          <w:rPr>
            <w:rStyle w:val="Hyperlink"/>
            <w:rFonts w:ascii="Times New Roman" w:hAnsi="Times New Roman"/>
            <w:b w:val="false"/>
            <w:i w:val="false"/>
            <w:color w:val="000000"/>
            <w:sz w:val="22"/>
          </w:rPr>
          <w:t>10.40(1)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To keep scheduled appointments with staff. If unable to do so, the member is responsible for notifying appropriate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To maintain personal hygiene, including clothing, and maintain personal living area based on the member’s physical and mental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To follow all fire, safety and sanitation regulations as established by IVH and applicable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To provide information and verification of resources. A member or legal representative must fulfill the member support obligation for member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To carry Medicare Part B and Medicare Part D insurance if eligible. IVH shall buy the medical insurance portion of Medicare Part B and Medicare Part D if the member is not eligible to receive Medicare under social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To delegate to IVH the authorization to enroll the member in Medicare Part B and Medicare Part D. The premium shall be deducted from the member’s social security or paid monthly with the member’s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To assign the benefits of Medicare Part B, Medicare Part D and other medical insurances to IVH. The cost of Medicare Part B, Medicare Part D and other medical insurances shall be used as an offset to the aggregate semiannual per diem rate calculation according to the particular level of care as calculated in January and July of each year for the preceding six months and effective March 1 and September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val="false"/>
          <w:color w:val="000000"/>
          <w:sz w:val="22"/>
        </w:rPr>
        <w:t>The member or legal representative is responsible for the full payment of the member’s support charges within the calendar month that the monthly support bill is received. Failure to pay a monthly support bill within 30 days of issuance may result in discharge from IVH unless prior arrangements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those instances when a legal representative is responsible for the handling of the member’s resources, the legal representative shall keep any records necessary and provide all information or verification required for the computation of member support as set out in rule </w:t>
      </w:r>
      <w:hyperlink r:id="rId20">
        <w:r>
          <w:rPr>
            <w:rStyle w:val="Hyperlink"/>
            <w:rFonts w:ascii="Times New Roman" w:hAnsi="Times New Roman"/>
            <w:b w:val="false"/>
            <w:i w:val="false"/>
            <w:color w:val="000000"/>
            <w:sz w:val="22"/>
          </w:rPr>
          <w:t>801—10.14</w:t>
        </w:r>
      </w:hyperlink>
      <w:r>
        <w:rPr>
          <w:rFonts w:ascii="Times New Roman" w:hAnsi="Times New Roman"/>
          <w:b w:val="false"/>
          <w:i w:val="false"/>
          <w:color w:val="000000"/>
          <w:sz w:val="22"/>
        </w:rPr>
        <w:t xml:space="preserve">(35D). Failure of the legal representative to do so may result in the discharge of the member. In some cases, IVH may act to have the commandant or designee established as the member’s fiduciary or agent as set out in subrule </w:t>
      </w:r>
      <w:hyperlink r:id="rId21">
        <w:r>
          <w:rPr>
            <w:rStyle w:val="Hyperlink"/>
            <w:rFonts w:ascii="Times New Roman" w:hAnsi="Times New Roman"/>
            <w:b w:val="false"/>
            <w:i w:val="false"/>
            <w:color w:val="000000"/>
            <w:sz w:val="22"/>
          </w:rPr>
          <w:t>10.11(4)</w:t>
        </w:r>
      </w:hyperlink>
      <w:r>
        <w:rPr>
          <w:rFonts w:ascii="Times New Roman" w:hAnsi="Times New Roman"/>
          <w:b w:val="false"/>
          <w:i w:val="false"/>
          <w:color w:val="000000"/>
          <w:sz w:val="22"/>
        </w:rPr>
        <w:t>. In those cases when a guardian or conservator of a member fails to keep necessary records or provide needed information or verification or to meet the member support obligation, IVH may notify the court of problems and request to establish another individual as guardian or conservator. The conservator of a member shall submit a copy of the annual conservatorship report to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10.12(4)</w:t>
      </w:r>
      <w:r>
        <w:rPr>
          <w:rFonts w:ascii="Times New Roman" w:hAnsi="Times New Roman"/>
          <w:b w:val="false"/>
          <w:i w:val="false"/>
          <w:color w:val="000000"/>
          <w:sz w:val="22"/>
        </w:rPr>
        <w:t> </w:t>
      </w:r>
      <w:r>
        <w:rPr>
          <w:rFonts w:ascii="Times New Roman" w:hAnsi="Times New Roman"/>
          <w:b w:val="false"/>
          <w:i w:val="false"/>
          <w:color w:val="000000"/>
          <w:sz w:val="22"/>
        </w:rPr>
        <w:t>When a member temporarily needs a level of care that is not offered by IVH, the member shall be referred by IVH medical staff to a DVA medical center or other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member who is treated at a DVA medical center has coinsurance to supplement Medicare, this coinsurance shall be used for the DVA medical center charges. IVH shall be responsible for all DVA medical center charges if the member does not carry coinsurance supplement.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member chooses a medical facility other than a DVA medical center or other medical facility as referred by IVH medical staff, the member is responsible for costs resulting from care at the medical facility chosen.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801—10.14</w:t>
      </w:r>
      <w:r>
        <w:rPr>
          <w:rFonts w:ascii="Times New Roman" w:hAnsi="Times New Roman"/>
          <w:b/>
          <w:i w:val="false"/>
          <w:color w:val="000000"/>
          <w:sz w:val="22"/>
        </w:rPr>
        <w:t xml:space="preserve">(35D) </w:t>
      </w:r>
      <w:r>
        <w:rPr>
          <w:rFonts w:ascii="Times New Roman" w:hAnsi="Times New Roman"/>
          <w:b/>
          <w:i w:val="false"/>
          <w:color w:val="000000"/>
          <w:sz w:val="22"/>
        </w:rPr>
        <w:t xml:space="preserve">Computation of member support. </w:t>
      </w:r>
      <w:r>
        <w:rPr>
          <w:rFonts w:ascii="Times New Roman" w:hAnsi="Times New Roman"/>
          <w:b w:val="false"/>
          <w:i w:val="false"/>
          <w:color w:val="000000"/>
          <w:sz w:val="22"/>
        </w:rPr>
        <w:t>As a condition of admittance to and residency in IVH, each member is required to contribute toward the cost of that member’s care based on that member’s resources and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val="false"/>
          <w:color w:val="000000"/>
          <w:sz w:val="22"/>
        </w:rPr>
        <w:t xml:space="preserve">A monthly member support bill shall be sent to the member or legal representative charging the member for care in the previous month with any necessary adjustment for prior months. A member shall be required to pay member support charges from the member’s liquid assets and long-term care insurance benefits and from the member’s income. The monthly member support charge shall be the billable days, as set out in subrule </w:t>
      </w:r>
      <w:hyperlink r:id="rId22">
        <w:r>
          <w:rPr>
            <w:rStyle w:val="Hyperlink"/>
            <w:rFonts w:ascii="Times New Roman" w:hAnsi="Times New Roman"/>
            <w:b w:val="false"/>
            <w:i w:val="false"/>
            <w:color w:val="000000"/>
            <w:sz w:val="22"/>
          </w:rPr>
          <w:t>10.14(3)</w:t>
        </w:r>
      </w:hyperlink>
      <w:r>
        <w:rPr>
          <w:rFonts w:ascii="Times New Roman" w:hAnsi="Times New Roman"/>
          <w:b w:val="false"/>
          <w:i w:val="false"/>
          <w:color w:val="000000"/>
          <w:sz w:val="22"/>
        </w:rPr>
        <w:t xml:space="preserve">, multiplied by the appropriate per diem from rule </w:t>
      </w:r>
      <w:hyperlink r:id="rId23">
        <w:r>
          <w:rPr>
            <w:rStyle w:val="Hyperlink"/>
            <w:rFonts w:ascii="Times New Roman" w:hAnsi="Times New Roman"/>
            <w:b w:val="false"/>
            <w:i w:val="false"/>
            <w:color w:val="000000"/>
            <w:sz w:val="22"/>
          </w:rPr>
          <w:t>801—10.15</w:t>
        </w:r>
      </w:hyperlink>
      <w:r>
        <w:rPr>
          <w:rFonts w:ascii="Times New Roman" w:hAnsi="Times New Roman"/>
          <w:b w:val="false"/>
          <w:i w:val="false"/>
          <w:color w:val="000000"/>
          <w:sz w:val="22"/>
        </w:rPr>
        <w:t xml:space="preserve">(35D). This amount shall be reduced by any offsets as set out in subrules </w:t>
      </w:r>
      <w:hyperlink r:id="rId24">
        <w:r>
          <w:rPr>
            <w:rStyle w:val="Hyperlink"/>
            <w:rFonts w:ascii="Times New Roman" w:hAnsi="Times New Roman"/>
            <w:b w:val="false"/>
            <w:i w:val="false"/>
            <w:color w:val="000000"/>
            <w:sz w:val="22"/>
          </w:rPr>
          <w:t>10.15(2)</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10.15(3)</w:t>
        </w:r>
      </w:hyperlink>
      <w:r>
        <w:rPr>
          <w:rFonts w:ascii="Times New Roman" w:hAnsi="Times New Roman"/>
          <w:b w:val="false"/>
          <w:i w:val="false"/>
          <w:color w:val="000000"/>
          <w:sz w:val="22"/>
        </w:rPr>
        <w:t>. The member or legal representative shall pay an amount not to exceed the amount calculated based on the resources available for the cost of care as set out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val="false"/>
          <w:color w:val="000000"/>
          <w:sz w:val="22"/>
        </w:rPr>
        <w:t>Title XIX residents. If a member is certified as eligible and participating in the Title XIX program, the amount of payment shall be determined by the department of human services income maintenance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val="false"/>
          <w:color w:val="000000"/>
          <w:sz w:val="22"/>
        </w:rPr>
        <w:t>Billable days (non-Title XIX). Billable days for members not participating in the Title XIX program shall be counted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days in the month for which the member received care (in-house).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leave days in excess of the 12 free days up through the fifty-ninth leave day. Any leave days in excess of 59 days shall be considered billable, and the member must pay the full support rate, not the amount determined by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first ten days of each hospitalization. After ten days, IVH assumes the authority to discharge the resident but reserves the right to negotiate an extension to the bed hold, if warranted, in the best interest of the resident and family, at the discretion of the commandant or designee. A hospital stay may occur more than once in a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801—10.15</w:t>
      </w:r>
      <w:r>
        <w:rPr>
          <w:rFonts w:ascii="Times New Roman" w:hAnsi="Times New Roman"/>
          <w:b/>
          <w:i w:val="false"/>
          <w:color w:val="000000"/>
          <w:sz w:val="22"/>
        </w:rPr>
        <w:t xml:space="preserve">(35D) </w:t>
      </w:r>
      <w:r>
        <w:rPr>
          <w:rFonts w:ascii="Times New Roman" w:hAnsi="Times New Roman"/>
          <w:b/>
          <w:i w:val="false"/>
          <w:color w:val="000000"/>
          <w:sz w:val="22"/>
        </w:rPr>
        <w:t xml:space="preserve">Per diems.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For members not participating in the Title XIX program, the per diem by which the billable days shall be multiplied shall be established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Nursing level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charge for care is the per diem rate calculated in January and July of each year for the preceding six-month period and is submitted by IVH to the Iowa Medicaid enterprise of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updated per diem rate shall be effective semiannually on March 1 and September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or financial legal representatives shall be sent a notice one month in advance of the rate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Domiciliary level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cost of care per member shall be determined in January and July of each year for the preceding six-month period and calculated in a manner similar to the nursing level of care. This cost shall be the updated per diem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 diem rate shall be adjusted semiannually on March 1 and September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or financial legal representatives shall be sent a notice one month in advance of the rate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Veteran members for whom IVH receives a per diem from the DVA (under Title 38). IVH shall consider this per diem as a third-party reimbursement to the charge for care and shall be an offset to the member support bill. The offset of the per diem received (billed to DVA) shall be shown as an offset for the month billed. The provisions of 38 U.S.C. 1745(a), which were established by Section 211 of the Veterans Benefits, Health Care, and Information Technology Act of 2006 (Public Law 109-461), set forth a mechanism for paying a higher per diem rate for certain veterans who have service-connected disabilities and are receiving nursing home care in state homes. If IVH receives this higher per diem rate from the DVA, the member will not have a support charge from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val="false"/>
          <w:color w:val="000000"/>
          <w:sz w:val="22"/>
        </w:rPr>
        <w:t>The daily per diem charge shall be reduced by an amount equal to the appropriate Medicare Part B and Medicare Part D premiums paid by the enrolled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10.15(4)</w:t>
      </w:r>
      <w:r>
        <w:rPr>
          <w:rFonts w:ascii="Times New Roman" w:hAnsi="Times New Roman"/>
          <w:b w:val="false"/>
          <w:i w:val="false"/>
          <w:color w:val="000000"/>
          <w:sz w:val="22"/>
        </w:rPr>
        <w:t> </w:t>
      </w:r>
      <w:r>
        <w:rPr>
          <w:rFonts w:ascii="Times New Roman" w:hAnsi="Times New Roman"/>
          <w:b w:val="false"/>
          <w:i w:val="false"/>
          <w:color w:val="000000"/>
          <w:sz w:val="22"/>
        </w:rPr>
        <w:t>For members carrying other medical insurance upon admission and continuing to carry other medical insurance after admission. The member support charge shall be reduced by an amount equal to the other medical insurance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10.15(5)</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not eligible for Title XIX medical assistance. The member support charge shall be reduced in accordance with subrules </w:t>
      </w:r>
      <w:hyperlink r:id="rId26">
        <w:r>
          <w:rPr>
            <w:rStyle w:val="Hyperlink"/>
            <w:rFonts w:ascii="Times New Roman" w:hAnsi="Times New Roman"/>
            <w:b w:val="false"/>
            <w:i w:val="false"/>
            <w:color w:val="000000"/>
            <w:sz w:val="22"/>
          </w:rPr>
          <w:t>10.15(2)</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10.15(3)</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10.15(4)</w:t>
        </w:r>
      </w:hyperlink>
      <w:r>
        <w:rPr>
          <w:rFonts w:ascii="Times New Roman" w:hAnsi="Times New Roman"/>
          <w:b w:val="false"/>
          <w:i w:val="false"/>
          <w:color w:val="000000"/>
          <w:sz w:val="22"/>
        </w:rPr>
        <w:t>, if applicable. The member shall then contribute all remaining available resources up to the charge for care.</w:t>
      </w:r>
    </w:p>
    <w:p>
      <w:pPr>
        <w:spacing w:before="0" w:after="0"/>
        <w:ind w:left="120"/>
        <w:jc w:val="both"/>
      </w:pPr>
      <w:r>
        <w:rPr>
          <w:rFonts w:ascii="Times New Roman" w:hAnsi="Times New Roman"/>
          <w:b w:val="false"/>
          <w:i w:val="false"/>
          <w:color w:val="000000"/>
          <w:sz w:val="22"/>
        </w:rPr>
        <w:t>Members receiving DVA pension and aid and attendance shall be considered as having used the amount equal to aid and attendance first in payment for their care at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10.15(6)</w:t>
      </w:r>
      <w:r>
        <w:rPr>
          <w:rFonts w:ascii="Times New Roman" w:hAnsi="Times New Roman"/>
          <w:b w:val="false"/>
          <w:i w:val="false"/>
          <w:color w:val="000000"/>
          <w:sz w:val="22"/>
        </w:rPr>
        <w:t> </w:t>
      </w:r>
      <w:r>
        <w:rPr>
          <w:rFonts w:ascii="Times New Roman" w:hAnsi="Times New Roman"/>
          <w:b w:val="false"/>
          <w:i w:val="false"/>
          <w:color w:val="000000"/>
          <w:sz w:val="22"/>
        </w:rPr>
        <w:t>Payment of support is due within ten business days after the monthly support bill is received or ten business days after the member’s last income deposit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payment is not received by IVH within 30 days following the due date, a notice of discharge may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are extenuating circumstances, the member or legal representative should meet with the commandant or designee to work out a schedule of payments.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801—10.16</w:t>
      </w:r>
      <w:r>
        <w:rPr>
          <w:rFonts w:ascii="Times New Roman" w:hAnsi="Times New Roman"/>
          <w:b/>
          <w:i w:val="false"/>
          <w:color w:val="000000"/>
          <w:sz w:val="22"/>
        </w:rPr>
        <w:t xml:space="preserve">(35D) </w:t>
      </w:r>
      <w:r>
        <w:rPr>
          <w:rFonts w:ascii="Times New Roman" w:hAnsi="Times New Roman"/>
          <w:b/>
          <w:i w:val="false"/>
          <w:color w:val="000000"/>
          <w:sz w:val="22"/>
        </w:rPr>
        <w:t xml:space="preserve">Assets. </w:t>
      </w:r>
      <w:r>
        <w:rPr>
          <w:rFonts w:ascii="Times New Roman" w:hAnsi="Times New Roman"/>
          <w:b w:val="false"/>
          <w:i w:val="false"/>
          <w:color w:val="000000"/>
          <w:sz w:val="22"/>
        </w:rPr>
        <w:t xml:space="preserve">The following rules specify the treatment of assets, as defined in rule </w:t>
      </w:r>
      <w:hyperlink r:id="rId29">
        <w:r>
          <w:rPr>
            <w:rStyle w:val="Hyperlink"/>
            <w:rFonts w:ascii="Times New Roman" w:hAnsi="Times New Roman"/>
            <w:b w:val="false"/>
            <w:i w:val="false"/>
            <w:color w:val="000000"/>
            <w:sz w:val="22"/>
          </w:rPr>
          <w:t>801—10.1</w:t>
        </w:r>
      </w:hyperlink>
      <w:r>
        <w:rPr>
          <w:rFonts w:ascii="Times New Roman" w:hAnsi="Times New Roman"/>
          <w:b w:val="false"/>
          <w:i w:val="false"/>
          <w:color w:val="000000"/>
          <w:sz w:val="22"/>
        </w:rPr>
        <w:t xml:space="preserve">(35D), in the payment of member support as described in rule </w:t>
      </w:r>
      <w:hyperlink r:id="rId30">
        <w:r>
          <w:rPr>
            <w:rStyle w:val="Hyperlink"/>
            <w:rFonts w:ascii="Times New Roman" w:hAnsi="Times New Roman"/>
            <w:b w:val="false"/>
            <w:i w:val="false"/>
            <w:color w:val="000000"/>
            <w:sz w:val="22"/>
          </w:rPr>
          <w:t>801—10.14</w:t>
        </w:r>
      </w:hyperlink>
      <w:r>
        <w:rPr>
          <w:rFonts w:ascii="Times New Roman" w:hAnsi="Times New Roman"/>
          <w:b w:val="false"/>
          <w:i w:val="false"/>
          <w:color w:val="000000"/>
          <w:sz w:val="22"/>
        </w:rPr>
        <w:t>(35D). Only liquid assets shall be considered in the payment of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who have applied for and are eligible to receive Title XIX medical assistance, rule </w:t>
      </w:r>
      <w:hyperlink r:id="rId31">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shall apply. Financial eligibility for Title XIX shall be determined by the department of human services income maintenance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val="false"/>
          <w:color w:val="000000"/>
          <w:sz w:val="22"/>
        </w:rPr>
        <w:t>For members not eligible for Title XIX medical assistance, the following rules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Assets considered. </w:t>
      </w:r>
      <w:r>
        <w:rPr>
          <w:rFonts w:ascii="Times New Roman" w:hAnsi="Times New Roman"/>
          <w:b w:val="false"/>
          <w:i w:val="false"/>
          <w:color w:val="000000"/>
          <w:sz w:val="22"/>
        </w:rPr>
        <w:t>The assets considered shall include all assets owned by the member, or if married, both the member and the spouse living in the community, except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homestead is exempt as follows: The exempt homestead is defined as the house, used as a home, and may contain one or more contiguous lots or tracts of land, including buildings and appurtenances. Contiguous means that portions of the homestead cannot be separated from the home by intervening property owned by others. However, the homestead is considered contiguous if portions of it are separated from the home only because of roads or other public rights-of-way. Property that is not exempt as part of the homestead shall be treated in accordance with the rules of this chapter.</w:t>
      </w:r>
    </w:p>
    <w:p>
      <w:pPr>
        <w:spacing w:before="0" w:after="0"/>
        <w:ind w:left="120"/>
        <w:jc w:val="both"/>
      </w:pPr>
      <w:r>
        <w:rPr>
          <w:rFonts w:ascii="Times New Roman" w:hAnsi="Times New Roman"/>
          <w:b w:val="false"/>
          <w:i w:val="false"/>
          <w:color w:val="000000"/>
          <w:sz w:val="22"/>
        </w:rPr>
        <w:t>The homestead, as defined, can retain its exempt status for a period of time not to exceed 36 months, while the member, spouse and dependents are temporarily absent, provided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is a specific purpose for the absence.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 spouse or dependents intend to return to the homestead when the reason for the absence has been accomplished.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member, spouse or dependents can reasonably be expected to return to the home during the 36-month time limitation.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a person is an applicant at the time the homestead becomes vacant due to the absence of the applicant, spouse or dependents, the first month of the 36-month period is the month of admission to IVH.</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a person is a member when the homestead becomes vacant due to the absence of the member, spouse or dependents, the first month of the 36-month period is the month following the month in which the homestead is vacated.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homestead that does not qualify for this exemption or any homestead that is vacant for a period of time exceeding the 36-month limit shall be treated in accordance with subrule </w:t>
      </w:r>
      <w:hyperlink r:id="rId32">
        <w:r>
          <w:rPr>
            <w:rStyle w:val="Hyperlink"/>
            <w:rFonts w:ascii="Times New Roman" w:hAnsi="Times New Roman"/>
            <w:b w:val="false"/>
            <w:i w:val="false"/>
            <w:color w:val="000000"/>
            <w:sz w:val="22"/>
          </w:rPr>
          <w:t>10.16(3)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 goods, personal effects and one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value of any burial spaces held for the purpose of providing a place for the burial of the member, spouse or any other member of the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Exempt income-producing property includes, but is not limited to, tools, equipment, livestock, inventory and supplies, and grain held in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property essential to the means of self-support of either the member or spouse as to warrant its exclusion under the Supplemental Security Income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Assets of a blind or disabled person who has a plan for achieving self-support as determined by the division of vocational rehabilitation or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Assets of Native Americans belonging to certain tribes arising from judgment fund and payments from certain land and subsurface mineral rights. This does not include per capita payments from casino proceeds.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amounts arising from Public Law 101-239 which provides assistance to veterans under the Agent Orange product liability litigation.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Assistance under the Disaster Relief Act and Emergency Assistance Act or other assistance provided pursuant to federal statute as a result of a presidential disaster declaration and interest earned on these funds for the nine-month period beginning on the date these funds are received or for a longer period where good cause is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amount that is irrevocable and separately identifiable, having a principal amount not in excess of a predetermined amount set by the department of human services, without an itemized billing, for the member or spouse to meet the burial and related expenses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Federal assistance paid for housing occupied by the spouse living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from a fund established by a state to aid victims of crime for nine months from receipt when the client demonstrates that the amount was paid as compensation for expenses incurred or losses suffered as a result of a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Relocation assistance provided by a state or local government to a member or spouse comparable to assistance provided under Title II of the Uniform Relocation Assistance and Real Property Acquisition Policies Act of 1970 which is subject to the treatment required by Section 216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Any other asset excluded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Assets of a single member. </w:t>
      </w:r>
      <w:r>
        <w:rPr>
          <w:rFonts w:ascii="Times New Roman" w:hAnsi="Times New Roman"/>
          <w:b w:val="false"/>
          <w:i w:val="false"/>
          <w:color w:val="000000"/>
          <w:sz w:val="22"/>
        </w:rPr>
        <w:t xml:space="preserve">When liquid assets not exempted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 are equal to or exceed $2,000, those liquid assets shall be considered an available resource for the payment of member support. These assets shall be considered available for payment of member support until such time that the remaining liquid assets total less than $500, but leaving at least $140.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Assets of a married member with spouse in a care facility. </w:t>
      </w:r>
      <w:r>
        <w:rPr>
          <w:rFonts w:ascii="Times New Roman" w:hAnsi="Times New Roman"/>
          <w:b w:val="false"/>
          <w:i w:val="false"/>
          <w:color w:val="000000"/>
          <w:sz w:val="22"/>
        </w:rPr>
        <w:t>If a member’s spouse is residing in a nursing facility, the member shall be treated as a single member for asset determination purposes. If the member and the spouse become members of IVH on the same day, all resources of both members shall be added together and split one-half to each member for asset determination purposes. If the spouse is residing in a residential care facility or an assisted living facility, the rules pertaining to a spouse living in the community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Assets of a married member with spouse living in the community. </w:t>
      </w:r>
      <w:r>
        <w:rPr>
          <w:rFonts w:ascii="Times New Roman" w:hAnsi="Times New Roman"/>
          <w:b w:val="false"/>
          <w:i w:val="false"/>
          <w:color w:val="000000"/>
          <w:sz w:val="22"/>
        </w:rPr>
        <w:t xml:space="preserve">When liquid assets not exempted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 are equal to or exceed $2,000, those liquid assets shall be considered an available resource for the payment of member support. </w:t>
      </w:r>
    </w:p>
    <w:p>
      <w:pPr>
        <w:spacing w:before="0" w:after="0"/>
        <w:ind w:left="120"/>
        <w:jc w:val="both"/>
      </w:pPr>
      <w:r>
        <w:rPr>
          <w:rFonts w:ascii="Times New Roman" w:hAnsi="Times New Roman"/>
          <w:b w:val="false"/>
          <w:i w:val="false"/>
          <w:color w:val="000000"/>
          <w:sz w:val="22"/>
        </w:rPr>
        <w:t>The assets attributed to the member shall be determined from the documented assets of both the member and spouse living in the community as of the first day of admission to IVH. All resources of both the member and the spouse shall be added together. If the total resources are less than the predetermined amount set by the department of human services, then that amount is awarded to the community spouse. The amount in excess of this predetermined figure, up to an equal amount, if applicable, shall be awarded to the member. Any resources over this combined amount shall be split one-half to the member and one-half to the spouse up to a predetermined maximum amount set by the department of human services. All resources over the predetermined maximum amount shall be awarded to the member. These assets shall be considered available for payment of member support until such time that the remaining liquid assets total less than $500, but leaving at least $140.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member has transferred assets to the spouse living in the community under a court order for the support of the spouse, the amount transferred shall be the amount attributed to the spouse to the extent it exceeds the specified limits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the month in which the member is admitted, no attributed resources of the spouse living in the community shall be deemed available to the member during the continuous period in which the member is at IVH. Resources which are owned wholly or in part by the member and which are not transferred to the spouse living in the community shall be counted in determining member support. The assets of the member shall not count for member support to the extent that the member intends to transfer and does transfer the assets to the spouse living in the community within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of results. The department of human services shall provide the member and spouse and legal representative, if applicable, a report of the results of the attribution. The report shall state that either has a right to appeal the attribution in accordance with rule </w:t>
      </w:r>
      <w:hyperlink r:id="rId33">
        <w:r>
          <w:rPr>
            <w:rStyle w:val="Hyperlink"/>
            <w:rFonts w:ascii="Times New Roman" w:hAnsi="Times New Roman"/>
            <w:b w:val="false"/>
            <w:i w:val="false"/>
            <w:color w:val="000000"/>
            <w:sz w:val="22"/>
          </w:rPr>
          <w:t>801—10.45</w:t>
        </w:r>
      </w:hyperlink>
      <w:r>
        <w:rPr>
          <w:rFonts w:ascii="Times New Roman" w:hAnsi="Times New Roman"/>
          <w:b w:val="false"/>
          <w:i w:val="false"/>
          <w:color w:val="000000"/>
          <w:sz w:val="22"/>
        </w:rPr>
        <w:t>(35D).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Exception based on estrangement. </w:t>
      </w:r>
      <w:r>
        <w:rPr>
          <w:rFonts w:ascii="Times New Roman" w:hAnsi="Times New Roman"/>
          <w:b w:val="false"/>
          <w:i w:val="false"/>
          <w:color w:val="000000"/>
          <w:sz w:val="22"/>
        </w:rPr>
        <w:t>When it is established by a disinterested third-party source and confirmed by the commandant or designee that the member is estranged from the spouse living in the community, member support shall be determined on the basis of resources of a single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member owns an available, nonliquid, nonexempt asset, the value of which would affect the computation of member support as described in rule </w:t>
      </w:r>
      <w:hyperlink r:id="rId34">
        <w:r>
          <w:rPr>
            <w:rStyle w:val="Hyperlink"/>
            <w:rFonts w:ascii="Times New Roman" w:hAnsi="Times New Roman"/>
            <w:b w:val="false"/>
            <w:i w:val="false"/>
            <w:color w:val="000000"/>
            <w:sz w:val="22"/>
          </w:rPr>
          <w:t>801—10.14</w:t>
        </w:r>
      </w:hyperlink>
      <w:r>
        <w:rPr>
          <w:rFonts w:ascii="Times New Roman" w:hAnsi="Times New Roman"/>
          <w:b w:val="false"/>
          <w:i w:val="false"/>
          <w:color w:val="000000"/>
          <w:sz w:val="22"/>
        </w:rPr>
        <w:t>(35D), the asset shall be liquidated. The value of that asset shall be considered in the computation of member support. The following paragraphs are to be considered when liquidating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Net market value, or equity value, is the gross price for which property or an item can be sold on the open market less any legal debts, claims or liens against the property or item. IVH shall consider the condition and location of an item or property and local market conditions in determining the gross sales price of the item or property. In order for a loan or claim to be considered a lien or encumbrance against an asset, the loan or claim must be made under circumstances that result in the creditors having a recorded legal right to satisfy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asset must be available in order for it to be treated in accordance with the rules of this chapter. An asset is considered available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owns the property in part or in full and has control over it; that is, it can be occupied, rented, leased, sold or otherwise used and disposed of at the member’s discretion;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a legal interest in a liquidated sum and has the legal ability to make the sum available for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member must take all appropriate action to gain title and control of any asset of which the value would affect the computation of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value of the asset may be adjusted if the member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Advertises the asset for sale, through appropriate methods, on a continual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Lists the asset with a real estate broker or other agent appropriate to the asset.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Asks a reasonable price which is consistent with the asking price of similar items of property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Does not refuse a reasonable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Does not sell the asset for an unreasonably low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Cash proceeds from the sale of an asset, conversion of an asset to cash, or receipt of any cash asset as defined in rule </w:t>
      </w:r>
      <w:hyperlink r:id="rId35">
        <w:r>
          <w:rPr>
            <w:rStyle w:val="Hyperlink"/>
            <w:rFonts w:ascii="Times New Roman" w:hAnsi="Times New Roman"/>
            <w:b w:val="false"/>
            <w:i w:val="false"/>
            <w:color w:val="000000"/>
            <w:sz w:val="22"/>
          </w:rPr>
          <w:t>801—10.1</w:t>
        </w:r>
      </w:hyperlink>
      <w:r>
        <w:rPr>
          <w:rFonts w:ascii="Times New Roman" w:hAnsi="Times New Roman"/>
          <w:b w:val="false"/>
          <w:i w:val="false"/>
          <w:color w:val="000000"/>
          <w:sz w:val="22"/>
        </w:rPr>
        <w:t>(35D) shall be used in the computation of member support beginning with the calendar month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801—10.17</w:t>
      </w:r>
      <w:r>
        <w:rPr>
          <w:rFonts w:ascii="Times New Roman" w:hAnsi="Times New Roman"/>
          <w:b/>
          <w:i w:val="false"/>
          <w:color w:val="000000"/>
          <w:sz w:val="22"/>
        </w:rPr>
        <w:t xml:space="preserve">(35D) </w:t>
      </w:r>
      <w:r>
        <w:rPr>
          <w:rFonts w:ascii="Times New Roman" w:hAnsi="Times New Roman"/>
          <w:b/>
          <w:i w:val="false"/>
          <w:color w:val="000000"/>
          <w:sz w:val="22"/>
        </w:rPr>
        <w:t xml:space="preserve">Divestment of assets.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val="false"/>
          <w:color w:val="000000"/>
          <w:sz w:val="22"/>
        </w:rPr>
        <w:t>“Intentional divestment of assets”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knowingly sell, give or transfer by member or legal representative for less than fair market value, any asset, the value of which would affect member support;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knowingly and voluntarily place an asset, the value of which would affect member support, under a trust or other legal instrument that ends or limits the availability of that asset.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val="false"/>
          <w:color w:val="000000"/>
          <w:sz w:val="22"/>
        </w:rPr>
        <w:t>Transfers of resources shall be presumed to be divestiture unless the individual furnishes convincing evidence to establish that the transaction was exclusively for some other purpose. In addition to giving away or selling assets for less than fair market value, examples of transferring resources include, but are not limited to, establishing a trust, contributing to a charity or other organization, removing a name from a joint bank account, or decreasing the extent of ownership interest in a resource or any other transfer as defined in the Supplemental Security Income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Convincing evidence to establish that the transaction was not a divestiture may include documents, letters, and contemporaneous writings, as well as other circumstantial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rebutting the presumption that the transfer was a divestiture, the burden of proof is on the individual to establish: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fair market value of the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compensation was provided pursuant to an agreement, contract, or expectation in exchange for the resource;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the agreement, contract, or expectation was established at the time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legal representative shall not knowingly and intentionally divest an asset, as set out in subrule </w:t>
      </w:r>
      <w:hyperlink r:id="rId36">
        <w:r>
          <w:rPr>
            <w:rStyle w:val="Hyperlink"/>
            <w:rFonts w:ascii="Times New Roman" w:hAnsi="Times New Roman"/>
            <w:b w:val="false"/>
            <w:i w:val="false"/>
            <w:color w:val="000000"/>
            <w:sz w:val="22"/>
          </w:rPr>
          <w:t>10.17(1)</w:t>
        </w:r>
      </w:hyperlink>
      <w:r>
        <w:rPr>
          <w:rFonts w:ascii="Times New Roman" w:hAnsi="Times New Roman"/>
          <w:b w:val="false"/>
          <w:i w:val="false"/>
          <w:color w:val="000000"/>
          <w:sz w:val="22"/>
        </w:rPr>
        <w:t>, within the period established by Title XIX statute prior to admission, with the intention of reducing the applicant’s member support or of obtaining admission to IVH.</w:t>
      </w:r>
    </w:p>
    <w:p>
      <w:pPr>
        <w:spacing w:before="0" w:after="0"/>
        <w:ind w:left="120"/>
        <w:jc w:val="both"/>
      </w:pPr>
      <w:r>
        <w:rPr>
          <w:rFonts w:ascii="Times New Roman" w:hAnsi="Times New Roman"/>
          <w:b w:val="false"/>
          <w:i w:val="false"/>
          <w:color w:val="000000"/>
          <w:sz w:val="22"/>
        </w:rPr>
        <w:t>When it is determined by the commandant or designee that an applicant did intentionally divest an asset, upon admission that applicant may be charged member support as if the divestment did not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10.17(4)</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or legal representative shall not knowingly and intentionally divest an asset, as described in subrule </w:t>
      </w:r>
      <w:hyperlink r:id="rId37">
        <w:r>
          <w:rPr>
            <w:rStyle w:val="Hyperlink"/>
            <w:rFonts w:ascii="Times New Roman" w:hAnsi="Times New Roman"/>
            <w:b w:val="false"/>
            <w:i w:val="false"/>
            <w:color w:val="000000"/>
            <w:sz w:val="22"/>
          </w:rPr>
          <w:t>10.17(1)</w:t>
        </w:r>
      </w:hyperlink>
      <w:r>
        <w:rPr>
          <w:rFonts w:ascii="Times New Roman" w:hAnsi="Times New Roman"/>
          <w:b w:val="false"/>
          <w:i w:val="false"/>
          <w:color w:val="000000"/>
          <w:sz w:val="22"/>
        </w:rPr>
        <w:t>, while a member with the intention of reducing the member support.</w:t>
      </w:r>
    </w:p>
    <w:p>
      <w:pPr>
        <w:spacing w:before="0" w:after="0"/>
        <w:ind w:left="120"/>
        <w:jc w:val="both"/>
      </w:pPr>
      <w:r>
        <w:rPr>
          <w:rFonts w:ascii="Times New Roman" w:hAnsi="Times New Roman"/>
          <w:b w:val="false"/>
          <w:i w:val="false"/>
          <w:color w:val="000000"/>
          <w:sz w:val="22"/>
        </w:rPr>
        <w:t>When it is discovered that a member or legal representative improperly divested an asset(s), that member may be charged member support as if the divestment did not occur.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801—10.18</w:t>
      </w:r>
      <w:r>
        <w:rPr>
          <w:rFonts w:ascii="Times New Roman" w:hAnsi="Times New Roman"/>
          <w:b/>
          <w:i w:val="false"/>
          <w:color w:val="000000"/>
          <w:sz w:val="22"/>
        </w:rPr>
        <w:t xml:space="preserve">(35D) </w:t>
      </w:r>
      <w:r>
        <w:rPr>
          <w:rFonts w:ascii="Times New Roman" w:hAnsi="Times New Roman"/>
          <w:b/>
          <w:i w:val="false"/>
          <w:color w:val="000000"/>
          <w:sz w:val="22"/>
        </w:rPr>
        <w:t xml:space="preserve">Commencement of civil action. </w:t>
      </w:r>
      <w:r>
        <w:rPr>
          <w:rFonts w:ascii="Times New Roman" w:hAnsi="Times New Roman"/>
          <w:b w:val="false"/>
          <w:i w:val="false"/>
          <w:color w:val="000000"/>
          <w:sz w:val="22"/>
        </w:rPr>
        <w:t xml:space="preserve">The commandant or designee may file a civil action for money judgment against a member or discharged member or the member’s legal representative for support charges when the member or discharged member fails to pay member support in accordance with </w:t>
      </w:r>
      <w:hyperlink r:id="rId38">
        <w:r>
          <w:rPr>
            <w:rStyle w:val="Hyperlink"/>
            <w:rFonts w:ascii="Times New Roman" w:hAnsi="Times New Roman"/>
            <w:b w:val="false"/>
            <w:i w:val="false"/>
            <w:color w:val="000000"/>
            <w:sz w:val="22"/>
          </w:rPr>
          <w:t>801—Chapter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801—10.19</w:t>
      </w:r>
      <w:r>
        <w:rPr>
          <w:rFonts w:ascii="Times New Roman" w:hAnsi="Times New Roman"/>
          <w:b/>
          <w:i w:val="false"/>
          <w:color w:val="000000"/>
          <w:sz w:val="22"/>
        </w:rPr>
        <w:t xml:space="preserve">(35D) </w:t>
      </w:r>
      <w:r>
        <w:rPr>
          <w:rFonts w:ascii="Times New Roman" w:hAnsi="Times New Roman"/>
          <w:b/>
          <w:i w:val="false"/>
          <w:color w:val="000000"/>
          <w:sz w:val="22"/>
        </w:rPr>
        <w:t xml:space="preserve">Income. </w:t>
      </w:r>
      <w:r>
        <w:rPr>
          <w:rFonts w:ascii="Times New Roman" w:hAnsi="Times New Roman"/>
          <w:b w:val="false"/>
          <w:i w:val="false"/>
          <w:color w:val="000000"/>
          <w:sz w:val="22"/>
        </w:rPr>
        <w:t xml:space="preserve">This rule describes the treatment of income, as defined at rule </w:t>
      </w:r>
      <w:hyperlink r:id="rId39">
        <w:r>
          <w:rPr>
            <w:rStyle w:val="Hyperlink"/>
            <w:rFonts w:ascii="Times New Roman" w:hAnsi="Times New Roman"/>
            <w:b w:val="false"/>
            <w:i w:val="false"/>
            <w:color w:val="000000"/>
            <w:sz w:val="22"/>
          </w:rPr>
          <w:t>801—10.1</w:t>
        </w:r>
      </w:hyperlink>
      <w:r>
        <w:rPr>
          <w:rFonts w:ascii="Times New Roman" w:hAnsi="Times New Roman"/>
          <w:b w:val="false"/>
          <w:i w:val="false"/>
          <w:color w:val="000000"/>
          <w:sz w:val="22"/>
        </w:rPr>
        <w:t xml:space="preserve">(35D), in the computation of member support as described at rule </w:t>
      </w:r>
      <w:hyperlink r:id="rId40">
        <w:r>
          <w:rPr>
            <w:rStyle w:val="Hyperlink"/>
            <w:rFonts w:ascii="Times New Roman" w:hAnsi="Times New Roman"/>
            <w:b w:val="false"/>
            <w:i w:val="false"/>
            <w:color w:val="000000"/>
            <w:sz w:val="22"/>
          </w:rPr>
          <w:t>801—10.14</w:t>
        </w:r>
      </w:hyperlink>
      <w:r>
        <w:rPr>
          <w:rFonts w:ascii="Times New Roman" w:hAnsi="Times New Roman"/>
          <w:b w:val="false"/>
          <w:i w:val="false"/>
          <w:color w:val="000000"/>
          <w:sz w:val="22"/>
        </w:rPr>
        <w:t>(35D).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who are eligible for Title XIX medical assistance, rule </w:t>
      </w:r>
      <w:hyperlink r:id="rId41">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shall apply. For those members participating in the Title XIX medical assistance program, the difference between the $140 personal needs allowance and the Title XIX personal needs allowance shall be returned to the member out of individual member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val="false"/>
          <w:color w:val="000000"/>
          <w:sz w:val="22"/>
        </w:rPr>
        <w:t>For members who are not eligible for Title XIX,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income are exempt in the computation of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earned income of the spouse or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Unearned income restricted to the needs of the spouse or dependents (social security, DVA,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income that can be specifically identified as accruing to the spouse or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Nonrecurring gifts, contributions or winnings, not to exceed $60 in a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Interest income of less than $20 per month from any one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State bonus for military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earnings received by a member for that member’s participation in money-raising activities administered by veterans’ organizations or auxiliaries (i.e., poppies).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money received by a member from the sale of items resulting from a therapeutic activity (i.e., items sold in the IVH gift shop).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$150 received by a member in a month for participation in the incentive therapy or other programs as described in rule </w:t>
      </w:r>
      <w:hyperlink r:id="rId42">
        <w:r>
          <w:rPr>
            <w:rStyle w:val="Hyperlink"/>
            <w:rFonts w:ascii="Times New Roman" w:hAnsi="Times New Roman"/>
            <w:b w:val="false"/>
            <w:i w:val="false"/>
            <w:color w:val="000000"/>
            <w:sz w:val="22"/>
          </w:rPr>
          <w:t>801—10.30</w:t>
        </w:r>
      </w:hyperlink>
      <w:r>
        <w:rPr>
          <w:rFonts w:ascii="Times New Roman" w:hAnsi="Times New Roman"/>
          <w:b w:val="false"/>
          <w:i w:val="false"/>
          <w:color w:val="000000"/>
          <w:sz w:val="22"/>
        </w:rPr>
        <w:t>(35D), for members in the domiciliary level of care. For members in the nursing level of care, the first $75 shall be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Personal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In-kind contributions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Title XIX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Yearly DVA compensation clothing allowance for those who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Other income as specifically exempted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income similar in its origin to the assets excluded in subparagraphs </w:t>
      </w:r>
      <w:hyperlink r:id="rId43">
        <w:r>
          <w:rPr>
            <w:rStyle w:val="Hyperlink"/>
            <w:rFonts w:ascii="Times New Roman" w:hAnsi="Times New Roman"/>
            <w:b w:val="false"/>
            <w:i w:val="false"/>
            <w:color w:val="000000"/>
            <w:sz w:val="22"/>
          </w:rPr>
          <w:t>10.16(2)</w:t>
        </w:r>
      </w:hyperlink>
      <w:r>
        <w:rPr>
          <w:rFonts w:ascii="Times New Roman" w:hAnsi="Times New Roman"/>
          <w:b w:val="false"/>
          <w:i/>
          <w:color w:val="000000"/>
          <w:sz w:val="22"/>
        </w:rPr>
        <w:t>“a”</w:t>
      </w:r>
      <w:r>
        <w:rPr>
          <w:rFonts w:ascii="Times New Roman" w:hAnsi="Times New Roman"/>
          <w:b w:val="false"/>
          <w:i w:val="false"/>
          <w:color w:val="000000"/>
          <w:sz w:val="22"/>
        </w:rPr>
        <w:t>(6)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Income from employment as outlined in the IVH discharge planning policy (IVH policy #265).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Personal needs allowance. All members shall have an amount exempted from their monthly income intended to cover the purchase of clothing and incidentals.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income up to the first $140 shall be kept as a personal needs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personal needs allowance shall be subtracted from the member’s income prior to determination of moneys to which the spouse may be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type of income not specifically exempted shall be considered for the payment of member support as provided in rule </w:t>
      </w:r>
      <w:hyperlink r:id="rId44">
        <w:r>
          <w:rPr>
            <w:rStyle w:val="Hyperlink"/>
            <w:rFonts w:ascii="Times New Roman" w:hAnsi="Times New Roman"/>
            <w:b w:val="false"/>
            <w:i w:val="false"/>
            <w:color w:val="000000"/>
            <w:sz w:val="22"/>
          </w:rPr>
          <w:t>801—10.14</w:t>
        </w:r>
      </w:hyperlink>
      <w:r>
        <w:rPr>
          <w:rFonts w:ascii="Times New Roman" w:hAnsi="Times New Roman"/>
          <w:b w:val="false"/>
          <w:i w:val="false"/>
          <w:color w:val="000000"/>
          <w:sz w:val="22"/>
        </w:rPr>
        <w:t>(35D).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Determining income from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Nontrust property. Where there is nontrust property, income paid in the name of one person shall be available only to that person unless the document providing income specifies differently. If payment of income is in the name of two persons, one-half is attributed to each. If payment is in the name of several persons, the income shall be considered in proportion to their ownership interest. If the member or spouse can establish different ownership by a preponderance of evidence, the income shall be divided in proportion to the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Trust property. Where there is trust property, the payment of income shall be considered available as provided in the trust. In the absence of specific provisions in the trust, the income shall be considered as stated above for nontrust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income to consider in the computation of member support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Regular monthly pensions and entitlements. The amount of income to be considered is the gross amount of the monthly entitlement or pension received less any medical insurance premium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Investments or nonrecurring lump sum payments. Net unearned income from investments or nonrecurring lump sum payments shall be determined by deducting income-producing costs from the gross unearned income. Income-producing costs include, but are not limited to, brokerage fees, property manager’s salary, maintenance costs and attorney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Property sold on contract. The amount of income to consider shall be the amount received minus any payments for mortgage, taxes, insurance or assessments still owed on the property and payable by the contract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Earned income from a rental, sole or partnership enterprise. The amount of income to consider shall be the net profit figure as determined for the Internal Revenue Service on the member’s income tax return.</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The deductions of the previous year’s state and federal taxes and depreciation on the income tax return are not allowable deductions for the purpose of the computation of member support. If a tax return is not available, the member or legal representative shall provide all information and verification needed in order to correctly compute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Partnership income. The member’s share of the net profit shall be determined in the same manner as the partnership percentage as determined for the Internal Revenue Service’s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val="false"/>
          <w:color w:val="000000"/>
          <w:sz w:val="22"/>
        </w:rPr>
        <w:t>Member income diversion to dependent spouse not living at IVH. A portion of the member’s income shall be diverted to the spouse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Spouse living in the community. One-half the income in exclusion of an amount equal to aid and attendance and after reduction of personal needs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Spouse permanently in another nursing home. Member shall be treated as single. If the member is in receipt of a DVA pension, the amount of income provided the spouse would be the DVA pension dependency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Spouses living in a residential care facility. Spouses shall be treated under the same rules as a spouse living in the community in accordance with paragraph </w:t>
      </w:r>
      <w:hyperlink r:id="rId45">
        <w:r>
          <w:rPr>
            <w:rStyle w:val="Hyperlink"/>
            <w:rFonts w:ascii="Times New Roman" w:hAnsi="Times New Roman"/>
            <w:b w:val="false"/>
            <w:i w:val="false"/>
            <w:color w:val="000000"/>
            <w:sz w:val="22"/>
          </w:rPr>
          <w:t>10.19(3)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current court order proceedings and guardian/conservatorship appointments regarding financial obligations shall be honored.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val="false"/>
          <w:color w:val="000000"/>
          <w:sz w:val="22"/>
        </w:rPr>
        <w:t>Income disbursements.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diversions to spouse or valid court orders shall be mailed or sent electronically as designated or on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checks or electronic payments shall be sent to the proper recipient no later than the eighth day of any given month or, at IVH’s option, five business days after the member’s last income deposit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Monthly income disbursements to a community spouse may be delayed or canceled if there is an overdue amount owed for support payments.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801—10.20</w:t>
      </w:r>
      <w:r>
        <w:rPr>
          <w:rFonts w:ascii="Times New Roman" w:hAnsi="Times New Roman"/>
          <w:b/>
          <w:i w:val="false"/>
          <w:color w:val="000000"/>
          <w:sz w:val="22"/>
        </w:rPr>
        <w:t xml:space="preserve">(35D) </w:t>
      </w:r>
      <w:r>
        <w:rPr>
          <w:rFonts w:ascii="Times New Roman" w:hAnsi="Times New Roman"/>
          <w:b/>
          <w:i w:val="false"/>
          <w:color w:val="000000"/>
          <w:sz w:val="22"/>
        </w:rPr>
        <w:t xml:space="preserve">Other income.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10.20(1)</w:t>
      </w:r>
      <w:r>
        <w:rPr>
          <w:rFonts w:ascii="Times New Roman" w:hAnsi="Times New Roman"/>
          <w:b w:val="false"/>
          <w:i w:val="false"/>
          <w:color w:val="000000"/>
          <w:sz w:val="22"/>
        </w:rPr>
        <w:t> </w:t>
      </w:r>
      <w:r>
        <w:rPr>
          <w:rFonts w:ascii="Times New Roman" w:hAnsi="Times New Roman"/>
          <w:b w:val="false"/>
          <w:i w:val="false"/>
          <w:color w:val="000000"/>
          <w:sz w:val="22"/>
        </w:rPr>
        <w:t>When a member receives regular monthly payments of unearned income, it shall be included in the resources available for the payment of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10.20(2)</w:t>
      </w:r>
      <w:r>
        <w:rPr>
          <w:rFonts w:ascii="Times New Roman" w:hAnsi="Times New Roman"/>
          <w:b w:val="false"/>
          <w:i w:val="false"/>
          <w:color w:val="000000"/>
          <w:sz w:val="22"/>
        </w:rPr>
        <w:t> </w:t>
      </w:r>
      <w:r>
        <w:rPr>
          <w:rFonts w:ascii="Times New Roman" w:hAnsi="Times New Roman"/>
          <w:b w:val="false"/>
          <w:i w:val="false"/>
          <w:color w:val="000000"/>
          <w:sz w:val="22"/>
        </w:rPr>
        <w:t>When a member receives periodic recurring income which is received less frequently than monthly, this countable income, after the deduction of any allowable income-producing expenses, shall be considered in the month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10.20(3)</w:t>
      </w:r>
      <w:r>
        <w:rPr>
          <w:rFonts w:ascii="Times New Roman" w:hAnsi="Times New Roman"/>
          <w:b w:val="false"/>
          <w:i w:val="false"/>
          <w:color w:val="000000"/>
          <w:sz w:val="22"/>
        </w:rPr>
        <w:t> </w:t>
      </w:r>
      <w:r>
        <w:rPr>
          <w:rFonts w:ascii="Times New Roman" w:hAnsi="Times New Roman"/>
          <w:b w:val="false"/>
          <w:i w:val="false"/>
          <w:color w:val="000000"/>
          <w:sz w:val="22"/>
        </w:rPr>
        <w:t>When a member receives a nonrecurring retroactive payment from a specific entitlement source for a prior period of time, it shall be considered as income in the month received. The aid and attendance amount of the DVA pension shall be computed as a manual adjustment (available to member due to IVH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10.20(4)</w:t>
      </w:r>
      <w:r>
        <w:rPr>
          <w:rFonts w:ascii="Times New Roman" w:hAnsi="Times New Roman"/>
          <w:b w:val="false"/>
          <w:i w:val="false"/>
          <w:color w:val="000000"/>
          <w:sz w:val="22"/>
        </w:rPr>
        <w:t> </w:t>
      </w:r>
      <w:r>
        <w:rPr>
          <w:rFonts w:ascii="Times New Roman" w:hAnsi="Times New Roman"/>
          <w:b w:val="false"/>
          <w:i w:val="false"/>
          <w:color w:val="000000"/>
          <w:sz w:val="22"/>
        </w:rPr>
        <w:t>Income from a particular source is considered terminated as of the date the member receives the last income payment from that source or the date that a sole or partnership enterprise ends,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10.20(5)</w:t>
      </w:r>
      <w:r>
        <w:rPr>
          <w:rFonts w:ascii="Times New Roman" w:hAnsi="Times New Roman"/>
          <w:b w:val="false"/>
          <w:i w:val="false"/>
          <w:color w:val="000000"/>
          <w:sz w:val="22"/>
        </w:rPr>
        <w:t> </w:t>
      </w:r>
      <w:r>
        <w:rPr>
          <w:rFonts w:ascii="Times New Roman" w:hAnsi="Times New Roman"/>
          <w:b w:val="false"/>
          <w:i w:val="false"/>
          <w:color w:val="000000"/>
          <w:sz w:val="22"/>
        </w:rPr>
        <w:t>When income from a particular source decreases in a calendar month, the decrease in income shall be considered in the computation of that month’s member support. Income from a particular source is considered to be decreased as of the date the member receives the first income payment in the decreased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w:t>
      </w:r>
      <w:r>
        <w:rPr>
          <w:rFonts w:ascii="Times New Roman" w:hAnsi="Times New Roman"/>
          <w:b w:val="false"/>
          <w:i w:val="false"/>
          <w:color w:val="000000"/>
          <w:sz w:val="22"/>
        </w:rPr>
        <w:t> </w:t>
      </w:r>
      <w:r>
        <w:rPr>
          <w:rFonts w:ascii="Times New Roman" w:hAnsi="Times New Roman"/>
          <w:b w:val="false"/>
          <w:i w:val="false"/>
          <w:color w:val="000000"/>
          <w:sz w:val="22"/>
        </w:rPr>
        <w:t>When income from a particular source increases in a month, the increase in income shall be considered in the computation of that month’s member support. Income from a particular source is considered to be increased as of the date the member receives the first income payment in the increased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10.20(7)</w:t>
      </w:r>
      <w:r>
        <w:rPr>
          <w:rFonts w:ascii="Times New Roman" w:hAnsi="Times New Roman"/>
          <w:b w:val="false"/>
          <w:i w:val="false"/>
          <w:color w:val="000000"/>
          <w:sz w:val="22"/>
        </w:rPr>
        <w:t> </w:t>
      </w:r>
      <w:r>
        <w:rPr>
          <w:rFonts w:ascii="Times New Roman" w:hAnsi="Times New Roman"/>
          <w:b w:val="false"/>
          <w:i w:val="false"/>
          <w:color w:val="000000"/>
          <w:sz w:val="22"/>
        </w:rPr>
        <w:t>Recurring lump sum payments shall be treated as income in the month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10.20(8)</w:t>
      </w:r>
      <w:r>
        <w:rPr>
          <w:rFonts w:ascii="Times New Roman" w:hAnsi="Times New Roman"/>
          <w:b w:val="false"/>
          <w:i w:val="false"/>
          <w:color w:val="000000"/>
          <w:sz w:val="22"/>
        </w:rPr>
        <w:t> </w:t>
      </w:r>
      <w:r>
        <w:rPr>
          <w:rFonts w:ascii="Times New Roman" w:hAnsi="Times New Roman"/>
          <w:b w:val="false"/>
          <w:i w:val="false"/>
          <w:color w:val="000000"/>
          <w:sz w:val="22"/>
        </w:rPr>
        <w:t>Nonrecurring lump sum payments earned prior to admission, regardless of when received, shall not be counted as income but may be considered as an available liquid asset.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10.20(9)</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income as defined in rule </w:t>
      </w:r>
      <w:hyperlink r:id="rId46">
        <w:r>
          <w:rPr>
            <w:rStyle w:val="Hyperlink"/>
            <w:rFonts w:ascii="Times New Roman" w:hAnsi="Times New Roman"/>
            <w:b w:val="false"/>
            <w:i w:val="false"/>
            <w:color w:val="000000"/>
            <w:sz w:val="22"/>
          </w:rPr>
          <w:t>801—10.20</w:t>
        </w:r>
      </w:hyperlink>
      <w:r>
        <w:rPr>
          <w:rFonts w:ascii="Times New Roman" w:hAnsi="Times New Roman"/>
          <w:b w:val="false"/>
          <w:i w:val="false"/>
          <w:color w:val="000000"/>
          <w:sz w:val="22"/>
        </w:rPr>
        <w:t xml:space="preserve">(35D) that exceeds the member support billing for that month shall thereafter be considered a liquid asset available under rule </w:t>
      </w:r>
      <w:hyperlink r:id="rId47">
        <w:r>
          <w:rPr>
            <w:rStyle w:val="Hyperlink"/>
            <w:rFonts w:ascii="Times New Roman" w:hAnsi="Times New Roman"/>
            <w:b w:val="false"/>
            <w:i w:val="false"/>
            <w:color w:val="000000"/>
            <w:sz w:val="22"/>
          </w:rPr>
          <w:t>801—10.16</w:t>
        </w:r>
      </w:hyperlink>
      <w:r>
        <w:rPr>
          <w:rFonts w:ascii="Times New Roman" w:hAnsi="Times New Roman"/>
          <w:b w:val="false"/>
          <w:i w:val="false"/>
          <w:color w:val="000000"/>
          <w:sz w:val="22"/>
        </w:rPr>
        <w:t>(35D).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10.20(10)</w:t>
      </w:r>
      <w:r>
        <w:rPr>
          <w:rFonts w:ascii="Times New Roman" w:hAnsi="Times New Roman"/>
          <w:b w:val="false"/>
          <w:i w:val="false"/>
          <w:color w:val="000000"/>
          <w:sz w:val="22"/>
        </w:rPr>
        <w:t> </w:t>
      </w:r>
      <w:r>
        <w:rPr>
          <w:rFonts w:ascii="Times New Roman" w:hAnsi="Times New Roman"/>
          <w:b w:val="false"/>
          <w:i w:val="false"/>
          <w:color w:val="000000"/>
          <w:sz w:val="22"/>
        </w:rPr>
        <w:t>Employment is only allowed as identified in the IVH discharge planning policy (IVH policy #265).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see Delay note at end of chapter]</w:t>
      </w:r>
    </w:p>
    <w:p>
      <w:pPr>
        <w:spacing w:before="210" w:after="0"/>
        <w:ind w:left="120"/>
        <w:jc w:val="both"/>
      </w:pPr>
      <w:r>
        <w:rPr>
          <w:rFonts w:ascii="Times New Roman" w:hAnsi="Times New Roman"/>
          <w:b/>
          <w:i w:val="false"/>
          <w:color w:val="000000"/>
          <w:sz w:val="22"/>
        </w:rPr>
        <w:t>801—10.21</w:t>
      </w:r>
      <w:r>
        <w:rPr>
          <w:rFonts w:ascii="Times New Roman" w:hAnsi="Times New Roman"/>
          <w:b/>
          <w:i w:val="false"/>
          <w:color w:val="000000"/>
          <w:sz w:val="22"/>
        </w:rPr>
        <w:t xml:space="preserve">(35D) </w:t>
      </w:r>
      <w:r>
        <w:rPr>
          <w:rFonts w:ascii="Times New Roman" w:hAnsi="Times New Roman"/>
          <w:b/>
          <w:i w:val="false"/>
          <w:color w:val="000000"/>
          <w:sz w:val="22"/>
        </w:rPr>
        <w:t xml:space="preserve">Fraud. </w:t>
      </w:r>
      <w:r>
        <w:rPr>
          <w:rFonts w:ascii="Times New Roman" w:hAnsi="Times New Roman"/>
          <w:b w:val="false"/>
          <w:i w:val="false"/>
          <w:color w:val="000000"/>
          <w:sz w:val="22"/>
        </w:rPr>
        <w:t>Applicants, members or legal representatives who knowingly conceal the existence of resources may be subject to the billing of full member support, discharge for failure to pay for member’s care or denial of admission. Further, members who knowingly conceal liquid assets or income which would have affected member support shall be charged for the amount not previously billed due to the fraudulent act. If upon admission it is determined that medical or other pertinent information provided during the application process was fraudulent, notice of discharge may be issued. In addition, any applicant, member or legal representative suspected of fraud may be referred to the department of inspections and appeals, division of investigations, for possible criminal or civil action. The attorney general’s office shall conduct the investigation.</w:t>
      </w:r>
    </w:p>
    <w:p>
      <w:pPr>
        <w:spacing w:before="210" w:after="0"/>
        <w:ind w:left="120"/>
        <w:jc w:val="both"/>
      </w:pPr>
      <w:r>
        <w:rPr>
          <w:rFonts w:ascii="Times New Roman" w:hAnsi="Times New Roman"/>
          <w:b/>
          <w:i w:val="false"/>
          <w:color w:val="000000"/>
          <w:sz w:val="22"/>
        </w:rPr>
        <w:t>801—10.22</w:t>
      </w:r>
      <w:r>
        <w:rPr>
          <w:rFonts w:ascii="Times New Roman" w:hAnsi="Times New Roman"/>
          <w:b/>
          <w:i w:val="false"/>
          <w:color w:val="000000"/>
          <w:sz w:val="22"/>
        </w:rPr>
        <w:t xml:space="preserve">(35D) </w:t>
      </w:r>
      <w:r>
        <w:rPr>
          <w:rFonts w:ascii="Times New Roman" w:hAnsi="Times New Roman"/>
          <w:b/>
          <w:i w:val="false"/>
          <w:color w:val="000000"/>
          <w:sz w:val="22"/>
        </w:rPr>
        <w:t xml:space="preserve">Overcharges. </w:t>
      </w:r>
      <w:r>
        <w:rPr>
          <w:rFonts w:ascii="Times New Roman" w:hAnsi="Times New Roman"/>
          <w:b w:val="false"/>
          <w:i w:val="false"/>
          <w:color w:val="000000"/>
          <w:sz w:val="22"/>
        </w:rPr>
        <w:t>When it is discovered that a member was charged for support in excess of the amount actually due, the member shall receive a refund or credit to the member’s account. If the member is discharged or deceased, a refund shall be conveyed to the member or legal representative.</w:t>
      </w:r>
    </w:p>
    <w:p>
      <w:pPr>
        <w:spacing w:before="0" w:after="0"/>
        <w:ind w:left="120"/>
        <w:jc w:val="both"/>
      </w:pPr>
      <w:r>
        <w:rPr>
          <w:rFonts w:ascii="Times New Roman" w:hAnsi="Times New Roman"/>
          <w:b/>
          <w:i w:val="false"/>
          <w:color w:val="000000"/>
          <w:sz w:val="22"/>
        </w:rPr>
        <w:t>801—10.23</w:t>
      </w:r>
      <w:r>
        <w:rPr>
          <w:rFonts w:ascii="Times New Roman" w:hAnsi="Times New Roman"/>
          <w:b/>
          <w:i w:val="false"/>
          <w:color w:val="000000"/>
          <w:sz w:val="22"/>
        </w:rPr>
        <w:t xml:space="preserve">(35D) </w:t>
      </w:r>
      <w:r>
        <w:rPr>
          <w:rFonts w:ascii="Times New Roman" w:hAnsi="Times New Roman"/>
          <w:b/>
          <w:i w:val="false"/>
          <w:color w:val="000000"/>
          <w:sz w:val="22"/>
        </w:rPr>
        <w:t xml:space="preserve">Penalty.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val="false"/>
          <w:color w:val="000000"/>
          <w:sz w:val="22"/>
        </w:rPr>
        <w:t>All members who have resources in excess of the full support rate shall be charged the full support rate. If any member does not apply for all benefits due (such as, but not limited to, Title XIX, DVA pension, DVA compensation, social security, or any combination), fails to report resources accurately in order to not pay full support, or refuses to accept the available billing programs offered at IVH, that member shall be charged up to full support rate as if these responsibilities had been followed. Failure to comply with these rules may result in discharge from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is required to pay full member support under these rules, the monthly charge shall be calculated as the per diem in paragraph </w:t>
      </w:r>
      <w:hyperlink r:id="rId48">
        <w:r>
          <w:rPr>
            <w:rStyle w:val="Hyperlink"/>
            <w:rFonts w:ascii="Times New Roman" w:hAnsi="Times New Roman"/>
            <w:b w:val="false"/>
            <w:i w:val="false"/>
            <w:color w:val="000000"/>
            <w:sz w:val="22"/>
          </w:rPr>
          <w:t>10.15(1)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49">
        <w:r>
          <w:rPr>
            <w:rStyle w:val="Hyperlink"/>
            <w:rFonts w:ascii="Times New Roman" w:hAnsi="Times New Roman"/>
            <w:b w:val="false"/>
            <w:i w:val="false"/>
            <w:color w:val="000000"/>
            <w:sz w:val="22"/>
          </w:rPr>
          <w:t>10.15(1)</w:t>
        </w:r>
      </w:hyperlink>
      <w:r>
        <w:rPr>
          <w:rFonts w:ascii="Times New Roman" w:hAnsi="Times New Roman"/>
          <w:b w:val="false"/>
          <w:i/>
          <w:color w:val="000000"/>
          <w:sz w:val="22"/>
        </w:rPr>
        <w:t>“b”</w:t>
      </w:r>
      <w:r>
        <w:rPr>
          <w:rFonts w:ascii="Times New Roman" w:hAnsi="Times New Roman"/>
          <w:b w:val="false"/>
          <w:i w:val="false"/>
          <w:color w:val="000000"/>
          <w:sz w:val="22"/>
        </w:rPr>
        <w:t xml:space="preserve"> times the billable days less any offsets. The only exception to this monthly charge will be the additional amount of aid and attendance in the DVA retroactive payment for the time period of nursing care at IVH. This amount, in total, shall be due regardless of resources available. If a member is required to pay member support based on additional resources, these figures shall be obtained from the appropriate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801—10.24</w:t>
      </w:r>
      <w:r>
        <w:rPr>
          <w:rFonts w:ascii="Times New Roman" w:hAnsi="Times New Roman"/>
          <w:b w:val="false"/>
          <w:i w:val="false"/>
          <w:color w:val="000000"/>
          <w:sz w:val="22"/>
        </w:rPr>
        <w:t xml:space="preserve"> to </w:t>
      </w:r>
      <w:r>
        <w:rPr>
          <w:rFonts w:ascii="Times New Roman" w:hAnsi="Times New Roman"/>
          <w:b/>
          <w:i w:val="false"/>
          <w:color w:val="000000"/>
          <w:sz w:val="22"/>
        </w:rPr>
        <w:t>10.29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801—10.30</w:t>
      </w:r>
      <w:r>
        <w:rPr>
          <w:rFonts w:ascii="Times New Roman" w:hAnsi="Times New Roman"/>
          <w:b/>
          <w:i w:val="false"/>
          <w:color w:val="000000"/>
          <w:sz w:val="22"/>
        </w:rPr>
        <w:t xml:space="preserve">(35D) </w:t>
      </w:r>
      <w:r>
        <w:rPr>
          <w:rFonts w:ascii="Times New Roman" w:hAnsi="Times New Roman"/>
          <w:b/>
          <w:i w:val="false"/>
          <w:color w:val="000000"/>
          <w:sz w:val="22"/>
        </w:rPr>
        <w:t xml:space="preserve">Incentive therapy and nonprofit rehabilitative programs. </w:t>
      </w:r>
      <w:r>
        <w:rPr>
          <w:rFonts w:ascii="Times New Roman" w:hAnsi="Times New Roman"/>
          <w:b w:val="false"/>
          <w:i w:val="false"/>
          <w:color w:val="000000"/>
          <w:sz w:val="22"/>
        </w:rPr>
        <w:t>Members may be offered the opportunity to perform services for IVH through the incentive therapy program as part of their plan of care. Participating members shall be compensated at the state’s minimum wage for their involvement in the incentive therapy program. If members enrolled in nonprofit rehabilitative programs receive an income from such programs, that income shall be treated in the same manner as the incentive therapy program or IVH policy.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35D.7(3)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801—10.31</w:t>
      </w:r>
      <w:r>
        <w:rPr>
          <w:rFonts w:ascii="Times New Roman" w:hAnsi="Times New Roman"/>
          <w:b w:val="false"/>
          <w:i w:val="false"/>
          <w:color w:val="000000"/>
          <w:sz w:val="22"/>
        </w:rPr>
        <w:t xml:space="preserve"> to </w:t>
      </w:r>
      <w:r>
        <w:rPr>
          <w:rFonts w:ascii="Times New Roman" w:hAnsi="Times New Roman"/>
          <w:b/>
          <w:i w:val="false"/>
          <w:color w:val="000000"/>
          <w:sz w:val="22"/>
        </w:rPr>
        <w:t>10.34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801—10.35</w:t>
      </w:r>
      <w:r>
        <w:rPr>
          <w:rFonts w:ascii="Times New Roman" w:hAnsi="Times New Roman"/>
          <w:b/>
          <w:i w:val="false"/>
          <w:color w:val="000000"/>
          <w:sz w:val="22"/>
        </w:rPr>
        <w:t xml:space="preserve">(35D) </w:t>
      </w:r>
      <w:r>
        <w:rPr>
          <w:rFonts w:ascii="Times New Roman" w:hAnsi="Times New Roman"/>
          <w:b/>
          <w:i w:val="false"/>
          <w:color w:val="000000"/>
          <w:sz w:val="22"/>
        </w:rPr>
        <w:t xml:space="preserve">Handling of pension money and other funds. </w:t>
      </w:r>
      <w:r>
        <w:rPr>
          <w:rFonts w:ascii="Times New Roman" w:hAnsi="Times New Roman"/>
          <w:b w:val="false"/>
          <w:i w:val="false"/>
          <w:color w:val="000000"/>
          <w:sz w:val="22"/>
        </w:rPr>
        <w:t>Each member who has not been assigned a guardian, conservator, fiduciary or representative payee or has not designated a power of attorney while having adequate decision-making capacity or as otherwise specified may manage that member’s own personal financial affairs. Upon the receipt of written authorization from the member or legal representative by the commandant or designee, the commandant or designee may assist the member in the management of the member’s financial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 xml:space="preserve">Pension money or other funds deposited with IVH are not assignable except as specified at subrule </w:t>
      </w:r>
      <w:hyperlink r:id="rId51">
        <w:r>
          <w:rPr>
            <w:rStyle w:val="Hyperlink"/>
            <w:rFonts w:ascii="Times New Roman" w:hAnsi="Times New Roman"/>
            <w:b w:val="false"/>
            <w:i w:val="false"/>
            <w:color w:val="000000"/>
            <w:sz w:val="22"/>
          </w:rPr>
          <w:t>10.19(3)</w:t>
        </w:r>
      </w:hyperlink>
      <w:r>
        <w:rPr>
          <w:rFonts w:ascii="Times New Roman" w:hAnsi="Times New Roman"/>
          <w:b w:val="false"/>
          <w:i w:val="false"/>
          <w:color w:val="000000"/>
          <w:sz w:val="22"/>
        </w:rPr>
        <w:t xml:space="preserve"> or </w:t>
      </w:r>
      <w:hyperlink r:id="rId52">
        <w:r>
          <w:rPr>
            <w:rStyle w:val="Hyperlink"/>
            <w:rFonts w:ascii="Times New Roman" w:hAnsi="Times New Roman"/>
            <w:b w:val="false"/>
            <w:i w:val="false"/>
            <w:color w:val="000000"/>
            <w:sz w:val="22"/>
          </w:rPr>
          <w:t>10.40(2)</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 xml:space="preserve">If authorized by a member, the commandant or designee may act on behalf of that member in receiving, disbursing, and accounting for personal funds of the member received from any source subject to the requirements of Iowa Code section </w:t>
      </w:r>
      <w:hyperlink r:id="rId53">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The authorization may be given or withdrawn in writing by the member or legal representative at any time. The authorization shall not be a condition of admission to or retention at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w:t>
      </w:r>
      <w:r>
        <w:rPr>
          <w:rFonts w:ascii="Times New Roman" w:hAnsi="Times New Roman"/>
          <w:b w:val="false"/>
          <w:i w:val="false"/>
          <w:color w:val="000000"/>
          <w:sz w:val="22"/>
        </w:rPr>
        <w:t> </w:t>
      </w:r>
      <w:r>
        <w:rPr>
          <w:rFonts w:ascii="Times New Roman" w:hAnsi="Times New Roman"/>
          <w:b w:val="false"/>
          <w:i w:val="false"/>
          <w:color w:val="000000"/>
          <w:sz w:val="22"/>
        </w:rPr>
        <w:t>IVH shall maintain a commercial account with a federally insured bank for the personal deposits of its members. The account shall be known as the IVH membership account/rep payee for social security/VA beneficiaries. The commandant or designee shall record each member’s personal deposits individually and shall deposit the funds in the membership account where the members’ deposits shall be held in the aggregate. Interest shall accrue on those accounts that are on deposit the last working Friday of each month. IVH may withdraw moneys from the account maintained pursuant to this subrule to establish certificates of deposit for the benefit of all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10.35(4)</w:t>
      </w:r>
      <w:r>
        <w:rPr>
          <w:rFonts w:ascii="Times New Roman" w:hAnsi="Times New Roman"/>
          <w:b w:val="false"/>
          <w:i w:val="false"/>
          <w:color w:val="000000"/>
          <w:sz w:val="22"/>
        </w:rPr>
        <w:t> </w:t>
      </w:r>
      <w:r>
        <w:rPr>
          <w:rFonts w:ascii="Times New Roman" w:hAnsi="Times New Roman"/>
          <w:b w:val="false"/>
          <w:i w:val="false"/>
          <w:color w:val="000000"/>
          <w:sz w:val="22"/>
        </w:rPr>
        <w:t>If authorized in writing by the member or legal representative, the commandant or designee may make withdrawals against that member’s personal account to pay regular bills and other expenses incurred by the member. The authorization may be given or withdrawn in writing by the member or legal representative at any time. The authorization shall not be a condition of admission to or retention at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10.35(5)</w:t>
      </w:r>
      <w:r>
        <w:rPr>
          <w:rFonts w:ascii="Times New Roman" w:hAnsi="Times New Roman"/>
          <w:b w:val="false"/>
          <w:i w:val="false"/>
          <w:color w:val="000000"/>
          <w:sz w:val="22"/>
        </w:rPr>
        <w:t> </w:t>
      </w:r>
      <w:r>
        <w:rPr>
          <w:rFonts w:ascii="Times New Roman" w:hAnsi="Times New Roman"/>
          <w:b w:val="false"/>
          <w:i w:val="false"/>
          <w:color w:val="000000"/>
          <w:sz w:val="22"/>
        </w:rPr>
        <w:t>The commandant or designee shall maintain a written record of each member’s funds which are received by or deposited with IVH. The member or legal representative shall receive a monthly statement showing deposits, withdrawals, disbursements, interest and current balances. If the commandant or designee is made representative payee or fiduciary for the member’s financial transactions, this statement shall be maintained in the member’s administrative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10.35(6)</w:t>
      </w:r>
      <w:r>
        <w:rPr>
          <w:rFonts w:ascii="Times New Roman" w:hAnsi="Times New Roman"/>
          <w:b w:val="false"/>
          <w:i w:val="false"/>
          <w:color w:val="000000"/>
          <w:sz w:val="22"/>
        </w:rPr>
        <w:t> </w:t>
      </w:r>
      <w:r>
        <w:rPr>
          <w:rFonts w:ascii="Times New Roman" w:hAnsi="Times New Roman"/>
          <w:b w:val="false"/>
          <w:i w:val="false"/>
          <w:color w:val="000000"/>
          <w:sz w:val="22"/>
        </w:rPr>
        <w:t>Except as otherwise specified and unless the commandant or designee has been appointed representative payee or fiduciary, funds deposited with IVH shall be released to the member or legal representative upon request. A statement will be provided showing deposits, disbursements, interest, and the final balance at the time the funds are withdrawn. When the member continues to maintain residency at IVH, the funds shall be released and a statement provided within three working days following the request. When a member is being discharged from IVH, the funds shall be released and a statement provided no later than the tenth day of the month following the month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10.35(7)</w:t>
      </w:r>
      <w:r>
        <w:rPr>
          <w:rFonts w:ascii="Times New Roman" w:hAnsi="Times New Roman"/>
          <w:b w:val="false"/>
          <w:i w:val="false"/>
          <w:color w:val="000000"/>
          <w:sz w:val="22"/>
        </w:rPr>
        <w:t> </w:t>
      </w:r>
      <w:r>
        <w:rPr>
          <w:rFonts w:ascii="Times New Roman" w:hAnsi="Times New Roman"/>
          <w:b w:val="false"/>
          <w:i w:val="false"/>
          <w:color w:val="000000"/>
          <w:sz w:val="22"/>
        </w:rPr>
        <w:t>Upon the death of a member with personal funds deposited with IVH, and upon receipt of documentation of an outstanding balance, IVH will promptly convey the member’s funds to the funeral home or to the individual paying the last funeral expenses. If no bill is presented for funeral expenses, IVH will collect any balance owing for the resident’s final support bill, which may include debts owed to the IVH arts and crafts and ceramics program. IVH will notify promptly the estate recovery program of the death of any IVH resident. Upon IVH’s receipt of notification from the estate recovery program, any funds remaining in the deceased resident’s membership account will be disbursed according to the deceased resident’s directions. If probate papers are produced, a final accounting of those funds must also be provided to the individual administering the member’s estate along with a disbursement of any remaining funds. If the value of the member’s estate is so small as to make the granting of administration inadvisable, IVH must hold, then deliver all money plus interest within one year to the proper heirs equally or adhere to the member’s request in the member’s last will and testament.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10.35(8)</w:t>
      </w:r>
      <w:r>
        <w:rPr>
          <w:rFonts w:ascii="Times New Roman" w:hAnsi="Times New Roman"/>
          <w:b w:val="false"/>
          <w:i w:val="false"/>
          <w:color w:val="000000"/>
          <w:sz w:val="22"/>
        </w:rPr>
        <w:t> </w:t>
      </w:r>
      <w:r>
        <w:rPr>
          <w:rFonts w:ascii="Times New Roman" w:hAnsi="Times New Roman"/>
          <w:b w:val="false"/>
          <w:i w:val="false"/>
          <w:color w:val="000000"/>
          <w:sz w:val="22"/>
        </w:rPr>
        <w:t>A member discharged while on leave from IVH shall have the member’s account closed by the tenth day of the month following discharge.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4">
        <w:r>
          <w:rPr>
            <w:rStyle w:val="Hyperlink"/>
            <w:rFonts w:ascii="Times New Roman" w:hAnsi="Times New Roman"/>
            <w:b w:val="false"/>
            <w:i w:val="false"/>
            <w:color w:val="000000"/>
            <w:sz w:val="22"/>
          </w:rPr>
          <w:t>35D.11(2)</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35D.12(2)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801—10.36</w:t>
      </w:r>
      <w:r>
        <w:rPr>
          <w:rFonts w:ascii="Times New Roman" w:hAnsi="Times New Roman"/>
          <w:b/>
          <w:i w:val="false"/>
          <w:color w:val="000000"/>
          <w:sz w:val="22"/>
        </w:rPr>
        <w:t xml:space="preserve">(35D) </w:t>
      </w:r>
      <w:r>
        <w:rPr>
          <w:rFonts w:ascii="Times New Roman" w:hAnsi="Times New Roman"/>
          <w:b/>
          <w:i w:val="false"/>
          <w:color w:val="000000"/>
          <w:sz w:val="22"/>
        </w:rPr>
        <w:t xml:space="preserve">Leave, bed holds and 96-hour passes.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color w:val="000000"/>
          <w:sz w:val="22"/>
        </w:rPr>
        <w:t xml:space="preserve">Non-Title XIX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are free to leave IVH grounds unless contraindicated by medical determination. In cases where it is determined to be medically contraindicated and a member chooses to leave, the member or legal representative must sign “Discharge Against Medical Advice,” Form 475-0940.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Leaves are required if the member expects to be absent past midnight.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leaves other than free time shall require payment of member support charges as though the member were in residency. Failure to pay regular member support charges may result in discharge of the member. Leave length may be changed by notification from the member or legal representative to the nursing unit social worker or domiciliary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 leaves. Leaves spent in approved medical facilities away from IVH shall not be counted against the 59-day leave time limit as set out in paragraph </w:t>
      </w:r>
      <w:hyperlink r:id="rId56">
        <w:r>
          <w:rPr>
            <w:rStyle w:val="Hyperlink"/>
            <w:rFonts w:ascii="Times New Roman" w:hAnsi="Times New Roman"/>
            <w:b w:val="false"/>
            <w:i w:val="false"/>
            <w:color w:val="000000"/>
            <w:sz w:val="22"/>
          </w:rPr>
          <w:t>10.14(3)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Hospital leaves shall be granted and the charges for such leaves shall be as follows: During the first ten consecutive days of any hospital stay, the member shall pay the regular and usual assessed charge for the member’s level of care. After the tenth day, if a mutual agreement is made between the resident or legal representative and the commandant or designee for the member’s bed to be held for additional days, the member shall not be charged. Each monthly member support bill shall reflect any adjustments related to hospitalization.</w:t>
      </w:r>
    </w:p>
    <w:p>
      <w:pPr>
        <w:spacing w:before="0" w:after="0"/>
        <w:ind w:left="120"/>
        <w:jc w:val="both"/>
      </w:pPr>
      <w:r>
        <w:rPr>
          <w:rFonts w:ascii="Times New Roman" w:hAnsi="Times New Roman"/>
          <w:b w:val="false"/>
          <w:i w:val="false"/>
          <w:color w:val="000000"/>
          <w:sz w:val="22"/>
        </w:rPr>
        <w:t>Leaves to other medical facilities for the purpose of treatment shall be treated as hospital leaves.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General leaves.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Twelve days of leave time each calendar year shall be free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shall be charged the usual support charge for leave time over 12 days up to and including 59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shall be charged the full support rate for the level of care in which the member resides for leave time over 59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Leave time is not cumulative from one calendar year to another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Leave time the member has not utilized or cannot utilize shall not be credited toward the member’s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 charges for the member on leave who wishes to retain the member’s room or bed shall be due and payable as though the member were in residency as set forth in paragraph </w:t>
      </w:r>
      <w:hyperlink r:id="rId57">
        <w:r>
          <w:rPr>
            <w:rStyle w:val="Hyperlink"/>
            <w:rFonts w:ascii="Times New Roman" w:hAnsi="Times New Roman"/>
            <w:b w:val="false"/>
            <w:i w:val="false"/>
            <w:color w:val="000000"/>
            <w:sz w:val="22"/>
          </w:rPr>
          <w:t>10.36(1)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the nursing care member is on leave, the member shall remain on in-house status for the first 12 leave days per calendar year for DVA per diem purposes and IVH shall be financially responsible for medical expenses, which include deductibles, co-pays and the member’s share after all insurance has been filed and paid to the medical facility, unless the medical expenses are assumed by the member or legal representative in relation to choice of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member has used 12 non-hospital leave days, IVH is not financially responsible for any medical charges for the member while on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color w:val="000000"/>
          <w:sz w:val="22"/>
        </w:rPr>
        <w:t xml:space="preserve">Members who are receiving Title XIX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are free to leave IVH grounds unless contraindicated by medical determination. In cases where it is determined to be medically contraindicated and a member chooses to leave, the member or legal representative must sign “Discharge Against Medical Advice,” Form 475-0940.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leave as set out in paragraph </w:t>
      </w:r>
      <w:hyperlink r:id="rId58">
        <w:r>
          <w:rPr>
            <w:rStyle w:val="Hyperlink"/>
            <w:rFonts w:ascii="Times New Roman" w:hAnsi="Times New Roman"/>
            <w:b w:val="false"/>
            <w:i w:val="false"/>
            <w:color w:val="000000"/>
            <w:sz w:val="22"/>
          </w:rPr>
          <w:t>10.36(1)</w:t>
        </w:r>
      </w:hyperlink>
      <w:r>
        <w:rPr>
          <w:rFonts w:ascii="Times New Roman" w:hAnsi="Times New Roman"/>
          <w:b w:val="false"/>
          <w:i/>
          <w:color w:val="000000"/>
          <w:sz w:val="22"/>
        </w:rPr>
        <w:t>“b”</w:t>
      </w:r>
      <w:r>
        <w:rPr>
          <w:rFonts w:ascii="Times New Roman" w:hAnsi="Times New Roman"/>
          <w:b w:val="false"/>
          <w:i w:val="false"/>
          <w:color w:val="000000"/>
          <w:sz w:val="22"/>
        </w:rPr>
        <w:t xml:space="preserve"> is required if a member expects to be absent past midnight.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member’s bed shall be held while the member is visiting away from IVH for a period not to exceed 18 days in any calendar year. There is no restriction as to the amount of days taken in any one month or during any one visit, as long as the days taken in the calendar year do not exceed 18. Additional days shall be allowed if the member’s medical provider recommends in the plan of care that additional days would be rehabilitative.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or a legal representative who wishes to exceed the 18 visitation days and retain the member’s bed, but does not have medical provider recommendation for an extension, must make arrangements with the operations division administrator or designee for payment of the rate determined by the department of human services income maintenance worker for all days in excess of the 18 visitation days. If prior arrangements and payment are not made, a member may be discharged in accordance with subrule </w:t>
      </w:r>
      <w:hyperlink r:id="rId59">
        <w:r>
          <w:rPr>
            <w:rStyle w:val="Hyperlink"/>
            <w:rFonts w:ascii="Times New Roman" w:hAnsi="Times New Roman"/>
            <w:b w:val="false"/>
            <w:i w:val="false"/>
            <w:color w:val="000000"/>
            <w:sz w:val="22"/>
          </w:rPr>
          <w:t>10.12(2)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bed shall be held for a hospitalized member for up to ten consecutive days. After ten days, IVH assumes the authority to discharge the resident, but reserves the right to negotiate an extension to the bed hold, if warranted, in the best interest of the resident and the facility, at the discretion of the commandant or designee. The member’s client participation shall be paid according to the department of human services’ income maintenance worker for all hospitalized days until member returns or is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IVH is not financially responsible for any medical charges for the member when visiting away from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w:t>
      </w:r>
      <w:r>
        <w:rPr>
          <w:rFonts w:ascii="Times New Roman" w:hAnsi="Times New Roman"/>
          <w:b w:val="false"/>
          <w:i w:val="false"/>
          <w:color w:val="000000"/>
          <w:sz w:val="22"/>
        </w:rPr>
        <w:t> </w:t>
      </w:r>
      <w:r>
        <w:rPr>
          <w:rFonts w:ascii="Times New Roman" w:hAnsi="Times New Roman"/>
          <w:b w:val="false"/>
          <w:i/>
          <w:color w:val="000000"/>
          <w:sz w:val="22"/>
        </w:rPr>
        <w:t xml:space="preserve">Ninety-six-hour passes for domiciliary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pass shall not exceed 96 hours. If a member expects to be gone for more than 96 hours, a leave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return from a pass, the member must remain in residence 24 hours before another pass can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member is on pass, the member shall remain on in-house status for DVA per diem purposes; IVH shall be financially responsible for medical expenses, which include deductibles, co-pays and the member’s share after all insurance has been filed and paid to the medical facility, unless the medical expenses are assumed by the member or legal representative in relation to choice of medical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8417B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801—10.37</w:t>
      </w:r>
      <w:r>
        <w:rPr>
          <w:rFonts w:ascii="Times New Roman" w:hAnsi="Times New Roman"/>
          <w:b/>
          <w:i w:val="false"/>
          <w:color w:val="000000"/>
          <w:sz w:val="22"/>
        </w:rPr>
        <w:t xml:space="preserve">(35D) </w:t>
      </w:r>
      <w:r>
        <w:rPr>
          <w:rFonts w:ascii="Times New Roman" w:hAnsi="Times New Roman"/>
          <w:b/>
          <w:i w:val="false"/>
          <w:color w:val="000000"/>
          <w:sz w:val="22"/>
        </w:rPr>
        <w:t xml:space="preserve">Mail.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10.37(1)</w:t>
      </w:r>
      <w:r>
        <w:rPr>
          <w:rFonts w:ascii="Times New Roman" w:hAnsi="Times New Roman"/>
          <w:b w:val="false"/>
          <w:i w:val="false"/>
          <w:color w:val="000000"/>
          <w:sz w:val="22"/>
        </w:rPr>
        <w:t> </w:t>
      </w:r>
      <w:r>
        <w:rPr>
          <w:rFonts w:ascii="Times New Roman" w:hAnsi="Times New Roman"/>
          <w:b w:val="false"/>
          <w:i w:val="false"/>
          <w:color w:val="000000"/>
          <w:sz w:val="22"/>
        </w:rPr>
        <w:t>Each member or legal representative shall be afforded a choice in the methods of handling the member’s business mail and in meeting the member’s responsibilities for reporting resources for the purpose of computation of member support. A member found to have inadequate financial decision making shall have that member’s business mail handled in a manner as to respect that member’s dignity and still meet the needs of IVH for complete information regarding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10.37(2)</w:t>
      </w:r>
      <w:r>
        <w:rPr>
          <w:rFonts w:ascii="Times New Roman" w:hAnsi="Times New Roman"/>
          <w:b w:val="false"/>
          <w:i w:val="false"/>
          <w:color w:val="000000"/>
          <w:sz w:val="22"/>
        </w:rPr>
        <w:t> </w:t>
      </w:r>
      <w:r>
        <w:rPr>
          <w:rFonts w:ascii="Times New Roman" w:hAnsi="Times New Roman"/>
          <w:b w:val="false"/>
          <w:i w:val="false"/>
          <w:color w:val="000000"/>
          <w:sz w:val="22"/>
        </w:rPr>
        <w:t>Each member or legal representative shall be allowed to handle that member’s business mail to the degree of responsibility chosen by the member or legal representative. A member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 to receive all business mail personally and provide the resident finance office with financial documentation,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Designate that the member shall receive personal mail items, but business mail received at IVH from entitlement sources or concerning assets shall be routed to the resident finance office, cashier’s office or purchasing office, whichever is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801—10.38</w:t>
      </w:r>
      <w:r>
        <w:rPr>
          <w:rFonts w:ascii="Times New Roman" w:hAnsi="Times New Roman"/>
          <w:b w:val="false"/>
          <w:i w:val="false"/>
          <w:color w:val="000000"/>
          <w:sz w:val="22"/>
        </w:rPr>
        <w:t xml:space="preserve"> and </w:t>
      </w:r>
      <w:r>
        <w:rPr>
          <w:rFonts w:ascii="Times New Roman" w:hAnsi="Times New Roman"/>
          <w:b/>
          <w:i w:val="false"/>
          <w:color w:val="000000"/>
          <w:sz w:val="22"/>
        </w:rPr>
        <w:t>10.39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801—10.40</w:t>
      </w:r>
      <w:r>
        <w:rPr>
          <w:rFonts w:ascii="Times New Roman" w:hAnsi="Times New Roman"/>
          <w:b/>
          <w:i w:val="false"/>
          <w:color w:val="000000"/>
          <w:sz w:val="22"/>
        </w:rPr>
        <w:t xml:space="preserve">(35D) </w:t>
      </w:r>
      <w:r>
        <w:rPr>
          <w:rFonts w:ascii="Times New Roman" w:hAnsi="Times New Roman"/>
          <w:b/>
          <w:i w:val="false"/>
          <w:color w:val="000000"/>
          <w:sz w:val="22"/>
        </w:rPr>
        <w:t xml:space="preserve">Requirements for member conduct. </w:t>
      </w:r>
      <w:r>
        <w:rPr>
          <w:rFonts w:ascii="Times New Roman" w:hAnsi="Times New Roman"/>
          <w:b w:val="false"/>
          <w:i w:val="false"/>
          <w:color w:val="000000"/>
          <w:sz w:val="22"/>
        </w:rPr>
        <w:t xml:space="preserve">The commandant or designee shall administer and enforce all requirements for member conduct. Subject to these rules and Iowa Code section </w:t>
      </w:r>
      <w:hyperlink r:id="rId60">
        <w:r>
          <w:rPr>
            <w:rStyle w:val="Hyperlink"/>
            <w:rFonts w:ascii="Times New Roman" w:hAnsi="Times New Roman"/>
            <w:b w:val="false"/>
            <w:i w:val="false"/>
            <w:color w:val="000000"/>
            <w:sz w:val="22"/>
          </w:rPr>
          <w:t>135C.23</w:t>
        </w:r>
      </w:hyperlink>
      <w:r>
        <w:rPr>
          <w:rFonts w:ascii="Times New Roman" w:hAnsi="Times New Roman"/>
          <w:b w:val="false"/>
          <w:i w:val="false"/>
          <w:color w:val="000000"/>
          <w:sz w:val="22"/>
        </w:rPr>
        <w:t>, the commandant or designee may transfer or discharge any member from IVH when the commandant or designee determines that the health, safety or welfare of the members or staff is in immediate danger, and other reasonable alternatives have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member responsibilities as set out in rule </w:t>
      </w:r>
      <w:hyperlink r:id="rId61">
        <w:r>
          <w:rPr>
            <w:rStyle w:val="Hyperlink"/>
            <w:rFonts w:ascii="Times New Roman" w:hAnsi="Times New Roman"/>
            <w:b w:val="false"/>
            <w:i w:val="false"/>
            <w:color w:val="000000"/>
            <w:sz w:val="22"/>
          </w:rPr>
          <w:t>801—10.12</w:t>
        </w:r>
      </w:hyperlink>
      <w:r>
        <w:rPr>
          <w:rFonts w:ascii="Times New Roman" w:hAnsi="Times New Roman"/>
          <w:b w:val="false"/>
          <w:i w:val="false"/>
          <w:color w:val="000000"/>
          <w:sz w:val="22"/>
        </w:rPr>
        <w:t>(35D), each member shall also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intoxicants or alcoholic beverages on IVH premises is prohibited unless prescribed by a medical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bringing of alcoholic beverages or illicit substances on IVH premises is prohibited. Any illicit substances or drug paraphernalia or both found in the member’s possession shall be grounds for immediate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use of illegal substances while a member of IVH is prohibited. A urinalysis shall confirm the presence of illegal substances. A member’s refusal to submit to a urinalysis in response to a request based on probable cause shall be considered a positive result and is grounds for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Firearms or weapons of any nature shall be turned in to the commandant or designee for safekeeping. The commandant or designee shall decide if an instrument is a weapon. Firearms or weapons in the possession of a member which constitute a hazard to self or others shall be removed and stored in a place provided and controlled by the facility or sent with family members for safekeeping.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Smoking in members’ rooms is prohibited. Members who smoke shall do so within designated smoking areas so as not to endanger self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Continuously disruptive behavior on the part of a member is grounds for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Members shall comply with legal requests and orders of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Members shall not violate state and federal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Members shall report to the resident finance supervisor or designee any changes in assets/income, and pay support within ten business days after the monthly support bill is received or ten business days after the member’s last income deposit for the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member is found in violation of the requirements of conduct established in subrule </w:t>
      </w:r>
      <w:hyperlink r:id="rId62">
        <w:r>
          <w:rPr>
            <w:rStyle w:val="Hyperlink"/>
            <w:rFonts w:ascii="Times New Roman" w:hAnsi="Times New Roman"/>
            <w:b w:val="false"/>
            <w:i w:val="false"/>
            <w:color w:val="000000"/>
            <w:sz w:val="22"/>
          </w:rPr>
          <w:t>10.40(1)</w:t>
        </w:r>
      </w:hyperlink>
      <w:r>
        <w:rPr>
          <w:rFonts w:ascii="Times New Roman" w:hAnsi="Times New Roman"/>
          <w:b w:val="false"/>
          <w:i w:val="false"/>
          <w:color w:val="000000"/>
          <w:sz w:val="22"/>
        </w:rPr>
        <w:t>, the following steps may be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first offense, a member is counseled by an appropriate staff person and options for correcting the behavior are considered. Options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Funds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Substance abuse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IVH control of the member’s personal funds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pension money and other incomes and available liquid assets shall be deposited by the commandant or designee in a separate account for and on behalf of the member. The commandant or designee shall, under the procedures established in subrules </w:t>
      </w:r>
      <w:hyperlink r:id="rId63">
        <w:r>
          <w:rPr>
            <w:rStyle w:val="Hyperlink"/>
            <w:rFonts w:ascii="Times New Roman" w:hAnsi="Times New Roman"/>
            <w:b w:val="false"/>
            <w:i w:val="false"/>
            <w:color w:val="000000"/>
            <w:sz w:val="22"/>
          </w:rPr>
          <w:t>10.35(3)</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10.35(4)</w:t>
        </w:r>
      </w:hyperlink>
      <w:r>
        <w:rPr>
          <w:rFonts w:ascii="Times New Roman" w:hAnsi="Times New Roman"/>
          <w:b w:val="false"/>
          <w:i w:val="false"/>
          <w:color w:val="000000"/>
          <w:sz w:val="22"/>
        </w:rPr>
        <w:t>, make withdrawals and disbursements to meet the regular bills and other expenses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after a period of up to six months, the member’s behavior is deemed appropriate by the facility, the handling of funds will be reviewed, and funds may be returned to the control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member is discharged from IVH, the balance of the funds in the IVH membership account shall be paid to the member or financial legal representative no later than the tenth day of the month following the month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second offense, a member is offered the services above and is placed on probation that warns a third offense may lead to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third offense, discharge from IVH in accordance with subrule </w:t>
      </w:r>
      <w:hyperlink r:id="rId65">
        <w:r>
          <w:rPr>
            <w:rStyle w:val="Hyperlink"/>
            <w:rFonts w:ascii="Times New Roman" w:hAnsi="Times New Roman"/>
            <w:b w:val="false"/>
            <w:i w:val="false"/>
            <w:color w:val="000000"/>
            <w:sz w:val="22"/>
          </w:rPr>
          <w:t>10.40(3)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steps described in subrule </w:t>
      </w:r>
      <w:hyperlink r:id="rId66">
        <w:r>
          <w:rPr>
            <w:rStyle w:val="Hyperlink"/>
            <w:rFonts w:ascii="Times New Roman" w:hAnsi="Times New Roman"/>
            <w:b w:val="false"/>
            <w:i w:val="false"/>
            <w:color w:val="000000"/>
            <w:sz w:val="22"/>
          </w:rPr>
          <w:t>10.40(2)</w:t>
        </w:r>
      </w:hyperlink>
      <w:r>
        <w:rPr>
          <w:rFonts w:ascii="Times New Roman" w:hAnsi="Times New Roman"/>
          <w:b w:val="false"/>
          <w:i w:val="false"/>
          <w:color w:val="000000"/>
          <w:sz w:val="22"/>
        </w:rPr>
        <w:t xml:space="preserve"> shall generally be followed in that order. However, if the member’s violation is of an extreme nature and the member is not amenable to counseling, the commandant or designee shall choose to discharge the member after the expiration of a 30-day written notification period which begins when the notice is personally delivered. If the RCC, in conjunction with the medical provider and mental health personnel, deems that the member’s behavior poses a threat of imminent danger, the commandant or designee may issue notice of an immediate involuntary discharge. In such an emergency situation, a written notice shall be given prior to or within 48 hours following the discharge.</w:t>
      </w:r>
    </w:p>
    <w:p>
      <w:pPr>
        <w:spacing w:before="0" w:after="0"/>
        <w:ind w:left="120"/>
        <w:jc w:val="both"/>
      </w:pPr>
      <w:r>
        <w:rPr>
          <w:rFonts w:ascii="Times New Roman" w:hAnsi="Times New Roman"/>
          <w:b w:val="false"/>
          <w:i w:val="false"/>
          <w:color w:val="000000"/>
          <w:sz w:val="22"/>
        </w:rPr>
        <w:t>The member’s county commission of veterans affairs and the legal representative shall be informed in writing of the decision to discharge. Written notification shall also be issued to appropriate governmental agencies including the commission, the department of inspections and appeals, and the department on aging’s long-term care ombudsman to ensure that the member’s health, safety or welfare shall not be in danger upon the member’s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10.40(4)</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who has been previously discharged under the provisions of subrule </w:t>
      </w:r>
      <w:hyperlink r:id="rId67">
        <w:r>
          <w:rPr>
            <w:rStyle w:val="Hyperlink"/>
            <w:rFonts w:ascii="Times New Roman" w:hAnsi="Times New Roman"/>
            <w:b w:val="false"/>
            <w:i w:val="false"/>
            <w:color w:val="000000"/>
            <w:sz w:val="22"/>
          </w:rPr>
          <w:t>10.40(2)</w:t>
        </w:r>
      </w:hyperlink>
      <w:r>
        <w:rPr>
          <w:rFonts w:ascii="Times New Roman" w:hAnsi="Times New Roman"/>
          <w:b w:val="false"/>
          <w:i w:val="false"/>
          <w:color w:val="000000"/>
          <w:sz w:val="22"/>
        </w:rPr>
        <w:t xml:space="preserve"> or </w:t>
      </w:r>
      <w:hyperlink r:id="rId68">
        <w:r>
          <w:rPr>
            <w:rStyle w:val="Hyperlink"/>
            <w:rFonts w:ascii="Times New Roman" w:hAnsi="Times New Roman"/>
            <w:b w:val="false"/>
            <w:i w:val="false"/>
            <w:color w:val="000000"/>
            <w:sz w:val="22"/>
          </w:rPr>
          <w:t>10.40(3)</w:t>
        </w:r>
      </w:hyperlink>
      <w:r>
        <w:rPr>
          <w:rFonts w:ascii="Times New Roman" w:hAnsi="Times New Roman"/>
          <w:b w:val="false"/>
          <w:i w:val="false"/>
          <w:color w:val="000000"/>
          <w:sz w:val="22"/>
        </w:rPr>
        <w:t xml:space="preserve"> shall be readmitted to IVH only upon the approval of the commandant or designee. If not approved, the applicant shall receive written notice of the denial. A copy of the denial notice shall be forwarded to the commission and the appropriate county commission of veterans affairs. Any decision to deny readmittance is subject to the review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801—10.41</w:t>
      </w:r>
      <w:r>
        <w:rPr>
          <w:rFonts w:ascii="Times New Roman" w:hAnsi="Times New Roman"/>
          <w:b/>
          <w:i w:val="false"/>
          <w:color w:val="000000"/>
          <w:sz w:val="22"/>
        </w:rPr>
        <w:t xml:space="preserve">(35D) </w:t>
      </w:r>
      <w:r>
        <w:rPr>
          <w:rFonts w:ascii="Times New Roman" w:hAnsi="Times New Roman"/>
          <w:b/>
          <w:i w:val="false"/>
          <w:color w:val="000000"/>
          <w:sz w:val="22"/>
        </w:rPr>
        <w:t xml:space="preserve">County of residence upon discharge. </w:t>
      </w:r>
      <w:r>
        <w:rPr>
          <w:rFonts w:ascii="Times New Roman" w:hAnsi="Times New Roman"/>
          <w:b w:val="false"/>
          <w:i w:val="false"/>
          <w:color w:val="000000"/>
          <w:sz w:val="22"/>
        </w:rPr>
        <w:t xml:space="preserve">A member does not acquire residency in Marshall County, the county in which IVH is located, unless the member is voluntarily or involuntarily discharged from IVH and the member meets county of residence requirements. For purposes of this rule, “county of residence” means the same as defined in Iowa Code section </w:t>
      </w:r>
      <w:hyperlink r:id="rId69">
        <w:r>
          <w:rPr>
            <w:rStyle w:val="Hyperlink"/>
            <w:rFonts w:ascii="Times New Roman" w:hAnsi="Times New Roman"/>
            <w:b w:val="false"/>
            <w:i w:val="false"/>
            <w:color w:val="000000"/>
            <w:sz w:val="22"/>
          </w:rPr>
          <w:t>331.394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4587C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801—10.42</w:t>
      </w:r>
      <w:r>
        <w:rPr>
          <w:rFonts w:ascii="Times New Roman" w:hAnsi="Times New Roman"/>
          <w:b/>
          <w:i w:val="false"/>
          <w:color w:val="000000"/>
          <w:sz w:val="22"/>
        </w:rPr>
        <w:t xml:space="preserve">(35D) </w:t>
      </w:r>
      <w:r>
        <w:rPr>
          <w:rFonts w:ascii="Times New Roman" w:hAnsi="Times New Roman"/>
          <w:b/>
          <w:i w:val="false"/>
          <w:color w:val="000000"/>
          <w:sz w:val="22"/>
        </w:rPr>
        <w:t xml:space="preserve">Disposition of personal property and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10.42(1)</w:t>
      </w:r>
      <w:r>
        <w:rPr>
          <w:rFonts w:ascii="Times New Roman" w:hAnsi="Times New Roman"/>
          <w:b w:val="false"/>
          <w:i w:val="false"/>
          <w:color w:val="000000"/>
          <w:sz w:val="22"/>
        </w:rPr>
        <w:t> </w:t>
      </w:r>
      <w:r>
        <w:rPr>
          <w:rFonts w:ascii="Times New Roman" w:hAnsi="Times New Roman"/>
          <w:b w:val="false"/>
          <w:i w:val="false"/>
          <w:color w:val="000000"/>
          <w:sz w:val="22"/>
        </w:rPr>
        <w:t>A discharged member shall remove all personal property at the time of discharge or within 30 days. Personal property not removed within 30 days after discharge shall become the property of IVH to dispose of as the commandant or designee directs. Personal property may be forwarded at the member’s expense to the member’s last-known address. When the member is discharged from IVH, the member’s funds shall be released to the member or legal representative with a statement provided no later than the tenth day of the month following the month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10.42(2)</w:t>
      </w:r>
      <w:r>
        <w:rPr>
          <w:rFonts w:ascii="Times New Roman" w:hAnsi="Times New Roman"/>
          <w:b w:val="false"/>
          <w:i w:val="false"/>
          <w:color w:val="000000"/>
          <w:sz w:val="22"/>
        </w:rPr>
        <w:t> </w:t>
      </w:r>
      <w:r>
        <w:rPr>
          <w:rFonts w:ascii="Times New Roman" w:hAnsi="Times New Roman"/>
          <w:b w:val="false"/>
          <w:i w:val="false"/>
          <w:color w:val="000000"/>
          <w:sz w:val="22"/>
        </w:rPr>
        <w:t>Following written notification to the legal representative or first next of kin, a deceased member’s personal property remaining at IVH 30 days after written notification shall become the property of IVH to dispose of as the commandant or designee directs. If there is a known legal representative or first next of kin, the property may be shipped to the legal representative or first next of kin at the expense of the estate, legal representative, or first next of kin.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10.42(3)</w:t>
      </w:r>
      <w:r>
        <w:rPr>
          <w:rFonts w:ascii="Times New Roman" w:hAnsi="Times New Roman"/>
          <w:b w:val="false"/>
          <w:i w:val="false"/>
          <w:color w:val="000000"/>
          <w:sz w:val="22"/>
        </w:rPr>
        <w:t> </w:t>
      </w:r>
      <w:r>
        <w:rPr>
          <w:rFonts w:ascii="Times New Roman" w:hAnsi="Times New Roman"/>
          <w:b w:val="false"/>
          <w:i w:val="false"/>
          <w:color w:val="000000"/>
          <w:sz w:val="22"/>
        </w:rPr>
        <w:t>Upon the death of a member with personal funds deposited at IVH, after the final bill and any outstanding funeral expenses have been paid, and after receipt of notification from the estate recovery program (for those on Title XIX) that release of funds is approved, IVH shall convey the member’s funds along with a final statement to the legal representative administering the member’s estate. When an estate is not opened or in cases where no executor is appointed, IVH shall attempt to locate the deceased member’s heirs and deliver the funds to the heirs equally or according to the terms of the last will and testament within one year after the date of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801—10.43</w:t>
      </w:r>
      <w:r>
        <w:rPr>
          <w:rFonts w:ascii="Times New Roman" w:hAnsi="Times New Roman"/>
          <w:b/>
          <w:i w:val="false"/>
          <w:color w:val="000000"/>
          <w:sz w:val="22"/>
        </w:rPr>
        <w:t xml:space="preserve">(35D) </w:t>
      </w:r>
      <w:r>
        <w:rPr>
          <w:rFonts w:ascii="Times New Roman" w:hAnsi="Times New Roman"/>
          <w:b/>
          <w:i w:val="false"/>
          <w:color w:val="000000"/>
          <w:sz w:val="22"/>
        </w:rPr>
        <w:t xml:space="preserve">Rule enforcement—power to suspend and discharge members. </w:t>
      </w:r>
      <w:r>
        <w:rPr>
          <w:rFonts w:ascii="Times New Roman" w:hAnsi="Times New Roman"/>
          <w:b w:val="false"/>
          <w:i w:val="false"/>
          <w:color w:val="000000"/>
          <w:sz w:val="22"/>
        </w:rPr>
        <w:t xml:space="preserve">The commandant or designee shall administer and enforce all rules adopted by the commission, including rules of discipline and, subject to these rules, may immediately suspend the membership of and discharge any member from IVH for infraction of the rules when the commandant or designee determines that the health, safety or welfare of the members of IVH is in immediate danger and other reasonable alternatives have been exhausted. The suspension and discharge are temporary pending action by the commission. Judicial review of the action of the commission may be sought in accordance with Iowa Code chapter </w:t>
      </w:r>
      <w:hyperlink r:id="rId7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10.43(1)</w:t>
      </w:r>
      <w:r>
        <w:rPr>
          <w:rFonts w:ascii="Times New Roman" w:hAnsi="Times New Roman"/>
          <w:b w:val="false"/>
          <w:i w:val="false"/>
          <w:color w:val="000000"/>
          <w:sz w:val="22"/>
        </w:rPr>
        <w:t> </w:t>
      </w:r>
      <w:r>
        <w:rPr>
          <w:rFonts w:ascii="Times New Roman" w:hAnsi="Times New Roman"/>
          <w:b w:val="false"/>
          <w:i w:val="false"/>
          <w:color w:val="000000"/>
          <w:sz w:val="22"/>
        </w:rPr>
        <w:t>The commandant or designee shall, with the input and recommendation of the RCC, involuntarily discharge a member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has been diagnosed with a substance use disorder but continues to abuse alcohol or an illegal drug in violation of the member’s conditional or provisional agreement entered into at the time of admission or at any time thereafter, and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been provided sufficient notice of any changes in the member’s collaborative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been notified of the member’s commission of three offenses and has been given the opportunity to correct the behavior through either of the following options: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Being given the opportunity to receive the appropriate level of treatment in accordance with best practices for standards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having been placed on probation by IVH for a second offense.</w:t>
      </w:r>
    </w:p>
    <w:p>
      <w:pPr>
        <w:spacing w:before="0" w:after="0"/>
        <w:ind w:left="120"/>
        <w:jc w:val="both"/>
      </w:pPr>
      <w:r>
        <w:rPr>
          <w:rFonts w:ascii="Times New Roman" w:hAnsi="Times New Roman"/>
          <w:b w:val="false"/>
          <w:i w:val="false"/>
          <w:color w:val="000000"/>
          <w:sz w:val="22"/>
        </w:rPr>
        <w:t xml:space="preserve">Notwithstanding the member meeting the criteria for discharge under paragraph </w:t>
      </w:r>
      <w:hyperlink r:id="rId71">
        <w:r>
          <w:rPr>
            <w:rStyle w:val="Hyperlink"/>
            <w:rFonts w:ascii="Times New Roman" w:hAnsi="Times New Roman"/>
            <w:b w:val="false"/>
            <w:i w:val="false"/>
            <w:color w:val="000000"/>
            <w:sz w:val="22"/>
          </w:rPr>
          <w:t>10.43(1)</w:t>
        </w:r>
        <w:r>
          <w:rPr>
            <w:rFonts w:ascii="Times New Roman" w:hAnsi="Times New Roman"/>
            <w:b w:val="false"/>
            <w:i/>
            <w:color w:val="000000"/>
            <w:sz w:val="22"/>
          </w:rPr>
          <w:t>“a,”</w:t>
        </w:r>
      </w:hyperlink>
      <w:r>
        <w:rPr>
          <w:rFonts w:ascii="Times New Roman" w:hAnsi="Times New Roman"/>
          <w:b w:val="false"/>
          <w:i w:val="false"/>
          <w:color w:val="000000"/>
          <w:sz w:val="22"/>
        </w:rPr>
        <w:t xml:space="preserve"> if the member has demonstrated progress toward the goals established in the member’s collaborative care plan, the RCC and the commandant or designee may exercise discretion regarding the discharge. Notwithstanding any provision to the contrary, the member may be immediately discharged under paragraph </w:t>
      </w:r>
      <w:hyperlink r:id="rId72">
        <w:r>
          <w:rPr>
            <w:rStyle w:val="Hyperlink"/>
            <w:rFonts w:ascii="Times New Roman" w:hAnsi="Times New Roman"/>
            <w:b w:val="false"/>
            <w:i w:val="false"/>
            <w:color w:val="000000"/>
            <w:sz w:val="22"/>
          </w:rPr>
          <w:t>10.43(1)</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member’s actions or behavior jeopardizes the life or safety of other members or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refuses to utilize the resources available to address issues identified in the member’s collaborative care plan, and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been provided sufficient notice of any changes in the member’s collaborative care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been notified of the member’s commission of three offenses and the member has been placed on probation by IVH for a second offense.</w:t>
      </w:r>
    </w:p>
    <w:p>
      <w:pPr>
        <w:spacing w:before="0" w:after="0"/>
        <w:ind w:left="120"/>
        <w:jc w:val="both"/>
      </w:pPr>
      <w:r>
        <w:rPr>
          <w:rFonts w:ascii="Times New Roman" w:hAnsi="Times New Roman"/>
          <w:b w:val="false"/>
          <w:i w:val="false"/>
          <w:color w:val="000000"/>
          <w:sz w:val="22"/>
        </w:rPr>
        <w:t xml:space="preserve">Notwithstanding the member meeting the criteria for discharge under paragraph </w:t>
      </w:r>
      <w:hyperlink r:id="rId73">
        <w:r>
          <w:rPr>
            <w:rStyle w:val="Hyperlink"/>
            <w:rFonts w:ascii="Times New Roman" w:hAnsi="Times New Roman"/>
            <w:b w:val="false"/>
            <w:i w:val="false"/>
            <w:color w:val="000000"/>
            <w:sz w:val="22"/>
          </w:rPr>
          <w:t>10.43(1)</w:t>
        </w:r>
        <w:r>
          <w:rPr>
            <w:rFonts w:ascii="Times New Roman" w:hAnsi="Times New Roman"/>
            <w:b w:val="false"/>
            <w:i/>
            <w:color w:val="000000"/>
            <w:sz w:val="22"/>
          </w:rPr>
          <w:t>“b,”</w:t>
        </w:r>
      </w:hyperlink>
      <w:r>
        <w:rPr>
          <w:rFonts w:ascii="Times New Roman" w:hAnsi="Times New Roman"/>
          <w:b w:val="false"/>
          <w:i w:val="false"/>
          <w:color w:val="000000"/>
          <w:sz w:val="22"/>
        </w:rPr>
        <w:t xml:space="preserve"> if the member has demonstrated progress toward the goals established in the member’s collaborative care plan, the RCC and the commandant or designee may exercise discretion regarding the discharge. Notwithstanding any provision to the contrary, the member may be immediately discharged if the member’s actions or behavior jeopardizes the life or safety of other members or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no longer meets the requirements for residential or nursing level of care, as determined by the RCC or medical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requires a level of licensed care not provided at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10.43(2)</w:t>
      </w:r>
      <w:r>
        <w:rPr>
          <w:rFonts w:ascii="Times New Roman" w:hAnsi="Times New Roman"/>
          <w:b w:val="false"/>
          <w:i w:val="false"/>
          <w:color w:val="000000"/>
          <w:sz w:val="22"/>
        </w:rPr>
        <w:t> </w:t>
      </w:r>
      <w:r>
        <w:rPr>
          <w:rFonts w:ascii="Times New Roman" w:hAnsi="Times New Roman"/>
          <w:b w:val="false"/>
          <w:i w:val="false"/>
          <w:color w:val="000000"/>
          <w:sz w:val="22"/>
        </w:rPr>
        <w:t>Provisions for member following discharge from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member is discharged under this rule, the discharge plan shall include placement in a suitable living situation which may include but is not limited to a transitional living program approved by the commission or a living program provided by DVA.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member is involuntarily discharged under this rule, the commission shall, to the greatest extent possible, ensure against the member being homeless and ensure that the domicile to which the member is discharged is fit and habitable and offers a safe and clean environment which is free from health hazards and provides appropriate heating, ventilation and protection from the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10.43(3)</w:t>
      </w:r>
      <w:r>
        <w:rPr>
          <w:rFonts w:ascii="Times New Roman" w:hAnsi="Times New Roman"/>
          <w:b w:val="false"/>
          <w:i w:val="false"/>
          <w:color w:val="000000"/>
          <w:sz w:val="22"/>
        </w:rPr>
        <w:t> </w:t>
      </w:r>
      <w:r>
        <w:rPr>
          <w:rFonts w:ascii="Times New Roman" w:hAnsi="Times New Roman"/>
          <w:b w:val="false"/>
          <w:i w:val="false"/>
          <w:color w:val="000000"/>
          <w:sz w:val="22"/>
        </w:rPr>
        <w:t>Discharge notice, including right to appeal. An involuntary discharge of a member under this rule shall be preceded by a written notice to the member. The notice shall state that, unless the discharge is an immediate discharge due to the member’s actions or behavior which jeopardizes the life or safety of other members or staff, the effective date of the discharge is 30 calendar days from the date of receipt of the discharge notice, and that the member has the right to appeal the discharge. In addition, the discharge notice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discharge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actual effective date of the proposed discharge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which reads: “You have a right to appeal the facility’s decision to transfer or discharge you. If you think you should not have to leave this facility, you may request a hearing in writing or verbally with the Commission of Veterans Affairs (hereinafter referred to as “Commission”) within five (5) calendar days after receiving this notice. You have a right to be represented at the hearing by an attorney or any other individual of your choice at your own expense. If you request a hearing, it will be held, and a decision rendered within ten (10) calendar days of the filing of the appeal. Provision may be made for extension of the ten (10) day requirement upon request to the Commission designee. If you lose the hearing, you will not be discharged or transferred before the expiration of 30 days following receipt of the original notice of the discharge or transfer, or no sooner than five (5) days following final decision of such hearing. To request a hearing or receive further information, call the Commission or write to the Commission to the attention of:</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Chairperson,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10.43(4)</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discharge. In the case of an emergency transfer or discharge relating to a threat of imminent harm, the resident must still be given a written notice prior to or within 48 hours following transfer or discharge. A copy of this notice must be placed in the resident’s file, and it must contain all the information required by </w:t>
      </w:r>
      <w:hyperlink r:id="rId74">
        <w:r>
          <w:rPr>
            <w:rStyle w:val="Hyperlink"/>
            <w:rFonts w:ascii="Times New Roman" w:hAnsi="Times New Roman"/>
            <w:b w:val="false"/>
            <w:i w:val="false"/>
            <w:color w:val="000000"/>
            <w:sz w:val="22"/>
          </w:rPr>
          <w:t>10.43(3)</w:t>
        </w:r>
      </w:hyperlink>
      <w:r>
        <w:rPr>
          <w:rFonts w:ascii="Times New Roman" w:hAnsi="Times New Roman"/>
          <w:b w:val="false"/>
          <w:i w:val="false"/>
          <w:color w:val="000000"/>
          <w:sz w:val="22"/>
        </w:rPr>
        <w:t>. In addition, the notice must contain a statement in not less than 12-point type (elite), which reads: “You have a right to appeal the facility’s decision to transfer or discharge you on an emergency basis. If you think you should not have to leave this facility, you may request a hearing in writing or verbally with the Commission of Veterans Affairs (hereinafter referred to as ‘Commission’) within 5 calendar days after receiving this notice. If you request a hearing, it will be held and a decision rendered within 10 calendar days of the filing of the appeal no later than 14 days after receipt of your request by the Commission. You may be transferred or discharged before the hearing is held or before a final decision is rendered. If you win the hearing, you have the right to be transferred back into the facility. To request a hearing or receive further information, you may call the Commission or write to the Commission to the attention of: Chairperson,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10.43(5)</w:t>
      </w:r>
      <w:r>
        <w:rPr>
          <w:rFonts w:ascii="Times New Roman" w:hAnsi="Times New Roman"/>
          <w:b w:val="false"/>
          <w:i w:val="false"/>
          <w:color w:val="000000"/>
          <w:sz w:val="22"/>
        </w:rPr>
        <w:t> </w:t>
      </w:r>
      <w:r>
        <w:rPr>
          <w:rFonts w:ascii="Times New Roman" w:hAnsi="Times New Roman"/>
          <w:b w:val="false"/>
          <w:i w:val="false"/>
          <w:color w:val="000000"/>
          <w:sz w:val="22"/>
        </w:rPr>
        <w:t>Appeal by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appeals the discharge under this rule, the member shall be provided with the information relating to the appeals process as specified in rule </w:t>
      </w:r>
      <w:hyperlink r:id="rId75">
        <w:r>
          <w:rPr>
            <w:rStyle w:val="Hyperlink"/>
            <w:rFonts w:ascii="Times New Roman" w:hAnsi="Times New Roman"/>
            <w:b w:val="false"/>
            <w:i w:val="false"/>
            <w:color w:val="000000"/>
            <w:sz w:val="22"/>
          </w:rPr>
          <w:t>801—10.47</w:t>
        </w:r>
      </w:hyperlink>
      <w:r>
        <w:rPr>
          <w:rFonts w:ascii="Times New Roman" w:hAnsi="Times New Roman"/>
          <w:b w:val="false"/>
          <w:i w:val="false"/>
          <w:color w:val="000000"/>
          <w:sz w:val="22"/>
        </w:rPr>
        <w:t>(35D).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appeals the discharge under this rule, the involuntary discharge appeal process in rule </w:t>
      </w:r>
      <w:hyperlink r:id="rId76">
        <w:r>
          <w:rPr>
            <w:rStyle w:val="Hyperlink"/>
            <w:rFonts w:ascii="Times New Roman" w:hAnsi="Times New Roman"/>
            <w:b w:val="false"/>
            <w:i w:val="false"/>
            <w:color w:val="000000"/>
            <w:sz w:val="22"/>
          </w:rPr>
          <w:t>801—10.47</w:t>
        </w:r>
      </w:hyperlink>
      <w:r>
        <w:rPr>
          <w:rFonts w:ascii="Times New Roman" w:hAnsi="Times New Roman"/>
          <w:b w:val="false"/>
          <w:i w:val="false"/>
          <w:color w:val="000000"/>
          <w:sz w:val="22"/>
        </w:rPr>
        <w:t>(35D)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10.43(6)</w:t>
      </w:r>
      <w:r>
        <w:rPr>
          <w:rFonts w:ascii="Times New Roman" w:hAnsi="Times New Roman"/>
          <w:b w:val="false"/>
          <w:i w:val="false"/>
          <w:color w:val="000000"/>
          <w:sz w:val="22"/>
        </w:rPr>
        <w:t> </w:t>
      </w:r>
      <w:r>
        <w:rPr>
          <w:rFonts w:ascii="Times New Roman" w:hAnsi="Times New Roman"/>
          <w:b w:val="false"/>
          <w:i w:val="false"/>
          <w:color w:val="000000"/>
          <w:sz w:val="22"/>
        </w:rPr>
        <w:t>By the fourth Monday of each session of the Iowa general assembly, the commandant shall submit a report annually to the senate veterans affairs committee and the house veterans affairs committee specifying the number, circumstances and placement of each member involuntarily discharged from IVH under this rule during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10.43(7)</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involuntary discharge by the commandant or designee under this rule shall comply with the rules adopted by the commission and by the department of inspections and appeals in accordance with Iowa Code section </w:t>
      </w:r>
      <w:hyperlink r:id="rId77">
        <w:r>
          <w:rPr>
            <w:rStyle w:val="Hyperlink"/>
            <w:rFonts w:ascii="Times New Roman" w:hAnsi="Times New Roman"/>
            <w:b w:val="false"/>
            <w:i w:val="false"/>
            <w:color w:val="000000"/>
            <w:sz w:val="22"/>
          </w:rPr>
          <w:t>35D.15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8417B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801—10.44</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APPEAL PROCESS</w:t>
      </w:r>
    </w:p>
    <w:p>
      <w:pPr>
        <w:spacing w:before="0" w:after="0"/>
        <w:ind w:left="120"/>
        <w:jc w:val="both"/>
      </w:pPr>
      <w:r>
        <w:rPr>
          <w:rFonts w:ascii="Times New Roman" w:hAnsi="Times New Roman"/>
          <w:b/>
          <w:i w:val="false"/>
          <w:color w:val="000000"/>
          <w:sz w:val="22"/>
        </w:rPr>
        <w:t>801—10.45</w:t>
      </w:r>
      <w:r>
        <w:rPr>
          <w:rFonts w:ascii="Times New Roman" w:hAnsi="Times New Roman"/>
          <w:b/>
          <w:i w:val="false"/>
          <w:color w:val="000000"/>
          <w:sz w:val="22"/>
        </w:rPr>
        <w:t xml:space="preserve">(35A,35D) </w:t>
      </w:r>
      <w:r>
        <w:rPr>
          <w:rFonts w:ascii="Times New Roman" w:hAnsi="Times New Roman"/>
          <w:b/>
          <w:i w:val="false"/>
          <w:color w:val="000000"/>
          <w:sz w:val="22"/>
        </w:rPr>
        <w:t xml:space="preserve">Applicant appeal process. </w:t>
      </w:r>
      <w:r>
        <w:rPr>
          <w:rFonts w:ascii="Times New Roman" w:hAnsi="Times New Roman"/>
          <w:b w:val="false"/>
          <w:i w:val="false"/>
          <w:color w:val="000000"/>
          <w:sz w:val="22"/>
        </w:rPr>
        <w:t xml:space="preserve">An applicant who believes that any of the provisions of this chapter have not been upheld, or have been upheld unfairly, may file an appeal directly with the commandant or designee containing a statement of the grievance and requested action. The commandant or designee shall investigate and may hold an informal hearing with the applicant and other involved individuals. Subrules </w:t>
      </w:r>
      <w:hyperlink r:id="rId78">
        <w:r>
          <w:rPr>
            <w:rStyle w:val="Hyperlink"/>
            <w:rFonts w:ascii="Times New Roman" w:hAnsi="Times New Roman"/>
            <w:b w:val="false"/>
            <w:i w:val="false"/>
            <w:color w:val="000000"/>
            <w:sz w:val="22"/>
          </w:rPr>
          <w:t>10.46(4)</w:t>
        </w:r>
      </w:hyperlink>
      <w:r>
        <w:rPr>
          <w:rFonts w:ascii="Times New Roman" w:hAnsi="Times New Roman"/>
          <w:b w:val="false"/>
          <w:i w:val="false"/>
          <w:color w:val="000000"/>
          <w:sz w:val="22"/>
        </w:rPr>
        <w:t xml:space="preserve"> to </w:t>
      </w:r>
      <w:hyperlink r:id="rId79">
        <w:r>
          <w:rPr>
            <w:rStyle w:val="Hyperlink"/>
            <w:rFonts w:ascii="Times New Roman" w:hAnsi="Times New Roman"/>
            <w:b w:val="false"/>
            <w:i w:val="false"/>
            <w:color w:val="000000"/>
            <w:sz w:val="22"/>
          </w:rPr>
          <w:t>10.46(8)</w:t>
        </w:r>
      </w:hyperlink>
      <w:r>
        <w:rPr>
          <w:rFonts w:ascii="Times New Roman" w:hAnsi="Times New Roman"/>
          <w:b w:val="false"/>
          <w:i w:val="false"/>
          <w:color w:val="000000"/>
          <w:sz w:val="22"/>
        </w:rPr>
        <w:t xml:space="preserve"> apply subsequently. The commandant or designee shall notify the applicant of the decision in writing within ten working days of receipt of the grievance.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801—10.46</w:t>
      </w:r>
      <w:r>
        <w:rPr>
          <w:rFonts w:ascii="Times New Roman" w:hAnsi="Times New Roman"/>
          <w:b/>
          <w:i w:val="false"/>
          <w:color w:val="000000"/>
          <w:sz w:val="22"/>
        </w:rPr>
        <w:t xml:space="preserve">(35A,35D) </w:t>
      </w:r>
      <w:r>
        <w:rPr>
          <w:rFonts w:ascii="Times New Roman" w:hAnsi="Times New Roman"/>
          <w:b/>
          <w:i w:val="false"/>
          <w:color w:val="000000"/>
          <w:sz w:val="22"/>
        </w:rPr>
        <w:t xml:space="preserve">Member appeal process. </w:t>
      </w:r>
      <w:r>
        <w:rPr>
          <w:rFonts w:ascii="Times New Roman" w:hAnsi="Times New Roman"/>
          <w:b w:val="false"/>
          <w:i w:val="false"/>
          <w:color w:val="000000"/>
          <w:sz w:val="22"/>
        </w:rPr>
        <w:t xml:space="preserve">A member who believes that any of the provisions of </w:t>
      </w:r>
      <w:hyperlink r:id="rId80">
        <w:r>
          <w:rPr>
            <w:rStyle w:val="Hyperlink"/>
            <w:rFonts w:ascii="Times New Roman" w:hAnsi="Times New Roman"/>
            <w:b w:val="false"/>
            <w:i w:val="false"/>
            <w:color w:val="000000"/>
            <w:sz w:val="22"/>
          </w:rPr>
          <w:t>801—Chapter 10</w:t>
        </w:r>
      </w:hyperlink>
      <w:r>
        <w:rPr>
          <w:rFonts w:ascii="Times New Roman" w:hAnsi="Times New Roman"/>
          <w:b w:val="false"/>
          <w:i w:val="false"/>
          <w:color w:val="000000"/>
          <w:sz w:val="22"/>
        </w:rPr>
        <w:t xml:space="preserve"> have not been upheld or have been upheld unfairly may file an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10.46(1)</w:t>
      </w:r>
      <w:r>
        <w:rPr>
          <w:rFonts w:ascii="Times New Roman" w:hAnsi="Times New Roman"/>
          <w:b w:val="false"/>
          <w:i w:val="false"/>
          <w:color w:val="000000"/>
          <w:sz w:val="22"/>
        </w:rPr>
        <w:t> </w:t>
      </w:r>
      <w:r>
        <w:rPr>
          <w:rFonts w:ascii="Times New Roman" w:hAnsi="Times New Roman"/>
          <w:b w:val="false"/>
          <w:i w:val="false"/>
          <w:color w:val="000000"/>
          <w:sz w:val="22"/>
        </w:rPr>
        <w:t>A member shall discuss the problem and action desired with the assigned social worker within five working days of the incident which caused the problem. The social worker shall investigate the situation and attempt to resolve the problem within five working days of the discussion with the member. If the assigned social worker has allegedly caused the grievance, the member may file the grievance directly with the social work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10.46(2)</w:t>
      </w:r>
      <w:r>
        <w:rPr>
          <w:rFonts w:ascii="Times New Roman" w:hAnsi="Times New Roman"/>
          <w:b w:val="false"/>
          <w:i w:val="false"/>
          <w:color w:val="000000"/>
          <w:sz w:val="22"/>
        </w:rPr>
        <w:t> </w:t>
      </w:r>
      <w:r>
        <w:rPr>
          <w:rFonts w:ascii="Times New Roman" w:hAnsi="Times New Roman"/>
          <w:b w:val="false"/>
          <w:i w:val="false"/>
          <w:color w:val="000000"/>
          <w:sz w:val="22"/>
        </w:rPr>
        <w:t>If unable to resolve the problem, or if the member is dissatisfied with the solution, the social worker shall assist the member with filing a formal grievance and shall submit a report of the facts and recommendations to the administrator of nursing within five working days of the discussion with the member. The administrator of nursing shall inform the member of the decision in writing within five working days of receipt of the social worker’s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member is not satisfied with the decision of the administrator of nursing, or if no decision is given within the time specified in subrule </w:t>
      </w:r>
      <w:hyperlink r:id="rId81">
        <w:r>
          <w:rPr>
            <w:rStyle w:val="Hyperlink"/>
            <w:rFonts w:ascii="Times New Roman" w:hAnsi="Times New Roman"/>
            <w:b w:val="false"/>
            <w:i w:val="false"/>
            <w:color w:val="000000"/>
            <w:sz w:val="22"/>
          </w:rPr>
          <w:t>10.46(2)</w:t>
        </w:r>
      </w:hyperlink>
      <w:r>
        <w:rPr>
          <w:rFonts w:ascii="Times New Roman" w:hAnsi="Times New Roman"/>
          <w:b w:val="false"/>
          <w:i w:val="false"/>
          <w:color w:val="000000"/>
          <w:sz w:val="22"/>
        </w:rPr>
        <w:t xml:space="preserve">, the member may appeal to the commandant or designee within ten working days of the decision of the administrator of nursing or, if no decision is given, within ten working days of the time limit specified in subrule </w:t>
      </w:r>
      <w:hyperlink r:id="rId82">
        <w:r>
          <w:rPr>
            <w:rStyle w:val="Hyperlink"/>
            <w:rFonts w:ascii="Times New Roman" w:hAnsi="Times New Roman"/>
            <w:b w:val="false"/>
            <w:i w:val="false"/>
            <w:color w:val="000000"/>
            <w:sz w:val="22"/>
          </w:rPr>
          <w:t>10.46(2)</w:t>
        </w:r>
      </w:hyperlink>
      <w:r>
        <w:rPr>
          <w:rFonts w:ascii="Times New Roman" w:hAnsi="Times New Roman"/>
          <w:b w:val="false"/>
          <w:i w:val="false"/>
          <w:color w:val="000000"/>
          <w:sz w:val="22"/>
        </w:rPr>
        <w:t>. The grievance shall be submitted in writing and contain a statement of the cause of the grievance and requested action. A copy of the decision of the administrator of nursing shall be attached to the grievance statement, if applicable. The commandant or designee shall investigate the grievance and may hold an informal hearing with the member, administrator of nursing, and other involved individuals. The commandant or designee shall notify the member and the administrator of nursing of the decision in writing within ten working days of receipt of the grievance.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member is not satisfied with the decision of the commandant, or if no decision is given within the time limits specified in subrule </w:t>
      </w:r>
      <w:hyperlink r:id="rId83">
        <w:r>
          <w:rPr>
            <w:rStyle w:val="Hyperlink"/>
            <w:rFonts w:ascii="Times New Roman" w:hAnsi="Times New Roman"/>
            <w:b w:val="false"/>
            <w:i w:val="false"/>
            <w:color w:val="000000"/>
            <w:sz w:val="22"/>
          </w:rPr>
          <w:t>10.46(3)</w:t>
        </w:r>
      </w:hyperlink>
      <w:r>
        <w:rPr>
          <w:rFonts w:ascii="Times New Roman" w:hAnsi="Times New Roman"/>
          <w:b w:val="false"/>
          <w:i w:val="false"/>
          <w:color w:val="000000"/>
          <w:sz w:val="22"/>
        </w:rPr>
        <w:t>, the member may appeal to the commission within ten working days of the commandant’s decision. The member and commandant shall be notified in writing within five working days of the commission’s receipt of the appeal. The commission shall schedule a hearing with the member, commandant, and other involved individuals to determine the facts and make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10.46(5)</w:t>
      </w:r>
      <w:r>
        <w:rPr>
          <w:rFonts w:ascii="Times New Roman" w:hAnsi="Times New Roman"/>
          <w:b w:val="false"/>
          <w:i w:val="false"/>
          <w:color w:val="000000"/>
          <w:sz w:val="22"/>
        </w:rPr>
        <w:t> </w:t>
      </w:r>
      <w:r>
        <w:rPr>
          <w:rFonts w:ascii="Times New Roman" w:hAnsi="Times New Roman"/>
          <w:b w:val="false"/>
          <w:i w:val="false"/>
          <w:color w:val="000000"/>
          <w:sz w:val="22"/>
        </w:rPr>
        <w:t>The member may appoint any individual to represent the member in the appeal process, at the member’s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10.46(6)</w:t>
      </w:r>
      <w:r>
        <w:rPr>
          <w:rFonts w:ascii="Times New Roman" w:hAnsi="Times New Roman"/>
          <w:b w:val="false"/>
          <w:i w:val="false"/>
          <w:color w:val="000000"/>
          <w:sz w:val="22"/>
        </w:rPr>
        <w:t> </w:t>
      </w:r>
      <w:r>
        <w:rPr>
          <w:rFonts w:ascii="Times New Roman" w:hAnsi="Times New Roman"/>
          <w:b w:val="false"/>
          <w:i w:val="false"/>
          <w:color w:val="000000"/>
          <w:sz w:val="22"/>
        </w:rPr>
        <w:t>No reprisals of any kind shall be taken against a member for filing an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may obtain judicial review of the commission’s final decision in accordance with Iowa Code chapter </w:t>
      </w:r>
      <w:hyperlink r:id="rId8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10.46(8)</w:t>
      </w:r>
      <w:r>
        <w:rPr>
          <w:rFonts w:ascii="Times New Roman" w:hAnsi="Times New Roman"/>
          <w:b w:val="false"/>
          <w:i w:val="false"/>
          <w:color w:val="000000"/>
          <w:sz w:val="22"/>
        </w:rPr>
        <w:t> </w:t>
      </w:r>
      <w:r>
        <w:rPr>
          <w:rFonts w:ascii="Times New Roman" w:hAnsi="Times New Roman"/>
          <w:b w:val="false"/>
          <w:i w:val="false"/>
          <w:color w:val="000000"/>
          <w:sz w:val="22"/>
        </w:rPr>
        <w:t>The time limits specified in the above subrules may be extended when mutually agreed upon by the persons involved in the appeal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Rules </w:t>
      </w:r>
      <w:hyperlink r:id="rId85">
        <w:r>
          <w:rPr>
            <w:rStyle w:val="Hyperlink"/>
            <w:rFonts w:ascii="Times New Roman" w:hAnsi="Times New Roman"/>
            <w:b w:val="false"/>
            <w:i w:val="false"/>
            <w:color w:val="000000"/>
            <w:sz w:val="22"/>
          </w:rPr>
          <w:t>801—10.45</w:t>
        </w:r>
      </w:hyperlink>
      <w:r>
        <w:rPr>
          <w:rFonts w:ascii="Times New Roman" w:hAnsi="Times New Roman"/>
          <w:b w:val="false"/>
          <w:i w:val="false"/>
          <w:color w:val="000000"/>
          <w:sz w:val="22"/>
        </w:rPr>
        <w:t xml:space="preserve">(35A,35D) and </w:t>
      </w:r>
      <w:hyperlink r:id="rId86">
        <w:r>
          <w:rPr>
            <w:rStyle w:val="Hyperlink"/>
            <w:rFonts w:ascii="Times New Roman" w:hAnsi="Times New Roman"/>
            <w:b w:val="false"/>
            <w:i w:val="false"/>
            <w:color w:val="000000"/>
            <w:sz w:val="22"/>
          </w:rPr>
          <w:t>801—10.46(35A,35D)</w:t>
        </w:r>
      </w:hyperlink>
      <w:r>
        <w:rPr>
          <w:rFonts w:ascii="Times New Roman" w:hAnsi="Times New Roman"/>
          <w:b w:val="false"/>
          <w:i w:val="false"/>
          <w:color w:val="000000"/>
          <w:sz w:val="22"/>
        </w:rPr>
        <w:t xml:space="preserve"> are intended to implement Iowa Code subsection </w:t>
      </w:r>
      <w:hyperlink r:id="rId87">
        <w:r>
          <w:rPr>
            <w:rStyle w:val="Hyperlink"/>
            <w:rFonts w:ascii="Times New Roman" w:hAnsi="Times New Roman"/>
            <w:b w:val="false"/>
            <w:i w:val="false"/>
            <w:color w:val="000000"/>
            <w:sz w:val="22"/>
          </w:rPr>
          <w:t>35A.3(4)</w:t>
        </w:r>
      </w:hyperlink>
      <w:r>
        <w:rPr>
          <w:rFonts w:ascii="Times New Roman" w:hAnsi="Times New Roman"/>
          <w:b w:val="false"/>
          <w:i w:val="false"/>
          <w:color w:val="000000"/>
          <w:sz w:val="22"/>
        </w:rPr>
        <w:t xml:space="preserve"> and Iowa Code chapter </w:t>
      </w:r>
      <w:hyperlink r:id="rId88">
        <w:r>
          <w:rPr>
            <w:rStyle w:val="Hyperlink"/>
            <w:rFonts w:ascii="Times New Roman" w:hAnsi="Times New Roman"/>
            <w:b w:val="false"/>
            <w:i w:val="false"/>
            <w:color w:val="000000"/>
            <w:sz w:val="22"/>
          </w:rPr>
          <w:t>35D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801—10.47</w:t>
      </w:r>
      <w:r>
        <w:rPr>
          <w:rFonts w:ascii="Times New Roman" w:hAnsi="Times New Roman"/>
          <w:b/>
          <w:i w:val="false"/>
          <w:color w:val="000000"/>
          <w:sz w:val="22"/>
        </w:rPr>
        <w:t xml:space="preserve">(35D) </w:t>
      </w:r>
      <w:r>
        <w:rPr>
          <w:rFonts w:ascii="Times New Roman" w:hAnsi="Times New Roman"/>
          <w:b/>
          <w:i w:val="false"/>
          <w:color w:val="000000"/>
          <w:sz w:val="22"/>
        </w:rPr>
        <w:t xml:space="preserve">Involuntary discharge appeal. </w:t>
      </w:r>
      <w:r>
        <w:rPr>
          <w:rFonts w:ascii="Times New Roman" w:hAnsi="Times New Roman"/>
          <w:b w:val="false"/>
          <w:i w:val="false"/>
          <w:color w:val="000000"/>
          <w:sz w:val="22"/>
        </w:rPr>
        <w:t>When a member appeals an involuntary discharge, the following provisions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10.47(1)</w:t>
      </w:r>
      <w:r>
        <w:rPr>
          <w:rFonts w:ascii="Times New Roman" w:hAnsi="Times New Roman"/>
          <w:b w:val="false"/>
          <w:i w:val="false"/>
          <w:color w:val="000000"/>
          <w:sz w:val="22"/>
        </w:rPr>
        <w:t> </w:t>
      </w:r>
      <w:r>
        <w:rPr>
          <w:rFonts w:ascii="Times New Roman" w:hAnsi="Times New Roman"/>
          <w:b w:val="false"/>
          <w:i w:val="false"/>
          <w:color w:val="000000"/>
          <w:sz w:val="22"/>
        </w:rPr>
        <w:t>The member shall file the appeal with the commission within 5 calendar days of receipt of the discharge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conduct a contested case proceeding in accordance with the uniform rules on contested case proceedings found in </w:t>
      </w:r>
      <w:hyperlink r:id="rId89">
        <w:r>
          <w:rPr>
            <w:rStyle w:val="Hyperlink"/>
            <w:rFonts w:ascii="Times New Roman" w:hAnsi="Times New Roman"/>
            <w:b w:val="false"/>
            <w:i w:val="false"/>
            <w:color w:val="000000"/>
            <w:sz w:val="22"/>
          </w:rPr>
          <w:t>801—Chapter 8</w:t>
        </w:r>
      </w:hyperlink>
      <w:r>
        <w:rPr>
          <w:rFonts w:ascii="Times New Roman" w:hAnsi="Times New Roman"/>
          <w:b w:val="false"/>
          <w:i w:val="false"/>
          <w:color w:val="000000"/>
          <w:sz w:val="22"/>
        </w:rPr>
        <w:t xml:space="preserve">. The rules in </w:t>
      </w:r>
      <w:hyperlink r:id="rId90">
        <w:r>
          <w:rPr>
            <w:rStyle w:val="Hyperlink"/>
            <w:rFonts w:ascii="Times New Roman" w:hAnsi="Times New Roman"/>
            <w:b w:val="false"/>
            <w:i w:val="false"/>
            <w:color w:val="000000"/>
            <w:sz w:val="22"/>
          </w:rPr>
          <w:t>801—Chapter 8</w:t>
        </w:r>
      </w:hyperlink>
      <w:r>
        <w:rPr>
          <w:rFonts w:ascii="Times New Roman" w:hAnsi="Times New Roman"/>
          <w:b w:val="false"/>
          <w:i w:val="false"/>
          <w:color w:val="000000"/>
          <w:sz w:val="22"/>
        </w:rPr>
        <w:t xml:space="preserve"> are adopted by reference with the following amendment: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presiding officer must be a member of the commission and cannot be an administrative law judge with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10.47(3)</w:t>
      </w:r>
      <w:r>
        <w:rPr>
          <w:rFonts w:ascii="Times New Roman" w:hAnsi="Times New Roman"/>
          <w:b w:val="false"/>
          <w:i w:val="false"/>
          <w:color w:val="000000"/>
          <w:sz w:val="22"/>
        </w:rPr>
        <w:t> </w:t>
      </w:r>
      <w:r>
        <w:rPr>
          <w:rFonts w:ascii="Times New Roman" w:hAnsi="Times New Roman"/>
          <w:b w:val="false"/>
          <w:i w:val="false"/>
          <w:color w:val="000000"/>
          <w:sz w:val="22"/>
        </w:rPr>
        <w:t>The commission shall render a decision on the appeal and notify the member of the decision in writing within 10 calendar days of the filing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w:t>
      </w:r>
      <w:r>
        <w:rPr>
          <w:rFonts w:ascii="Times New Roman" w:hAnsi="Times New Roman"/>
          <w:b w:val="false"/>
          <w:i w:val="false"/>
          <w:color w:val="000000"/>
          <w:sz w:val="22"/>
        </w:rPr>
        <w:t> </w:t>
      </w:r>
      <w:r>
        <w:rPr>
          <w:rFonts w:ascii="Times New Roman" w:hAnsi="Times New Roman"/>
          <w:b w:val="false"/>
          <w:i w:val="false"/>
          <w:color w:val="000000"/>
          <w:sz w:val="22"/>
        </w:rPr>
        <w:t>If the member is not satisfied with the decision of the commission, the member may appeal the commission’s decision by filing an appeal with the department of inspections and appeals within 5 calendar days of being notified in writing of the commission’s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10.47(5)</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render a decision on the appeal of the commission’s decision and notify the member of the decision in writing within 15 calendar days of the filing of the appeal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10.47(6)</w:t>
      </w:r>
      <w:r>
        <w:rPr>
          <w:rFonts w:ascii="Times New Roman" w:hAnsi="Times New Roman"/>
          <w:b w:val="false"/>
          <w:i w:val="false"/>
          <w:color w:val="000000"/>
          <w:sz w:val="22"/>
        </w:rPr>
        <w:t> </w:t>
      </w:r>
      <w:r>
        <w:rPr>
          <w:rFonts w:ascii="Times New Roman" w:hAnsi="Times New Roman"/>
          <w:b w:val="false"/>
          <w:i w:val="false"/>
          <w:color w:val="000000"/>
          <w:sz w:val="22"/>
        </w:rPr>
        <w:t>The maximum time period that shall elapse between receipt by the member of the discharge notice and actual discharge shall not exceed 55 days which includes the 30-day discharge notice period and any time during which any appeals to the commission or the department of inspections and appeals are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10.47(7)</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is not satisfied with the decision of the department of inspections and appeals, the member may seek judicial review in accordance with Iowa Code chapter </w:t>
      </w:r>
      <w:hyperlink r:id="rId9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 member’s discharge under rule </w:t>
      </w:r>
      <w:hyperlink r:id="rId92">
        <w:r>
          <w:rPr>
            <w:rStyle w:val="Hyperlink"/>
            <w:rFonts w:ascii="Times New Roman" w:hAnsi="Times New Roman"/>
            <w:b w:val="false"/>
            <w:i w:val="false"/>
            <w:color w:val="000000"/>
            <w:sz w:val="22"/>
          </w:rPr>
          <w:t>801—10.43</w:t>
        </w:r>
      </w:hyperlink>
      <w:r>
        <w:rPr>
          <w:rFonts w:ascii="Times New Roman" w:hAnsi="Times New Roman"/>
          <w:b w:val="false"/>
          <w:i w:val="false"/>
          <w:color w:val="000000"/>
          <w:sz w:val="22"/>
        </w:rPr>
        <w:t>(35D) shall not be stayed while judicial review is pending.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8417B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8635B</w:t>
      </w:r>
      <w:r>
        <w:rPr>
          <w:rFonts w:ascii="Times New Roman" w:hAnsi="Times New Roman"/>
          <w:b w:val="false"/>
          <w:i w:val="false"/>
          <w:color w:val="000000"/>
          <w:sz w:val="16"/>
        </w:rPr>
        <w:t>, IAB 3/24/10, effective 4/28/10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801—10.48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801—10.49</w:t>
      </w:r>
      <w:r>
        <w:rPr>
          <w:rFonts w:ascii="Times New Roman" w:hAnsi="Times New Roman"/>
          <w:b/>
          <w:i w:val="false"/>
          <w:color w:val="000000"/>
          <w:sz w:val="22"/>
        </w:rPr>
        <w:t xml:space="preserve">(35D) </w:t>
      </w:r>
      <w:r>
        <w:rPr>
          <w:rFonts w:ascii="Times New Roman" w:hAnsi="Times New Roman"/>
          <w:b/>
          <w:i w:val="false"/>
          <w:color w:val="000000"/>
          <w:sz w:val="22"/>
        </w:rPr>
        <w:t xml:space="preserve">Licensed nursing home administrator. </w:t>
      </w:r>
      <w:r>
        <w:rPr>
          <w:rFonts w:ascii="Times New Roman" w:hAnsi="Times New Roman"/>
          <w:b w:val="false"/>
          <w:i w:val="false"/>
          <w:color w:val="000000"/>
          <w:sz w:val="22"/>
        </w:rPr>
        <w:t>The commandant shall employ a licensed nursing home administrator and convey the authority for compliance with all applicable laws and rules.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3">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GROUNDS AND FACILITY ADMINISTRATION</w:t>
      </w:r>
    </w:p>
    <w:p>
      <w:pPr>
        <w:spacing w:before="0" w:after="0"/>
        <w:ind w:left="120"/>
        <w:jc w:val="both"/>
      </w:pPr>
      <w:r>
        <w:rPr>
          <w:rFonts w:ascii="Times New Roman" w:hAnsi="Times New Roman"/>
          <w:b/>
          <w:i w:val="false"/>
          <w:color w:val="000000"/>
          <w:sz w:val="22"/>
        </w:rPr>
        <w:t>801—10.50</w:t>
      </w:r>
      <w:r>
        <w:rPr>
          <w:rFonts w:ascii="Times New Roman" w:hAnsi="Times New Roman"/>
          <w:b/>
          <w:i w:val="false"/>
          <w:color w:val="000000"/>
          <w:sz w:val="22"/>
        </w:rPr>
        <w:t xml:space="preserve">(35D) </w:t>
      </w:r>
      <w:r>
        <w:rPr>
          <w:rFonts w:ascii="Times New Roman" w:hAnsi="Times New Roman"/>
          <w:b/>
          <w:i w:val="false"/>
          <w:color w:val="000000"/>
          <w:sz w:val="22"/>
        </w:rPr>
        <w:t xml:space="preserve">Visitors. </w:t>
      </w:r>
      <w:r>
        <w:rPr>
          <w:rFonts w:ascii="Times New Roman" w:hAnsi="Times New Roman"/>
          <w:b w:val="false"/>
          <w:i w:val="false"/>
          <w:color w:val="000000"/>
          <w:sz w:val="22"/>
        </w:rPr>
        <w:t>Visitors are welcome to IVH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10.50(1)</w:t>
      </w:r>
      <w:r>
        <w:rPr>
          <w:rFonts w:ascii="Times New Roman" w:hAnsi="Times New Roman"/>
          <w:b w:val="false"/>
          <w:i w:val="false"/>
          <w:color w:val="000000"/>
          <w:sz w:val="22"/>
        </w:rPr>
        <w:t> </w:t>
      </w:r>
      <w:r>
        <w:rPr>
          <w:rFonts w:ascii="Times New Roman" w:hAnsi="Times New Roman"/>
          <w:b w:val="false"/>
          <w:i w:val="false"/>
          <w:color w:val="000000"/>
          <w:sz w:val="22"/>
        </w:rPr>
        <w:t>Member visitation hours are from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11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Visiting hours may be extended on an individual basis with the approval of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10.50(2)</w:t>
      </w:r>
      <w:r>
        <w:rPr>
          <w:rFonts w:ascii="Times New Roman" w:hAnsi="Times New Roman"/>
          <w:b w:val="false"/>
          <w:i w:val="false"/>
          <w:color w:val="000000"/>
          <w:sz w:val="22"/>
        </w:rPr>
        <w:t> </w:t>
      </w:r>
      <w:r>
        <w:rPr>
          <w:rFonts w:ascii="Times New Roman" w:hAnsi="Times New Roman"/>
          <w:b w:val="false"/>
          <w:i w:val="false"/>
          <w:color w:val="000000"/>
          <w:sz w:val="22"/>
        </w:rPr>
        <w:t>Visitors are subject to the policies and procedures as established by IVH, including the tobacco-free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10.50(3)</w:t>
      </w:r>
      <w:r>
        <w:rPr>
          <w:rFonts w:ascii="Times New Roman" w:hAnsi="Times New Roman"/>
          <w:b w:val="false"/>
          <w:i w:val="false"/>
          <w:color w:val="000000"/>
          <w:sz w:val="22"/>
        </w:rPr>
        <w:t> </w:t>
      </w:r>
      <w:r>
        <w:rPr>
          <w:rFonts w:ascii="Times New Roman" w:hAnsi="Times New Roman"/>
          <w:b w:val="false"/>
          <w:i w:val="false"/>
          <w:color w:val="000000"/>
          <w:sz w:val="22"/>
        </w:rPr>
        <w:t>Tours of IVH may be arranged by contacting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10.50(4)</w:t>
      </w:r>
      <w:r>
        <w:rPr>
          <w:rFonts w:ascii="Times New Roman" w:hAnsi="Times New Roman"/>
          <w:b w:val="false"/>
          <w:i w:val="false"/>
          <w:color w:val="000000"/>
          <w:sz w:val="22"/>
        </w:rPr>
        <w:t> </w:t>
      </w:r>
      <w:r>
        <w:rPr>
          <w:rFonts w:ascii="Times New Roman" w:hAnsi="Times New Roman"/>
          <w:b w:val="false"/>
          <w:i w:val="false"/>
          <w:color w:val="000000"/>
          <w:sz w:val="22"/>
        </w:rPr>
        <w:t>Weapons, illegal substances or alcoholic beverages are not permitted on IVH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10.50(5)</w:t>
      </w:r>
      <w:r>
        <w:rPr>
          <w:rFonts w:ascii="Times New Roman" w:hAnsi="Times New Roman"/>
          <w:b w:val="false"/>
          <w:i w:val="false"/>
          <w:color w:val="000000"/>
          <w:sz w:val="22"/>
        </w:rPr>
        <w:t> </w:t>
      </w:r>
      <w:r>
        <w:rPr>
          <w:rFonts w:ascii="Times New Roman" w:hAnsi="Times New Roman"/>
          <w:b w:val="false"/>
          <w:i w:val="false"/>
          <w:color w:val="000000"/>
          <w:sz w:val="22"/>
        </w:rPr>
        <w:t>Any disruptive behavior on the part of a visitor shall result in modification, denial or termination of visiting privileges.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10.50(6)</w:t>
      </w:r>
      <w:r>
        <w:rPr>
          <w:rFonts w:ascii="Times New Roman" w:hAnsi="Times New Roman"/>
          <w:b w:val="false"/>
          <w:i w:val="false"/>
          <w:color w:val="000000"/>
          <w:sz w:val="22"/>
        </w:rPr>
        <w:t> </w:t>
      </w:r>
      <w:r>
        <w:rPr>
          <w:rFonts w:ascii="Times New Roman" w:hAnsi="Times New Roman"/>
          <w:b w:val="false"/>
          <w:i w:val="false"/>
          <w:color w:val="000000"/>
          <w:sz w:val="22"/>
        </w:rPr>
        <w:t>Trespass. Visitors shall not enter IVH grounds with the intent to commit a public offense, remain upon the grounds or in IVH buildings without justification after being notified or requested to abstain from entering, or to remove or vacate therefrom by any peace officer, magistrate, or public employee whose duty it is to supervise the use or maintenance of IVH and its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10.50(7)</w:t>
      </w:r>
      <w:r>
        <w:rPr>
          <w:rFonts w:ascii="Times New Roman" w:hAnsi="Times New Roman"/>
          <w:b w:val="false"/>
          <w:i w:val="false"/>
          <w:color w:val="000000"/>
          <w:sz w:val="22"/>
        </w:rPr>
        <w:t> </w:t>
      </w:r>
      <w:r>
        <w:rPr>
          <w:rFonts w:ascii="Times New Roman" w:hAnsi="Times New Roman"/>
          <w:b w:val="false"/>
          <w:i w:val="false"/>
          <w:color w:val="000000"/>
          <w:sz w:val="22"/>
        </w:rPr>
        <w:t>Any visitor violating any of the rules within this chapter may be restricted from IVH for a period of time to be determined by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10.50(8)</w:t>
      </w:r>
      <w:r>
        <w:rPr>
          <w:rFonts w:ascii="Times New Roman" w:hAnsi="Times New Roman"/>
          <w:b w:val="false"/>
          <w:i w:val="false"/>
          <w:color w:val="000000"/>
          <w:sz w:val="22"/>
        </w:rPr>
        <w:t> </w:t>
      </w:r>
      <w:r>
        <w:rPr>
          <w:rFonts w:ascii="Times New Roman" w:hAnsi="Times New Roman"/>
          <w:b w:val="false"/>
          <w:i w:val="false"/>
          <w:color w:val="000000"/>
          <w:sz w:val="22"/>
        </w:rPr>
        <w:t>Visitors who bring pets must comply with IVH rules regarding pet health and safety. Pets shall be kept on a leash while on IVH grounds.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801—10.51</w:t>
      </w:r>
      <w:r>
        <w:rPr>
          <w:rFonts w:ascii="Times New Roman" w:hAnsi="Times New Roman"/>
          <w:b/>
          <w:i w:val="false"/>
          <w:color w:val="000000"/>
          <w:sz w:val="22"/>
        </w:rPr>
        <w:t xml:space="preserve">(35D) </w:t>
      </w:r>
      <w:r>
        <w:rPr>
          <w:rFonts w:ascii="Times New Roman" w:hAnsi="Times New Roman"/>
          <w:b/>
          <w:i w:val="false"/>
          <w:color w:val="000000"/>
          <w:sz w:val="22"/>
        </w:rPr>
        <w:t xml:space="preserve">Mail. </w:t>
      </w:r>
      <w:r>
        <w:rPr>
          <w:rFonts w:ascii="Times New Roman" w:hAnsi="Times New Roman"/>
          <w:b w:val="false"/>
          <w:i w:val="false"/>
          <w:color w:val="000000"/>
          <w:sz w:val="22"/>
        </w:rPr>
        <w:t xml:space="preserve">Rescinded </w:t>
      </w:r>
      <w:r>
        <w:rPr>
          <w:rFonts w:ascii="Times New Roman" w:hAnsi="Times New Roman"/>
          <w:b/>
          <w:i w:val="false"/>
          <w:color w:val="000000"/>
          <w:sz w:val="22"/>
        </w:rPr>
        <w:t>ARC 2675C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8/17/16</w:t>
      </w:r>
      <w:r>
        <w:rPr>
          <w:rFonts w:ascii="Times New Roman" w:hAnsi="Times New Roman"/>
          <w:b w:val="false"/>
          <w:i w:val="false"/>
          <w:color w:val="000000"/>
          <w:sz w:val="22"/>
        </w:rPr>
        <w:t>, effective 9/21/16.</w:t>
      </w:r>
    </w:p>
    <w:p>
      <w:pPr>
        <w:spacing w:before="0" w:after="0"/>
        <w:ind w:left="120"/>
        <w:jc w:val="both"/>
      </w:pPr>
      <w:r>
        <w:rPr>
          <w:rFonts w:ascii="Times New Roman" w:hAnsi="Times New Roman"/>
          <w:b/>
          <w:i w:val="false"/>
          <w:color w:val="000000"/>
          <w:sz w:val="22"/>
        </w:rPr>
        <w:t>801—10.52</w:t>
      </w:r>
      <w:r>
        <w:rPr>
          <w:rFonts w:ascii="Times New Roman" w:hAnsi="Times New Roman"/>
          <w:b/>
          <w:i w:val="false"/>
          <w:color w:val="000000"/>
          <w:sz w:val="22"/>
        </w:rPr>
        <w:t xml:space="preserve">(35D) </w:t>
      </w:r>
      <w:r>
        <w:rPr>
          <w:rFonts w:ascii="Times New Roman" w:hAnsi="Times New Roman"/>
          <w:b/>
          <w:i w:val="false"/>
          <w:color w:val="000000"/>
          <w:sz w:val="22"/>
        </w:rPr>
        <w:t xml:space="preserve">Interviews and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w:t>
      </w:r>
      <w:r>
        <w:rPr>
          <w:rFonts w:ascii="Times New Roman" w:hAnsi="Times New Roman"/>
          <w:b w:val="false"/>
          <w:i w:val="false"/>
          <w:color w:val="000000"/>
          <w:sz w:val="22"/>
        </w:rPr>
        <w:t> </w:t>
      </w:r>
      <w:r>
        <w:rPr>
          <w:rFonts w:ascii="Times New Roman" w:hAnsi="Times New Roman"/>
          <w:b w:val="false"/>
          <w:i w:val="false"/>
          <w:color w:val="000000"/>
          <w:sz w:val="22"/>
        </w:rPr>
        <w:t>Releases to the news media shall be the responsibility of the commandant or designee. Authority for dissemination and release of information shall be designated to other persons at the discretion of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w:t>
      </w:r>
      <w:r>
        <w:rPr>
          <w:rFonts w:ascii="Times New Roman" w:hAnsi="Times New Roman"/>
          <w:b w:val="false"/>
          <w:i w:val="false"/>
          <w:color w:val="000000"/>
          <w:sz w:val="22"/>
        </w:rPr>
        <w:t> </w:t>
      </w:r>
      <w:r>
        <w:rPr>
          <w:rFonts w:ascii="Times New Roman" w:hAnsi="Times New Roman"/>
          <w:b w:val="false"/>
          <w:i w:val="false"/>
          <w:color w:val="000000"/>
          <w:sz w:val="22"/>
        </w:rPr>
        <w:t>Interviews of members within IVH by the news media or other outside groups are permitted only with prior consent of the member to be interviewed or the member’s legal representative. At the request of the person or group who wishes to conduct an interview, the commandant or designee shall seek to obtain the required consent from the member or the member’s legal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801—10.53</w:t>
      </w:r>
      <w:r>
        <w:rPr>
          <w:rFonts w:ascii="Times New Roman" w:hAnsi="Times New Roman"/>
          <w:b/>
          <w:i w:val="false"/>
          <w:color w:val="000000"/>
          <w:sz w:val="22"/>
        </w:rPr>
        <w:t xml:space="preserve">(35D) </w:t>
      </w:r>
      <w:r>
        <w:rPr>
          <w:rFonts w:ascii="Times New Roman" w:hAnsi="Times New Roman"/>
          <w:b/>
          <w:i w:val="false"/>
          <w:color w:val="000000"/>
          <w:sz w:val="22"/>
        </w:rPr>
        <w:t xml:space="preserve">Donations. </w:t>
      </w:r>
      <w:r>
        <w:rPr>
          <w:rFonts w:ascii="Times New Roman" w:hAnsi="Times New Roman"/>
          <w:b w:val="false"/>
          <w:i w:val="false"/>
          <w:color w:val="000000"/>
          <w:sz w:val="22"/>
        </w:rPr>
        <w:t>Donations of money, new clothing, books, games, recreational equipment or other gifts shall be made directly to the commandant or designee. The commandant or designee shall evaluate the donation in terms of the nature of the contribution to the facility program. The commandant or designee shall be responsible for accepting the donation and reporting the gift to the commission. All monetary gifts shall be acknowledged in writing to the donor and reported to the Iowa ethics and campaign disclosure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801—10.54</w:t>
      </w:r>
      <w:r>
        <w:rPr>
          <w:rFonts w:ascii="Times New Roman" w:hAnsi="Times New Roman"/>
          <w:b/>
          <w:i w:val="false"/>
          <w:color w:val="000000"/>
          <w:sz w:val="22"/>
        </w:rPr>
        <w:t xml:space="preserve">(35D) </w:t>
      </w:r>
      <w:r>
        <w:rPr>
          <w:rFonts w:ascii="Times New Roman" w:hAnsi="Times New Roman"/>
          <w:b/>
          <w:i w:val="false"/>
          <w:color w:val="000000"/>
          <w:sz w:val="22"/>
        </w:rPr>
        <w:t xml:space="preserve">Photographing and recording of members and use of cameras.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w:t>
      </w:r>
      <w:r>
        <w:rPr>
          <w:rFonts w:ascii="Times New Roman" w:hAnsi="Times New Roman"/>
          <w:b w:val="false"/>
          <w:i w:val="false"/>
          <w:color w:val="000000"/>
          <w:sz w:val="22"/>
        </w:rPr>
        <w:t> </w:t>
      </w:r>
      <w:r>
        <w:rPr>
          <w:rFonts w:ascii="Times New Roman" w:hAnsi="Times New Roman"/>
          <w:b w:val="false"/>
          <w:i w:val="false"/>
          <w:color w:val="000000"/>
          <w:sz w:val="22"/>
        </w:rPr>
        <w:t>Photographs and recordings of members within IVH by news media or other outside groups are permitted only with prior consent of the member to be photographed or recorded, or the member’s legal representative. At the request of the person or group who wishes to make photographs or recordings, the commandant or designee shall seek to obtain the required consent from the member or the member’s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w:t>
      </w:r>
      <w:r>
        <w:rPr>
          <w:rFonts w:ascii="Times New Roman" w:hAnsi="Times New Roman"/>
          <w:b w:val="false"/>
          <w:i w:val="false"/>
          <w:color w:val="000000"/>
          <w:sz w:val="22"/>
        </w:rPr>
        <w:t> </w:t>
      </w:r>
      <w:r>
        <w:rPr>
          <w:rFonts w:ascii="Times New Roman" w:hAnsi="Times New Roman"/>
          <w:b w:val="false"/>
          <w:i w:val="false"/>
          <w:color w:val="000000"/>
          <w:sz w:val="22"/>
        </w:rPr>
        <w:t>Every effort shall be made to preserve the inherent dignity of the member and to preclude exploitation or embarrassment of the member or the family of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801—10.55</w:t>
      </w:r>
      <w:r>
        <w:rPr>
          <w:rFonts w:ascii="Times New Roman" w:hAnsi="Times New Roman"/>
          <w:b/>
          <w:i w:val="false"/>
          <w:color w:val="000000"/>
          <w:sz w:val="22"/>
        </w:rPr>
        <w:t xml:space="preserve">(35D) </w:t>
      </w:r>
      <w:r>
        <w:rPr>
          <w:rFonts w:ascii="Times New Roman" w:hAnsi="Times New Roman"/>
          <w:b/>
          <w:i w:val="false"/>
          <w:color w:val="000000"/>
          <w:sz w:val="22"/>
        </w:rPr>
        <w:t xml:space="preserve">Use of grounds and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10.55(1)</w:t>
      </w:r>
      <w:r>
        <w:rPr>
          <w:rFonts w:ascii="Times New Roman" w:hAnsi="Times New Roman"/>
          <w:b w:val="false"/>
          <w:i w:val="false"/>
          <w:color w:val="000000"/>
          <w:sz w:val="22"/>
        </w:rPr>
        <w:t> </w:t>
      </w:r>
      <w:r>
        <w:rPr>
          <w:rFonts w:ascii="Times New Roman" w:hAnsi="Times New Roman"/>
          <w:b w:val="false"/>
          <w:i w:val="false"/>
          <w:color w:val="000000"/>
          <w:sz w:val="22"/>
        </w:rPr>
        <w:t>Persons wishing to use the facilities and grounds for civic purposes, programs for members, meetings, and similar purposes, must contact the commandant or designee at least two weeks in advance of the requested date. The commandant or designee may disapprove a request when the requested facilities are scheduled for use by or for the members, or when the activity would disrupt the normal operation of IVH. Previous arrangements to use the facilities or grounds may be canceled by the commandant or designee in the event of an emergency or when changes in the schedule require the use of the facilities or grounds for the members. Persons who use the facilities or grounds shall be held responsible for leaving the facilities or grounds in satisfactory condition and for any damages caused by or resulting from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10.55(2)</w:t>
      </w:r>
      <w:r>
        <w:rPr>
          <w:rFonts w:ascii="Times New Roman" w:hAnsi="Times New Roman"/>
          <w:b w:val="false"/>
          <w:i w:val="false"/>
          <w:color w:val="000000"/>
          <w:sz w:val="22"/>
        </w:rPr>
        <w:t> </w:t>
      </w:r>
      <w:r>
        <w:rPr>
          <w:rFonts w:ascii="Times New Roman" w:hAnsi="Times New Roman"/>
          <w:b w:val="false"/>
          <w:i w:val="false"/>
          <w:color w:val="000000"/>
          <w:sz w:val="22"/>
        </w:rPr>
        <w:t>Outside organizations permitted to use facilities or grounds shall observe the same rules as visitors to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801—10.56</w:t>
      </w:r>
      <w:r>
        <w:rPr>
          <w:rFonts w:ascii="Times New Roman" w:hAnsi="Times New Roman"/>
          <w:b/>
          <w:i w:val="false"/>
          <w:color w:val="000000"/>
          <w:sz w:val="22"/>
        </w:rPr>
        <w:t xml:space="preserve">(35D) </w:t>
      </w:r>
      <w:r>
        <w:rPr>
          <w:rFonts w:ascii="Times New Roman" w:hAnsi="Times New Roman"/>
          <w:b/>
          <w:i w:val="false"/>
          <w:color w:val="000000"/>
          <w:sz w:val="22"/>
        </w:rPr>
        <w:t xml:space="preserve">Nonmember use of cottages. </w:t>
      </w:r>
      <w:r>
        <w:rPr>
          <w:rFonts w:ascii="Times New Roman" w:hAnsi="Times New Roman"/>
          <w:b w:val="false"/>
          <w:i w:val="false"/>
          <w:color w:val="000000"/>
          <w:sz w:val="22"/>
        </w:rPr>
        <w:t>Cottages may be made available to IVH staff or to other members of the public with the commandant’s or designee’s approval and at the established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10.56(1)</w:t>
      </w:r>
      <w:r>
        <w:rPr>
          <w:rFonts w:ascii="Times New Roman" w:hAnsi="Times New Roman"/>
          <w:b w:val="false"/>
          <w:i w:val="false"/>
          <w:color w:val="000000"/>
          <w:sz w:val="22"/>
        </w:rPr>
        <w:t> </w:t>
      </w:r>
      <w:r>
        <w:rPr>
          <w:rFonts w:ascii="Times New Roman" w:hAnsi="Times New Roman"/>
          <w:b w:val="false"/>
          <w:i w:val="false"/>
          <w:color w:val="000000"/>
          <w:sz w:val="22"/>
        </w:rPr>
        <w:t>Expenses incurred as a result of damage or need for exceptional cleaning/sanitizing procedures, or both, may result in additional charges as determined by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w:t>
      </w:r>
      <w:r>
        <w:rPr>
          <w:rFonts w:ascii="Times New Roman" w:hAnsi="Times New Roman"/>
          <w:b w:val="false"/>
          <w:i w:val="false"/>
          <w:color w:val="000000"/>
          <w:sz w:val="22"/>
        </w:rPr>
        <w:t> </w:t>
      </w:r>
      <w:r>
        <w:rPr>
          <w:rFonts w:ascii="Times New Roman" w:hAnsi="Times New Roman"/>
          <w:b w:val="false"/>
          <w:i w:val="false"/>
          <w:color w:val="000000"/>
          <w:sz w:val="22"/>
        </w:rPr>
        <w:t>Posted occupancy capacities shall not be exceeded and may be grounds for denial of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10.56(3)</w:t>
      </w:r>
      <w:r>
        <w:rPr>
          <w:rFonts w:ascii="Times New Roman" w:hAnsi="Times New Roman"/>
          <w:b w:val="false"/>
          <w:i w:val="false"/>
          <w:color w:val="000000"/>
          <w:sz w:val="22"/>
        </w:rPr>
        <w:t> </w:t>
      </w:r>
      <w:r>
        <w:rPr>
          <w:rFonts w:ascii="Times New Roman" w:hAnsi="Times New Roman"/>
          <w:b w:val="false"/>
          <w:i w:val="false"/>
          <w:color w:val="000000"/>
          <w:sz w:val="22"/>
        </w:rPr>
        <w:t>Pets are only allowed inside the cottages as outlined in the IVH cottage occupancy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801—10.57</w:t>
      </w:r>
      <w:r>
        <w:rPr>
          <w:rFonts w:ascii="Times New Roman" w:hAnsi="Times New Roman"/>
          <w:b/>
          <w:i w:val="false"/>
          <w:color w:val="000000"/>
          <w:sz w:val="22"/>
        </w:rPr>
        <w:t xml:space="preserve">(35D) </w:t>
      </w:r>
      <w:r>
        <w:rPr>
          <w:rFonts w:ascii="Times New Roman" w:hAnsi="Times New Roman"/>
          <w:b/>
          <w:i w:val="false"/>
          <w:color w:val="000000"/>
          <w:sz w:val="22"/>
        </w:rPr>
        <w:t xml:space="preserve">Operating motor vehicles on grounds.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w:t>
      </w:r>
      <w:r>
        <w:rPr>
          <w:rFonts w:ascii="Times New Roman" w:hAnsi="Times New Roman"/>
          <w:b w:val="false"/>
          <w:i w:val="false"/>
          <w:color w:val="000000"/>
          <w:sz w:val="22"/>
        </w:rPr>
        <w:t> </w:t>
      </w:r>
      <w:r>
        <w:rPr>
          <w:rFonts w:ascii="Times New Roman" w:hAnsi="Times New Roman"/>
          <w:b w:val="false"/>
          <w:i w:val="false"/>
          <w:color w:val="000000"/>
          <w:sz w:val="22"/>
        </w:rPr>
        <w:t>The operator of a motor vehicle shall have a valid license for the type of vehicle being driven upon IVH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10.57(2)</w:t>
      </w:r>
      <w:r>
        <w:rPr>
          <w:rFonts w:ascii="Times New Roman" w:hAnsi="Times New Roman"/>
          <w:b w:val="false"/>
          <w:i w:val="false"/>
          <w:color w:val="000000"/>
          <w:sz w:val="22"/>
        </w:rPr>
        <w:t> </w:t>
      </w:r>
      <w:r>
        <w:rPr>
          <w:rFonts w:ascii="Times New Roman" w:hAnsi="Times New Roman"/>
          <w:b w:val="false"/>
          <w:i w:val="false"/>
          <w:color w:val="000000"/>
          <w:sz w:val="22"/>
        </w:rPr>
        <w:t>All persons operating a motor vehicle on IVH grounds shall comply with the applicable state and local laws and IVH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10.57(3)</w:t>
      </w:r>
      <w:r>
        <w:rPr>
          <w:rFonts w:ascii="Times New Roman" w:hAnsi="Times New Roman"/>
          <w:b w:val="false"/>
          <w:i w:val="false"/>
          <w:color w:val="000000"/>
          <w:sz w:val="22"/>
        </w:rPr>
        <w:t> </w:t>
      </w:r>
      <w:r>
        <w:rPr>
          <w:rFonts w:ascii="Times New Roman" w:hAnsi="Times New Roman"/>
          <w:b w:val="false"/>
          <w:i w:val="false"/>
          <w:color w:val="000000"/>
          <w:sz w:val="22"/>
        </w:rPr>
        <w:t>No driver of a motor vehicle or motorcycle shall disobey the instructions of any traffic-control device, warning, or sign 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10.57(4)</w:t>
      </w:r>
      <w:r>
        <w:rPr>
          <w:rFonts w:ascii="Times New Roman" w:hAnsi="Times New Roman"/>
          <w:b w:val="false"/>
          <w:i w:val="false"/>
          <w:color w:val="000000"/>
          <w:sz w:val="22"/>
        </w:rPr>
        <w:t> </w:t>
      </w:r>
      <w:r>
        <w:rPr>
          <w:rFonts w:ascii="Times New Roman" w:hAnsi="Times New Roman"/>
          <w:b w:val="false"/>
          <w:i w:val="false"/>
          <w:color w:val="000000"/>
          <w:sz w:val="22"/>
        </w:rPr>
        <w:t>No person shall drive any vehicle in such a manner as to indicate either a willful or wanton disregard for the safety of person or property. The person operating the motor vehicle or motorcycle shall have same under control and shall reduce the speed to 20 miles per hour on IVH grounds and reduce the speed to a lower, reasonable rate when approaching and passing a person walking in the traveled portion of a street.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10.57(5)</w:t>
      </w:r>
      <w:r>
        <w:rPr>
          <w:rFonts w:ascii="Times New Roman" w:hAnsi="Times New Roman"/>
          <w:b w:val="false"/>
          <w:i w:val="false"/>
          <w:color w:val="000000"/>
          <w:sz w:val="22"/>
        </w:rPr>
        <w:t> </w:t>
      </w:r>
      <w:r>
        <w:rPr>
          <w:rFonts w:ascii="Times New Roman" w:hAnsi="Times New Roman"/>
          <w:b w:val="false"/>
          <w:i w:val="false"/>
          <w:color w:val="000000"/>
          <w:sz w:val="22"/>
        </w:rPr>
        <w:t>No person shall stop, park, or leave standing any type vehicle in established fire lanes, emergency vehicle areas, and other essential lanes. No person shall park any type vehicle on roadways.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10.57(6)</w:t>
      </w:r>
      <w:r>
        <w:rPr>
          <w:rFonts w:ascii="Times New Roman" w:hAnsi="Times New Roman"/>
          <w:b w:val="false"/>
          <w:i w:val="false"/>
          <w:color w:val="000000"/>
          <w:sz w:val="22"/>
        </w:rPr>
        <w:t> </w:t>
      </w:r>
      <w:r>
        <w:rPr>
          <w:rFonts w:ascii="Times New Roman" w:hAnsi="Times New Roman"/>
          <w:b w:val="false"/>
          <w:i w:val="false"/>
          <w:color w:val="000000"/>
          <w:sz w:val="22"/>
        </w:rPr>
        <w:t>No person shall leave any type vehicle unattended by not locking doors or removing keys.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10.57(7)</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rules may cause limitation or curtailment of driving privileges on IVH grounds for an indefinite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10.57(8)</w:t>
      </w:r>
      <w:r>
        <w:rPr>
          <w:rFonts w:ascii="Times New Roman" w:hAnsi="Times New Roman"/>
          <w:b w:val="false"/>
          <w:i w:val="false"/>
          <w:color w:val="000000"/>
          <w:sz w:val="22"/>
        </w:rPr>
        <w:t> </w:t>
      </w:r>
      <w:r>
        <w:rPr>
          <w:rFonts w:ascii="Times New Roman" w:hAnsi="Times New Roman"/>
          <w:b w:val="false"/>
          <w:i w:val="false"/>
          <w:color w:val="000000"/>
          <w:sz w:val="22"/>
        </w:rPr>
        <w:t>Motor vehicles belonging to members may be parked in member-designated parking on IVH grounds.</w:t>
      </w:r>
    </w:p>
    <w:p>
      <w:pPr>
        <w:spacing w:before="0" w:after="0"/>
        <w:ind w:left="120"/>
        <w:jc w:val="center"/>
      </w:pPr>
      <w:r>
        <w:rPr>
          <w:rFonts w:ascii="Times New Roman" w:hAnsi="Times New Roman"/>
          <w:b w:val="false"/>
          <w:i w:val="false"/>
          <w:color w:val="000000"/>
          <w:sz w:val="22"/>
        </w:rPr>
        <w:t xml:space="preserve">This chapter is intended to implement Iowa Code subsection </w:t>
      </w:r>
      <w:hyperlink r:id="rId94">
        <w:r>
          <w:rPr>
            <w:rStyle w:val="Hyperlink"/>
            <w:rFonts w:ascii="Times New Roman" w:hAnsi="Times New Roman"/>
            <w:b w:val="false"/>
            <w:i w:val="false"/>
            <w:color w:val="000000"/>
            <w:sz w:val="22"/>
          </w:rPr>
          <w:t>35A.3(4)</w:t>
        </w:r>
      </w:hyperlink>
      <w:r>
        <w:rPr>
          <w:rFonts w:ascii="Times New Roman" w:hAnsi="Times New Roman"/>
          <w:b w:val="false"/>
          <w:i w:val="false"/>
          <w:color w:val="000000"/>
          <w:sz w:val="22"/>
        </w:rPr>
        <w:t xml:space="preserve"> and chapter </w:t>
      </w:r>
      <w:hyperlink r:id="rId95">
        <w:r>
          <w:rPr>
            <w:rStyle w:val="Hyperlink"/>
            <w:rFonts w:ascii="Times New Roman" w:hAnsi="Times New Roman"/>
            <w:b w:val="false"/>
            <w:i w:val="false"/>
            <w:color w:val="000000"/>
            <w:sz w:val="22"/>
          </w:rPr>
          <w:t>35D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7/23/76, Notice 6/14/76—published 8/9/76, effective 9/13/76]</w:t>
      </w:r>
    </w:p>
    <w:p>
      <w:pPr>
        <w:spacing w:before="0" w:after="0"/>
        <w:ind w:left="120"/>
        <w:jc w:val="center"/>
      </w:pPr>
      <w:r>
        <w:rPr>
          <w:rFonts w:ascii="Times New Roman" w:hAnsi="Times New Roman"/>
          <w:b w:val="false"/>
          <w:i w:val="false"/>
          <w:color w:val="000000"/>
          <w:sz w:val="21"/>
        </w:rPr>
        <w:t>[Filed 12/9/76, Notice 11/3/76—published 12/29/76, effective 2/2/77]</w:t>
      </w:r>
    </w:p>
    <w:p>
      <w:pPr>
        <w:spacing w:before="0" w:after="0"/>
        <w:ind w:left="120"/>
        <w:jc w:val="center"/>
      </w:pPr>
      <w:r>
        <w:rPr>
          <w:rFonts w:ascii="Times New Roman" w:hAnsi="Times New Roman"/>
          <w:b w:val="false"/>
          <w:i w:val="false"/>
          <w:color w:val="000000"/>
          <w:sz w:val="21"/>
        </w:rPr>
        <w:t>[Filed 6/2/81, Notice 3/18/81—published 6/24/81, effective 7/29/81]</w:t>
      </w:r>
    </w:p>
    <w:p>
      <w:pPr>
        <w:spacing w:before="0" w:after="0"/>
        <w:ind w:left="120"/>
        <w:jc w:val="center"/>
      </w:pPr>
      <w:r>
        <w:rPr>
          <w:rFonts w:ascii="Times New Roman" w:hAnsi="Times New Roman"/>
          <w:b w:val="false"/>
          <w:i w:val="false"/>
          <w:color w:val="000000"/>
          <w:sz w:val="21"/>
        </w:rPr>
        <w:t>[Filed 7/30/82, Notice 6/9/82—published 8/18/82, effective 10/1/82]</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1/7/93, Notice 11/25/92—published 1/20/93, effective 3/1/93]</w:t>
      </w:r>
    </w:p>
    <w:p>
      <w:pPr>
        <w:spacing w:before="0" w:after="0"/>
        <w:ind w:left="120"/>
        <w:jc w:val="center"/>
      </w:pPr>
      <w:r>
        <w:rPr>
          <w:rFonts w:ascii="Times New Roman" w:hAnsi="Times New Roman"/>
          <w:b w:val="false"/>
          <w:i w:val="false"/>
          <w:color w:val="000000"/>
          <w:sz w:val="21"/>
        </w:rPr>
        <w:t>[Filed 7/12/96, Notice 5/8/96—published 7/31/96, effective 9/4/96]</w:t>
      </w:r>
    </w:p>
    <w:p>
      <w:pPr>
        <w:spacing w:before="0" w:after="0"/>
        <w:ind w:left="120"/>
        <w:jc w:val="center"/>
      </w:pPr>
      <w:r>
        <w:rPr>
          <w:rFonts w:ascii="Times New Roman" w:hAnsi="Times New Roman"/>
          <w:b w:val="false"/>
          <w:i w:val="false"/>
          <w:color w:val="000000"/>
          <w:sz w:val="21"/>
        </w:rPr>
        <w:t>[Filed 4/15/99, Notice 1/27/99—published 5/5/99, effective 6/9/99]</w:t>
      </w:r>
    </w:p>
    <w:p>
      <w:pPr>
        <w:spacing w:before="0" w:after="0"/>
        <w:ind w:left="120"/>
        <w:jc w:val="center"/>
      </w:pPr>
      <w:r>
        <w:rPr>
          <w:rFonts w:ascii="Times New Roman" w:hAnsi="Times New Roman"/>
          <w:b w:val="false"/>
          <w:i w:val="false"/>
          <w:color w:val="000000"/>
          <w:sz w:val="21"/>
        </w:rPr>
        <w:t>[Filed emergency 9/17/03—published 10/15/03, effective 9/17/03]</w:t>
      </w:r>
    </w:p>
    <w:p>
      <w:pPr>
        <w:spacing w:before="0" w:after="0"/>
        <w:ind w:left="120"/>
        <w:jc w:val="center"/>
      </w:pPr>
      <w:r>
        <w:rPr>
          <w:rFonts w:ascii="Times New Roman" w:hAnsi="Times New Roman"/>
          <w:b w:val="false"/>
          <w:i w:val="false"/>
          <w:color w:val="000000"/>
          <w:sz w:val="21"/>
        </w:rPr>
        <w:t>[Filed 1/8/07, Notice 10/25/06—published 1/31/07, effective 3/7/07]</w:t>
      </w:r>
    </w:p>
    <w:p>
      <w:pPr>
        <w:spacing w:before="0" w:after="0"/>
        <w:ind w:left="120"/>
        <w:jc w:val="center"/>
      </w:pPr>
      <w:r>
        <w:rPr>
          <w:rFonts w:ascii="Times New Roman" w:hAnsi="Times New Roman"/>
          <w:b w:val="false"/>
          <w:i w:val="false"/>
          <w:color w:val="000000"/>
          <w:sz w:val="21"/>
        </w:rPr>
        <w:t>[Filed 10/4/07, Notice 8/15/07—published 10/24/07, effective 11/28/07]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5/21/08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7890B</w:t>
      </w:r>
      <w:r>
        <w:rPr>
          <w:rFonts w:ascii="Times New Roman" w:hAnsi="Times New Roman"/>
          <w:b w:val="false"/>
          <w:i w:val="false"/>
          <w:color w:val="000000"/>
          <w:sz w:val="21"/>
        </w:rPr>
        <w:t xml:space="preserve"> (Notice ARC 7746B, IAB 5/6/09)</w:t>
      </w:r>
      <w:r>
        <w:rPr>
          <w:rFonts w:ascii="Times New Roman" w:hAnsi="Times New Roman"/>
          <w:b w:val="false"/>
          <w:i w:val="false"/>
          <w:color w:val="000000"/>
          <w:sz w:val="21"/>
        </w:rPr>
        <w:t>, IAB 7/1/09, effective 7/1/09]</w:t>
      </w:r>
    </w:p>
    <w:p>
      <w:pPr>
        <w:spacing w:before="0" w:after="0"/>
        <w:ind w:left="120"/>
        <w:jc w:val="center"/>
      </w:pPr>
      <w:r>
        <w:rPr>
          <w:rFonts w:ascii="Times New Roman" w:hAnsi="Times New Roman"/>
          <w:b w:val="false"/>
          <w:i w:val="false"/>
          <w:color w:val="000000"/>
          <w:sz w:val="21"/>
        </w:rPr>
        <w:t>[Filed Emergency ARC 8014B, IAB 7/29/09, effective 7/10/09]</w:t>
      </w:r>
    </w:p>
    <w:p>
      <w:pPr>
        <w:spacing w:before="0" w:after="0"/>
        <w:ind w:left="120"/>
        <w:jc w:val="center"/>
      </w:pPr>
      <w:r>
        <w:rPr>
          <w:rFonts w:ascii="Times New Roman" w:hAnsi="Times New Roman"/>
          <w:b w:val="false"/>
          <w:i w:val="false"/>
          <w:color w:val="000000"/>
          <w:sz w:val="21"/>
        </w:rPr>
        <w:t>[Filed ARC 8417B</w:t>
      </w:r>
      <w:r>
        <w:rPr>
          <w:rFonts w:ascii="Times New Roman" w:hAnsi="Times New Roman"/>
          <w:b w:val="false"/>
          <w:i w:val="false"/>
          <w:color w:val="000000"/>
          <w:sz w:val="21"/>
        </w:rPr>
        <w:t xml:space="preserve"> (Notice ARC 8235B, IAB 10/21/09)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[Filed ARC 8635B</w:t>
      </w:r>
      <w:r>
        <w:rPr>
          <w:rFonts w:ascii="Times New Roman" w:hAnsi="Times New Roman"/>
          <w:b w:val="false"/>
          <w:i w:val="false"/>
          <w:color w:val="000000"/>
          <w:sz w:val="21"/>
        </w:rPr>
        <w:t xml:space="preserve"> (Notice ARC 8488B, IAB 1/27/10)</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9689B</w:t>
      </w:r>
      <w:r>
        <w:rPr>
          <w:rFonts w:ascii="Times New Roman" w:hAnsi="Times New Roman"/>
          <w:b w:val="false"/>
          <w:i w:val="false"/>
          <w:color w:val="000000"/>
          <w:sz w:val="21"/>
        </w:rPr>
        <w:t xml:space="preserve"> (Notice ARC 9492B, IAB 5/4/11)</w:t>
      </w:r>
      <w:r>
        <w:rPr>
          <w:rFonts w:ascii="Times New Roman" w:hAnsi="Times New Roman"/>
          <w:b w:val="false"/>
          <w:i w:val="false"/>
          <w:color w:val="000000"/>
          <w:sz w:val="21"/>
        </w:rPr>
        <w:t>, IAB 8/24/11, effective 9/28/11]</w:t>
      </w:r>
    </w:p>
    <w:p>
      <w:pPr>
        <w:spacing w:before="0" w:after="0"/>
        <w:ind w:left="120"/>
        <w:jc w:val="center"/>
      </w:pPr>
      <w:r>
        <w:rPr>
          <w:rFonts w:ascii="Times New Roman" w:hAnsi="Times New Roman"/>
          <w:b w:val="false"/>
          <w:i w:val="false"/>
          <w:color w:val="000000"/>
          <w:sz w:val="21"/>
        </w:rPr>
        <w:t>[Filed ARC 1157C</w:t>
      </w:r>
      <w:r>
        <w:rPr>
          <w:rFonts w:ascii="Times New Roman" w:hAnsi="Times New Roman"/>
          <w:b w:val="false"/>
          <w:i w:val="false"/>
          <w:color w:val="000000"/>
          <w:sz w:val="21"/>
        </w:rPr>
        <w:t xml:space="preserve"> (Notice ARC 0924C, IAB 8/7/13)</w:t>
      </w:r>
      <w:r>
        <w:rPr>
          <w:rFonts w:ascii="Times New Roman" w:hAnsi="Times New Roman"/>
          <w:b w:val="false"/>
          <w:i w:val="false"/>
          <w:color w:val="000000"/>
          <w:sz w:val="21"/>
        </w:rPr>
        <w:t>, IAB 10/30/13, effective 12/4/13]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2675C</w:t>
      </w:r>
      <w:r>
        <w:rPr>
          <w:rFonts w:ascii="Times New Roman" w:hAnsi="Times New Roman"/>
          <w:b w:val="false"/>
          <w:i w:val="false"/>
          <w:color w:val="000000"/>
          <w:sz w:val="21"/>
        </w:rPr>
        <w:t xml:space="preserve"> (Notice ARC 2594C, IAB 6/22/16)</w:t>
      </w:r>
      <w:r>
        <w:rPr>
          <w:rFonts w:ascii="Times New Roman" w:hAnsi="Times New Roman"/>
          <w:b w:val="false"/>
          <w:i w:val="false"/>
          <w:color w:val="000000"/>
          <w:sz w:val="21"/>
        </w:rPr>
        <w:t>, IAB 8/17/16, effective 9/21/16]</w:t>
      </w:r>
    </w:p>
    <w:p>
      <w:pPr>
        <w:spacing w:before="0" w:after="0"/>
        <w:ind w:left="120"/>
        <w:jc w:val="center"/>
      </w:pPr>
      <w:r>
        <w:rPr>
          <w:rFonts w:ascii="Times New Roman" w:hAnsi="Times New Roman"/>
          <w:b w:val="false"/>
          <w:i w:val="false"/>
          <w:color w:val="000000"/>
          <w:sz w:val="21"/>
        </w:rPr>
        <w:t>[Filed ARC 4587C</w:t>
      </w:r>
      <w:r>
        <w:rPr>
          <w:rFonts w:ascii="Times New Roman" w:hAnsi="Times New Roman"/>
          <w:b w:val="false"/>
          <w:i w:val="false"/>
          <w:color w:val="000000"/>
          <w:sz w:val="21"/>
        </w:rPr>
        <w:t xml:space="preserve"> (Notice ARC 4370C, IAB 3/27/19)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5800C</w:t>
      </w:r>
      <w:r>
        <w:rPr>
          <w:rFonts w:ascii="Times New Roman" w:hAnsi="Times New Roman"/>
          <w:b w:val="false"/>
          <w:i w:val="false"/>
          <w:color w:val="000000"/>
          <w:sz w:val="21"/>
        </w:rPr>
        <w:t xml:space="preserve"> (Notice ARC 5660C, IAB 6/2/21)</w:t>
      </w:r>
      <w:r>
        <w:rPr>
          <w:rFonts w:ascii="Times New Roman" w:hAnsi="Times New Roman"/>
          <w:b w:val="false"/>
          <w:i w:val="false"/>
          <w:color w:val="000000"/>
          <w:sz w:val="21"/>
        </w:rPr>
        <w:t>, IAB 7/28/21, effective 9/1/21]</w:t>
      </w:r>
    </w:p>
    <w:p>
      <w:pPr>
        <w:pBdr>
          <w:bottom w:space="2"/>
        </w:pBdr>
        <w:spacing w:before="0" w:after="0"/>
        <w:ind w:left="120"/>
        <w:jc w:val="both"/>
      </w:pPr>
      <w:r>
        <w:rPr>
          <w:rFonts w:ascii="Times New Roman" w:hAnsi="Times New Roman"/>
          <w:b w:val="false"/>
          <w:i w:val="false"/>
          <w:color w:val="000000"/>
          <w:sz w:val="22"/>
        </w:rPr>
        <w:t xml:space="preserve"> December 4, 2013, effective date of ARC 1157C [amendments to ch 10] delayed 70 days by the Administrative Rules Review Committee at its meeting held November 8, 2013. At its meeting held December 10, 2013, the Committee lifted the delay, effective December 11, 2013.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ac/rule/801.10.12.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ac/rule/801.10.2.pdf" Type="http://schemas.openxmlformats.org/officeDocument/2006/relationships/hyperlink" Id="rId8"/>
    <Relationship TargetMode="External" Target="http://ivh.iowa.gov" Type="http://schemas.openxmlformats.org/officeDocument/2006/relationships/hyperlink" Id="rId9"/>
    <Relationship TargetMode="External" Target="https://www.legis.iowa.gov/docs/iac/rule/801.10.3.pdf" Type="http://schemas.openxmlformats.org/officeDocument/2006/relationships/hyperlink" Id="rId10"/>
    <Relationship TargetMode="External" Target="https://www.legis.iowa.gov/docs/iac/rule/801.10.3.pdf" Type="http://schemas.openxmlformats.org/officeDocument/2006/relationships/hyperlink" Id="rId11"/>
    <Relationship TargetMode="External" Target="https://www.legis.iowa.gov/docs/iac/rule/801.10.3.pdf" Type="http://schemas.openxmlformats.org/officeDocument/2006/relationships/hyperlink" Id="rId12"/>
    <Relationship TargetMode="External" Target="https://www.legis.iowa.gov/docs/ico/chapter/135C.pdf" Type="http://schemas.openxmlformats.org/officeDocument/2006/relationships/hyperlink" Id="rId13"/>
    <Relationship TargetMode="External" Target="https://www.legis.iowa.gov/docs/iac/chapter/481.57.pdf" Type="http://schemas.openxmlformats.org/officeDocument/2006/relationships/hyperlink" Id="rId14"/>
    <Relationship TargetMode="External" Target="https://www.legis.iowa.gov/docs/iac/chapter/481.58.pdf" Type="http://schemas.openxmlformats.org/officeDocument/2006/relationships/hyperlink" Id="rId15"/>
    <Relationship TargetMode="External" Target="https://www.legis.iowa.gov/docs/iac/chapter/481.57.pdf" Type="http://schemas.openxmlformats.org/officeDocument/2006/relationships/hyperlink" Id="rId16"/>
    <Relationship TargetMode="External" Target="https://www.legis.iowa.gov/docs/iac/chapter/481.58.pdf" Type="http://schemas.openxmlformats.org/officeDocument/2006/relationships/hyperlink" Id="rId17"/>
    <Relationship TargetMode="External" Target="https://www.legis.iowa.gov/docs/ico/chapter/135C.24.pdf" Type="http://schemas.openxmlformats.org/officeDocument/2006/relationships/hyperlink" Id="rId18"/>
    <Relationship TargetMode="External" Target="https://www.legis.iowa.gov/docs/iac/rule/801.10.40.pdf" Type="http://schemas.openxmlformats.org/officeDocument/2006/relationships/hyperlink" Id="rId19"/>
    <Relationship TargetMode="External" Target="https://www.legis.iowa.gov/docs/iac/rule/801.10.14.pdf" Type="http://schemas.openxmlformats.org/officeDocument/2006/relationships/hyperlink" Id="rId20"/>
    <Relationship TargetMode="External" Target="https://www.legis.iowa.gov/docs/iac/rule/801.10.11.pdf" Type="http://schemas.openxmlformats.org/officeDocument/2006/relationships/hyperlink" Id="rId21"/>
    <Relationship TargetMode="External" Target="https://www.legis.iowa.gov/docs/iac/rule/801.10.14.pdf" Type="http://schemas.openxmlformats.org/officeDocument/2006/relationships/hyperlink" Id="rId22"/>
    <Relationship TargetMode="External" Target="https://www.legis.iowa.gov/docs/iac/rule/801.10.15.pdf" Type="http://schemas.openxmlformats.org/officeDocument/2006/relationships/hyperlink" Id="rId23"/>
    <Relationship TargetMode="External" Target="https://www.legis.iowa.gov/docs/iac/rule/801.10.15.pdf" Type="http://schemas.openxmlformats.org/officeDocument/2006/relationships/hyperlink" Id="rId24"/>
    <Relationship TargetMode="External" Target="https://www.legis.iowa.gov/docs/iac/rule/801.10.15.pdf" Type="http://schemas.openxmlformats.org/officeDocument/2006/relationships/hyperlink" Id="rId25"/>
    <Relationship TargetMode="External" Target="https://www.legis.iowa.gov/docs/iac/rule/801.10.15.pdf" Type="http://schemas.openxmlformats.org/officeDocument/2006/relationships/hyperlink" Id="rId26"/>
    <Relationship TargetMode="External" Target="https://www.legis.iowa.gov/docs/iac/rule/801.10.15.pdf" Type="http://schemas.openxmlformats.org/officeDocument/2006/relationships/hyperlink" Id="rId27"/>
    <Relationship TargetMode="External" Target="https://www.legis.iowa.gov/docs/iac/rule/801.10.15.pdf" Type="http://schemas.openxmlformats.org/officeDocument/2006/relationships/hyperlink" Id="rId28"/>
    <Relationship TargetMode="External" Target="https://www.legis.iowa.gov/docs/iac/rule/801.10.1.pdf" Type="http://schemas.openxmlformats.org/officeDocument/2006/relationships/hyperlink" Id="rId29"/>
    <Relationship TargetMode="External" Target="https://www.legis.iowa.gov/docs/iac/rule/801.10.14.pdf" Type="http://schemas.openxmlformats.org/officeDocument/2006/relationships/hyperlink" Id="rId30"/>
    <Relationship TargetMode="External" Target="https://www.legis.iowa.gov/docs/iac/rule/441.75.5.pdf" Type="http://schemas.openxmlformats.org/officeDocument/2006/relationships/hyperlink" Id="rId31"/>
    <Relationship TargetMode="External" Target="https://www.legis.iowa.gov/docs/iac/rule/801.10.16.pdf" Type="http://schemas.openxmlformats.org/officeDocument/2006/relationships/hyperlink" Id="rId32"/>
    <Relationship TargetMode="External" Target="https://www.legis.iowa.gov/docs/iac/rule/801.10.45.pdf" Type="http://schemas.openxmlformats.org/officeDocument/2006/relationships/hyperlink" Id="rId33"/>
    <Relationship TargetMode="External" Target="https://www.legis.iowa.gov/docs/iac/rule/801.10.14.pdf" Type="http://schemas.openxmlformats.org/officeDocument/2006/relationships/hyperlink" Id="rId34"/>
    <Relationship TargetMode="External" Target="https://www.legis.iowa.gov/docs/iac/rule/801.10.1.pdf" Type="http://schemas.openxmlformats.org/officeDocument/2006/relationships/hyperlink" Id="rId35"/>
    <Relationship TargetMode="External" Target="https://www.legis.iowa.gov/docs/iac/rule/801.10.17.pdf" Type="http://schemas.openxmlformats.org/officeDocument/2006/relationships/hyperlink" Id="rId36"/>
    <Relationship TargetMode="External" Target="https://www.legis.iowa.gov/docs/iac/rule/801.10.17.pdf" Type="http://schemas.openxmlformats.org/officeDocument/2006/relationships/hyperlink" Id="rId37"/>
    <Relationship TargetMode="External" Target="https://www.legis.iowa.gov/docs/iac/chapter/801.10.pdf" Type="http://schemas.openxmlformats.org/officeDocument/2006/relationships/hyperlink" Id="rId38"/>
    <Relationship TargetMode="External" Target="https://www.legis.iowa.gov/docs/iac/rule/801.10.1.pdf" Type="http://schemas.openxmlformats.org/officeDocument/2006/relationships/hyperlink" Id="rId39"/>
    <Relationship TargetMode="External" Target="https://www.legis.iowa.gov/docs/iac/rule/801.10.14.pdf" Type="http://schemas.openxmlformats.org/officeDocument/2006/relationships/hyperlink" Id="rId40"/>
    <Relationship TargetMode="External" Target="https://www.legis.iowa.gov/docs/iac/rule/441.75.5.pdf" Type="http://schemas.openxmlformats.org/officeDocument/2006/relationships/hyperlink" Id="rId41"/>
    <Relationship TargetMode="External" Target="https://www.legis.iowa.gov/docs/iac/rule/801.10.30.pdf" Type="http://schemas.openxmlformats.org/officeDocument/2006/relationships/hyperlink" Id="rId42"/>
    <Relationship TargetMode="External" Target="https://www.legis.iowa.gov/docs/iac/rule/801.10.16.pdf" Type="http://schemas.openxmlformats.org/officeDocument/2006/relationships/hyperlink" Id="rId43"/>
    <Relationship TargetMode="External" Target="https://www.legis.iowa.gov/docs/iac/rule/801.10.14.pdf" Type="http://schemas.openxmlformats.org/officeDocument/2006/relationships/hyperlink" Id="rId44"/>
    <Relationship TargetMode="External" Target="https://www.legis.iowa.gov/docs/iac/rule/801.10.19.pdf" Type="http://schemas.openxmlformats.org/officeDocument/2006/relationships/hyperlink" Id="rId45"/>
    <Relationship TargetMode="External" Target="https://www.legis.iowa.gov/docs/iac/rule/801.10.20.pdf" Type="http://schemas.openxmlformats.org/officeDocument/2006/relationships/hyperlink" Id="rId46"/>
    <Relationship TargetMode="External" Target="https://www.legis.iowa.gov/docs/iac/rule/801.10.16.pdf" Type="http://schemas.openxmlformats.org/officeDocument/2006/relationships/hyperlink" Id="rId47"/>
    <Relationship TargetMode="External" Target="https://www.legis.iowa.gov/docs/iac/rule/801.10.15.pdf" Type="http://schemas.openxmlformats.org/officeDocument/2006/relationships/hyperlink" Id="rId48"/>
    <Relationship TargetMode="External" Target="https://www.legis.iowa.gov/docs/iac/rule/801.10.15.pdf" Type="http://schemas.openxmlformats.org/officeDocument/2006/relationships/hyperlink" Id="rId49"/>
    <Relationship TargetMode="External" Target="https://www.legis.iowa.gov/docs/ico/chapter/35D.7.pdf" Type="http://schemas.openxmlformats.org/officeDocument/2006/relationships/hyperlink" Id="rId50"/>
    <Relationship TargetMode="External" Target="https://www.legis.iowa.gov/docs/iac/rule/801.10.19.pdf" Type="http://schemas.openxmlformats.org/officeDocument/2006/relationships/hyperlink" Id="rId51"/>
    <Relationship TargetMode="External" Target="https://www.legis.iowa.gov/docs/iac/rule/801.10.40.pdf" Type="http://schemas.openxmlformats.org/officeDocument/2006/relationships/hyperlink" Id="rId52"/>
    <Relationship TargetMode="External" Target="https://www.legis.iowa.gov/docs/ico/chapter/135C.24.pdf" Type="http://schemas.openxmlformats.org/officeDocument/2006/relationships/hyperlink" Id="rId53"/>
    <Relationship TargetMode="External" Target="https://www.legis.iowa.gov/docs/ico/chapter/35D.11.pdf" Type="http://schemas.openxmlformats.org/officeDocument/2006/relationships/hyperlink" Id="rId54"/>
    <Relationship TargetMode="External" Target="https://www.legis.iowa.gov/docs/ico/chapter/35D.12.pdf" Type="http://schemas.openxmlformats.org/officeDocument/2006/relationships/hyperlink" Id="rId55"/>
    <Relationship TargetMode="External" Target="https://www.legis.iowa.gov/docs/iac/rule/801.10.14.pdf" Type="http://schemas.openxmlformats.org/officeDocument/2006/relationships/hyperlink" Id="rId56"/>
    <Relationship TargetMode="External" Target="https://www.legis.iowa.gov/docs/iac/rule/801.10.36.pdf" Type="http://schemas.openxmlformats.org/officeDocument/2006/relationships/hyperlink" Id="rId57"/>
    <Relationship TargetMode="External" Target="https://www.legis.iowa.gov/docs/iac/rule/801.10.36.pdf" Type="http://schemas.openxmlformats.org/officeDocument/2006/relationships/hyperlink" Id="rId58"/>
    <Relationship TargetMode="External" Target="https://www.legis.iowa.gov/docs/iac/rule/801.10.12.pdf" Type="http://schemas.openxmlformats.org/officeDocument/2006/relationships/hyperlink" Id="rId59"/>
    <Relationship TargetMode="External" Target="https://www.legis.iowa.gov/docs/ico/chapter/135C.23.pdf" Type="http://schemas.openxmlformats.org/officeDocument/2006/relationships/hyperlink" Id="rId60"/>
    <Relationship TargetMode="External" Target="https://www.legis.iowa.gov/docs/iac/rule/801.10.12.pdf" Type="http://schemas.openxmlformats.org/officeDocument/2006/relationships/hyperlink" Id="rId61"/>
    <Relationship TargetMode="External" Target="https://www.legis.iowa.gov/docs/iac/rule/801.10.40.pdf" Type="http://schemas.openxmlformats.org/officeDocument/2006/relationships/hyperlink" Id="rId62"/>
    <Relationship TargetMode="External" Target="https://www.legis.iowa.gov/docs/iac/rule/801.10.35.pdf" Type="http://schemas.openxmlformats.org/officeDocument/2006/relationships/hyperlink" Id="rId63"/>
    <Relationship TargetMode="External" Target="https://www.legis.iowa.gov/docs/iac/rule/801.10.35.pdf" Type="http://schemas.openxmlformats.org/officeDocument/2006/relationships/hyperlink" Id="rId64"/>
    <Relationship TargetMode="External" Target="https://www.legis.iowa.gov/docs/iac/rule/801.10.40.pdf" Type="http://schemas.openxmlformats.org/officeDocument/2006/relationships/hyperlink" Id="rId65"/>
    <Relationship TargetMode="External" Target="https://www.legis.iowa.gov/docs/iac/rule/801.10.40.pdf" Type="http://schemas.openxmlformats.org/officeDocument/2006/relationships/hyperlink" Id="rId66"/>
    <Relationship TargetMode="External" Target="https://www.legis.iowa.gov/docs/iac/rule/801.10.40.pdf" Type="http://schemas.openxmlformats.org/officeDocument/2006/relationships/hyperlink" Id="rId67"/>
    <Relationship TargetMode="External" Target="https://www.legis.iowa.gov/docs/iac/rule/801.10.40.pdf" Type="http://schemas.openxmlformats.org/officeDocument/2006/relationships/hyperlink" Id="rId68"/>
    <Relationship TargetMode="External" Target="https://www.legis.iowa.gov/docs/ico/chapter/331.394.pdf" Type="http://schemas.openxmlformats.org/officeDocument/2006/relationships/hyperlink" Id="rId69"/>
    <Relationship TargetMode="External" Target="https://www.legis.iowa.gov/docs/ico/chapter/17A.pdf" Type="http://schemas.openxmlformats.org/officeDocument/2006/relationships/hyperlink" Id="rId70"/>
    <Relationship TargetMode="External" Target="https://www.legis.iowa.gov/docs/iac/rule/801.10.43.pdf" Type="http://schemas.openxmlformats.org/officeDocument/2006/relationships/hyperlink" Id="rId71"/>
    <Relationship TargetMode="External" Target="https://www.legis.iowa.gov/docs/iac/rule/801.10.43.pdf" Type="http://schemas.openxmlformats.org/officeDocument/2006/relationships/hyperlink" Id="rId72"/>
    <Relationship TargetMode="External" Target="https://www.legis.iowa.gov/docs/iac/rule/801.10.43.pdf" Type="http://schemas.openxmlformats.org/officeDocument/2006/relationships/hyperlink" Id="rId73"/>
    <Relationship TargetMode="External" Target="https://www.legis.iowa.gov/docs/iac/rule/801.10.43.pdf" Type="http://schemas.openxmlformats.org/officeDocument/2006/relationships/hyperlink" Id="rId74"/>
    <Relationship TargetMode="External" Target="https://www.legis.iowa.gov/docs/iac/rule/801.10.47.pdf" Type="http://schemas.openxmlformats.org/officeDocument/2006/relationships/hyperlink" Id="rId75"/>
    <Relationship TargetMode="External" Target="https://www.legis.iowa.gov/docs/iac/rule/801.10.47.pdf" Type="http://schemas.openxmlformats.org/officeDocument/2006/relationships/hyperlink" Id="rId76"/>
    <Relationship TargetMode="External" Target="https://www.legis.iowa.gov/docs/ico/chapter/35D.15.pdf" Type="http://schemas.openxmlformats.org/officeDocument/2006/relationships/hyperlink" Id="rId77"/>
    <Relationship TargetMode="External" Target="https://www.legis.iowa.gov/docs/iac/rule/801.10.46.pdf" Type="http://schemas.openxmlformats.org/officeDocument/2006/relationships/hyperlink" Id="rId78"/>
    <Relationship TargetMode="External" Target="https://www.legis.iowa.gov/docs/iac/rule/801.10.46.pdf" Type="http://schemas.openxmlformats.org/officeDocument/2006/relationships/hyperlink" Id="rId79"/>
    <Relationship TargetMode="External" Target="https://www.legis.iowa.gov/docs/iac/chapter/801.10.pdf" Type="http://schemas.openxmlformats.org/officeDocument/2006/relationships/hyperlink" Id="rId80"/>
    <Relationship TargetMode="External" Target="https://www.legis.iowa.gov/docs/iac/rule/801.10.46.pdf" Type="http://schemas.openxmlformats.org/officeDocument/2006/relationships/hyperlink" Id="rId81"/>
    <Relationship TargetMode="External" Target="https://www.legis.iowa.gov/docs/iac/rule/801.10.46.pdf" Type="http://schemas.openxmlformats.org/officeDocument/2006/relationships/hyperlink" Id="rId82"/>
    <Relationship TargetMode="External" Target="https://www.legis.iowa.gov/docs/iac/rule/801.10.46.pdf" Type="http://schemas.openxmlformats.org/officeDocument/2006/relationships/hyperlink" Id="rId83"/>
    <Relationship TargetMode="External" Target="https://www.legis.iowa.gov/docs/ico/chapter/17A.pdf" Type="http://schemas.openxmlformats.org/officeDocument/2006/relationships/hyperlink" Id="rId84"/>
    <Relationship TargetMode="External" Target="https://www.legis.iowa.gov/docs/iac/rule/801.10.45.pdf" Type="http://schemas.openxmlformats.org/officeDocument/2006/relationships/hyperlink" Id="rId85"/>
    <Relationship TargetMode="External" Target="https://www.legis.iowa.gov/docs/iac/rule/801.10.46.pdf" Type="http://schemas.openxmlformats.org/officeDocument/2006/relationships/hyperlink" Id="rId86"/>
    <Relationship TargetMode="External" Target="https://www.legis.iowa.gov/docs/ico/chapter/35A.3.pdf" Type="http://schemas.openxmlformats.org/officeDocument/2006/relationships/hyperlink" Id="rId87"/>
    <Relationship TargetMode="External" Target="https://www.legis.iowa.gov/docs/ico/chapter/35D.pdf" Type="http://schemas.openxmlformats.org/officeDocument/2006/relationships/hyperlink" Id="rId88"/>
    <Relationship TargetMode="External" Target="https://www.legis.iowa.gov/docs/iac/chapter/801.8.pdf" Type="http://schemas.openxmlformats.org/officeDocument/2006/relationships/hyperlink" Id="rId89"/>
    <Relationship TargetMode="External" Target="https://www.legis.iowa.gov/docs/iac/chapter/801.8.pdf" Type="http://schemas.openxmlformats.org/officeDocument/2006/relationships/hyperlink" Id="rId90"/>
    <Relationship TargetMode="External" Target="https://www.legis.iowa.gov/docs/ico/chapter/17A.pdf" Type="http://schemas.openxmlformats.org/officeDocument/2006/relationships/hyperlink" Id="rId91"/>
    <Relationship TargetMode="External" Target="https://www.legis.iowa.gov/docs/iac/rule/801.10.43.pdf" Type="http://schemas.openxmlformats.org/officeDocument/2006/relationships/hyperlink" Id="rId92"/>
    <Relationship TargetMode="External" Target="https://www.legis.iowa.gov/docs/ico/chapter/135C.pdf" Type="http://schemas.openxmlformats.org/officeDocument/2006/relationships/hyperlink" Id="rId93"/>
    <Relationship TargetMode="External" Target="https://www.legis.iowa.gov/docs/ico/chapter/35A.3.pdf" Type="http://schemas.openxmlformats.org/officeDocument/2006/relationships/hyperlink" Id="rId94"/>
    <Relationship TargetMode="External" Target="https://www.legis.iowa.gov/docs/ico/chapter/35D.pdf" Type="http://schemas.openxmlformats.org/officeDocument/2006/relationships/hyperlink" Id="rId9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