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EMPLOYERS</w:t>
      </w:r>
    </w:p>
    <w:p>
      <w:pPr>
        <w:spacing w:before="0" w:after="0"/>
        <w:ind w:left="120"/>
        <w:jc w:val="center"/>
      </w:pPr>
      <w:r>
        <w:rPr>
          <w:rFonts w:ascii="Times New Roman" w:hAnsi="Times New Roman"/>
          <w:b w:val="false"/>
          <w:i w:val="false"/>
          <w:color w:val="000000"/>
          <w:sz w:val="14"/>
        </w:rPr>
        <w:t>[Prior to 6/9/04, see 581—Ch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495—4.1</w:t>
      </w:r>
      <w:r>
        <w:rPr>
          <w:rFonts w:ascii="Times New Roman" w:hAnsi="Times New Roman"/>
          <w:b/>
          <w:i w:val="false"/>
          <w:color w:val="000000"/>
          <w:sz w:val="22"/>
        </w:rPr>
        <w:t xml:space="preserve">(97B) </w:t>
      </w:r>
      <w:r>
        <w:rPr>
          <w:rFonts w:ascii="Times New Roman" w:hAnsi="Times New Roman"/>
          <w:b/>
          <w:i w:val="false"/>
          <w:color w:val="000000"/>
          <w:sz w:val="22"/>
        </w:rPr>
        <w:t xml:space="preserve">Covered employers.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All public employers in the state of Iowa, its cities, counties, townships, agencies, political subdivisions, instrumentalities and public schools are required to participate in IPERS. For the purposes of these rules, the following definitions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“Political subdivision” </w:t>
      </w:r>
      <w:r>
        <w:rPr>
          <w:rFonts w:ascii="Times New Roman" w:hAnsi="Times New Roman"/>
          <w:b w:val="false"/>
          <w:i w:val="false"/>
          <w:color w:val="000000"/>
          <w:sz w:val="22"/>
        </w:rPr>
        <w:t>means a geographic area or territorial division of the state which has responsibility for certain governmental functions. Political subdivisions are characterized by public election of officers and taxing powers. The following examples are representative: cities, municipalities, counties, townships, schools and school districts, drainage and levee districts, and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“Instrumentality of the state or a political subdivision” </w:t>
      </w:r>
      <w:r>
        <w:rPr>
          <w:rFonts w:ascii="Times New Roman" w:hAnsi="Times New Roman"/>
          <w:b w:val="false"/>
          <w:i w:val="false"/>
          <w:color w:val="000000"/>
          <w:sz w:val="22"/>
        </w:rPr>
        <w:t>means an independent entity that is organized to carry on some specific function of government. Public instrumentalities are created by some form of governmental body, including federal and state statutes and regulations, and are characterized by being under the control of a governmental body. Such control may include final budgetary authorization, general policy development, appointment of a board by a governmental body, and allocation of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“Public agency” </w:t>
      </w:r>
      <w:r>
        <w:rPr>
          <w:rFonts w:ascii="Times New Roman" w:hAnsi="Times New Roman"/>
          <w:b w:val="false"/>
          <w:i w:val="false"/>
          <w:color w:val="000000"/>
          <w:sz w:val="22"/>
        </w:rPr>
        <w:t>means state agencies and agencies of political subdivisions. Representative examples include an executive board, commission, bureau, division, office, or department of the state or a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1994, the definition of employer includes an area agency on aging that does not offer an alternative plan to all of its employees that is qualified under the federal </w:t>
      </w:r>
      <w:r>
        <w:rPr>
          <w:rFonts w:ascii="Times New Roman" w:hAnsi="Times New Roman"/>
          <w:b w:val="false"/>
          <w:i w:val="false"/>
          <w:color w:val="000000"/>
          <w:sz w:val="22"/>
        </w:rPr>
        <w:t>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Covered employers include, but are not limited to: the state of Iowa and its administrative agencies; counties, including their hospitals and county homes; cities, including their hospitals, park boards and commissions; recreation commissions; townships; public libraries; cemetery associations; municipal utilities including waterworks, gasworks, electric light and power; school districts including their lunch and activity programs; state colleges and universities; and state hospitals and institutions.</w:t>
      </w:r>
    </w:p>
    <w:p>
      <w:pPr>
        <w:spacing w:before="0" w:after="0"/>
        <w:ind w:left="120"/>
        <w:jc w:val="both"/>
      </w:pPr>
      <w:r>
        <w:rPr>
          <w:rFonts w:ascii="Times New Roman" w:hAnsi="Times New Roman"/>
          <w:b w:val="false"/>
          <w:i w:val="false"/>
          <w:color w:val="000000"/>
          <w:sz w:val="22"/>
        </w:rPr>
        <w:t xml:space="preserve">An entity not already reporting to IPERS which meets the conditions for becoming an IPERS-covered employer shall immediately contact IPERS to provide notice which includes the name and address of the entity and other information required by IPERS. If, after review of this information, IPERS determines that the entity should be enrolled as a covered employer, IPERS will notify the entity and provide an IPERS account number for the entity to use when submitting information. IPERS shall not be required to provide benefits otherwise available under Iowa Code chapter </w:t>
      </w:r>
      <w:hyperlink r:id="rId5">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xml:space="preserve"> for periods of service prior to the effective date for which IPERS actually approves the entity for coverage, unless the employer agrees to pay the full actuarial cost of providing such benefits.</w:t>
      </w:r>
    </w:p>
    <w:p>
      <w:pPr>
        <w:spacing w:before="0" w:after="0"/>
        <w:ind w:left="120"/>
        <w:jc w:val="both"/>
      </w:pPr>
      <w:r>
        <w:rPr>
          <w:rFonts w:ascii="Times New Roman" w:hAnsi="Times New Roman"/>
          <w:b w:val="false"/>
          <w:i w:val="false"/>
          <w:color w:val="000000"/>
          <w:sz w:val="22"/>
        </w:rPr>
        <w:t>An employer may request a revised beginning date for its status as a covered employer. The employer must submit acceptable proof to IPERS that its status as a covered employer began earlier than the date previously provided. In such case, the employer shall provide IPERS coverage retroactively to all employees providing services to that employer on or after the revised beginning date and shall pay all actuarial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color w:val="000000"/>
          <w:sz w:val="22"/>
        </w:rPr>
        <w:t xml:space="preserve">Name change. </w:t>
      </w:r>
      <w:r>
        <w:rPr>
          <w:rFonts w:ascii="Times New Roman" w:hAnsi="Times New Roman"/>
          <w:b w:val="false"/>
          <w:i w:val="false"/>
          <w:color w:val="000000"/>
          <w:sz w:val="22"/>
        </w:rPr>
        <w:t>Any employer which has a change of name, address, title of the employer, its reporting official or any other identifying information shall immediately give notice in writing to IPERS. The notice shall provide IPERS with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Former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Former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IPERS account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New name, address, and telephone number of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Reason for the change if other than a change of reporting official;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Effective date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Any employer which terminates or is dissolved for any reason shall provide IPERS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name and address of the dissolved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Assigned IPERS account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Last date on which wages were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on which the entity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Reason for the dissolution;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or not the entity expects to pay wages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entity is being absorbed by another covered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Name and address of absorbing employer if applicable;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Name and address of employer that will retain the records of the dissolved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w:t>
      </w:r>
      <w:r>
        <w:rPr>
          <w:rFonts w:ascii="Times New Roman" w:hAnsi="Times New Roman"/>
          <w:b w:val="false"/>
          <w:i w:val="false"/>
          <w:color w:val="000000"/>
          <w:sz w:val="22"/>
        </w:rPr>
        <w:t> </w:t>
      </w:r>
      <w:r>
        <w:rPr>
          <w:rFonts w:ascii="Times New Roman" w:hAnsi="Times New Roman"/>
          <w:b w:val="false"/>
          <w:i/>
          <w:color w:val="000000"/>
          <w:sz w:val="22"/>
        </w:rPr>
        <w:t xml:space="preserve">Reports of dissolved or absorbed employers. </w:t>
      </w:r>
      <w:r>
        <w:rPr>
          <w:rFonts w:ascii="Times New Roman" w:hAnsi="Times New Roman"/>
          <w:b w:val="false"/>
          <w:i w:val="false"/>
          <w:color w:val="000000"/>
          <w:sz w:val="22"/>
        </w:rPr>
        <w:t>An employer that has been dissolved or entirely absorbed by another employer is required to file a monthly report with IPERS through the effective date on which it was dissolved or absorbed. Any wages paid after this date are reported under the account number assigned to the new or successor employer,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w:t>
      </w:r>
      <w:r>
        <w:rPr>
          <w:rFonts w:ascii="Times New Roman" w:hAnsi="Times New Roman"/>
          <w:b w:val="false"/>
          <w:i w:val="false"/>
          <w:color w:val="000000"/>
          <w:sz w:val="22"/>
        </w:rPr>
        <w:t> </w:t>
      </w:r>
      <w:r>
        <w:rPr>
          <w:rFonts w:ascii="Times New Roman" w:hAnsi="Times New Roman"/>
          <w:b w:val="false"/>
          <w:i/>
          <w:color w:val="000000"/>
          <w:sz w:val="22"/>
        </w:rPr>
        <w:t xml:space="preserve">IPERS account number. </w:t>
      </w:r>
      <w:r>
        <w:rPr>
          <w:rFonts w:ascii="Times New Roman" w:hAnsi="Times New Roman"/>
          <w:b w:val="false"/>
          <w:i w:val="false"/>
          <w:color w:val="000000"/>
          <w:sz w:val="22"/>
        </w:rPr>
        <w:t>Each employer is assigned an IPERS account number. This number should be used on all correspondence and reporting forms directed to IPERS.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w:t>
      </w:r>
      <w:r>
        <w:rPr>
          <w:rFonts w:ascii="Times New Roman" w:hAnsi="Times New Roman"/>
          <w:b w:val="false"/>
          <w:i w:val="false"/>
          <w:color w:val="000000"/>
          <w:sz w:val="22"/>
        </w:rPr>
        <w:t> </w:t>
      </w:r>
      <w:r>
        <w:rPr>
          <w:rFonts w:ascii="Times New Roman" w:hAnsi="Times New Roman"/>
          <w:b w:val="false"/>
          <w:i/>
          <w:color w:val="000000"/>
          <w:sz w:val="22"/>
        </w:rPr>
        <w:t xml:space="preserve">Patient advocates. </w:t>
      </w:r>
      <w:r>
        <w:rPr>
          <w:rFonts w:ascii="Times New Roman" w:hAnsi="Times New Roman"/>
          <w:b w:val="false"/>
          <w:i w:val="false"/>
          <w:color w:val="000000"/>
          <w:sz w:val="22"/>
        </w:rPr>
        <w:t xml:space="preserve">For patient advocates employed under Iowa Code section </w:t>
      </w:r>
      <w:hyperlink r:id="rId6">
        <w:r>
          <w:rPr>
            <w:rStyle w:val="Hyperlink"/>
            <w:rFonts w:ascii="Times New Roman" w:hAnsi="Times New Roman"/>
            <w:b w:val="false"/>
            <w:i w:val="false"/>
            <w:color w:val="000000"/>
            <w:sz w:val="22"/>
          </w:rPr>
          <w:t>229.19</w:t>
        </w:r>
      </w:hyperlink>
      <w:r>
        <w:rPr>
          <w:rFonts w:ascii="Times New Roman" w:hAnsi="Times New Roman"/>
          <w:b w:val="false"/>
          <w:i w:val="false"/>
          <w:color w:val="000000"/>
          <w:sz w:val="22"/>
        </w:rPr>
        <w:t>, the county or counties for which services are performed shall be treated as the covered employer(s) of such individuals, and each such employer is responsible for forwarding reports and for withholding and forwarding the applicable IPERS contributions on wages paid by each employer.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495—4.2</w:t>
      </w:r>
      <w:r>
        <w:rPr>
          <w:rFonts w:ascii="Times New Roman" w:hAnsi="Times New Roman"/>
          <w:b/>
          <w:i w:val="false"/>
          <w:color w:val="000000"/>
          <w:sz w:val="22"/>
        </w:rPr>
        <w:t xml:space="preserve">(97B) </w:t>
      </w:r>
      <w:r>
        <w:rPr>
          <w:rFonts w:ascii="Times New Roman" w:hAnsi="Times New Roman"/>
          <w:b/>
          <w:i w:val="false"/>
          <w:color w:val="000000"/>
          <w:sz w:val="22"/>
        </w:rPr>
        <w:t xml:space="preserve">Records to be kept by the employer.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employer shall maintain records to show the information hereinafter indicated. Records shall be kept in the form and manner prescribed by IPERS. Records shall be open to inspection and may be copied by IPERS and its authorized representatives at any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Records shall show with respect to each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Employee’s name, address, gender, and social security account number, and other demographic information that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date the employee was paid wages or other wage equivalent (e.g., room,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Total amount of wages paid on each date including noncash wage equivalents;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Total amount of wages including wage equivalents on which IPERS contributions are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Amount withheld from wages or wage equivalents for the employee’s share of IPERS contributions;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Effective January 1, 1995, records will show, with respect to each employee, member contributions picked up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color w:val="000000"/>
          <w:sz w:val="22"/>
        </w:rPr>
        <w:t xml:space="preserve">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employer shall make reports as IPERS may require and shall comply with the instructions provided by IPERS for the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Effective July 1, 2021, employers shall report the termination date and date of final paycheck for all terminating employees to IPERS with the final wage report for such employee. This report shall contain the employee’s last-known mailing address and such other information as IPERS might require.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Iowa department of administrative services and the Iowa department of corrections shall notify IPERS prior to adding additional job classifications to the protection occupation class. The notification shall include the effective date, names and social security numbers of the employees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IPERS may assess to the employer a fee for administrative costs as described in subrule </w:t>
      </w:r>
      <w:hyperlink r:id="rId7">
        <w:r>
          <w:rPr>
            <w:rStyle w:val="Hyperlink"/>
            <w:rFonts w:ascii="Times New Roman" w:hAnsi="Times New Roman"/>
            <w:b w:val="false"/>
            <w:i w:val="false"/>
            <w:color w:val="000000"/>
            <w:sz w:val="22"/>
          </w:rPr>
          <w:t>4.3(6)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8601B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5489C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495—4.3</w:t>
      </w:r>
      <w:r>
        <w:rPr>
          <w:rFonts w:ascii="Times New Roman" w:hAnsi="Times New Roman"/>
          <w:b/>
          <w:i w:val="false"/>
          <w:color w:val="000000"/>
          <w:sz w:val="22"/>
        </w:rPr>
        <w:t xml:space="preserve">(97B) </w:t>
      </w:r>
      <w:r>
        <w:rPr>
          <w:rFonts w:ascii="Times New Roman" w:hAnsi="Times New Roman"/>
          <w:b/>
          <w:i w:val="false"/>
          <w:color w:val="000000"/>
          <w:sz w:val="22"/>
        </w:rPr>
        <w:t xml:space="preserve">Wage reporting and payment of contributions by employers.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Payment of contributions. </w:t>
      </w:r>
      <w:r>
        <w:rPr>
          <w:rFonts w:ascii="Times New Roman" w:hAnsi="Times New Roman"/>
          <w:b w:val="false"/>
          <w:i w:val="false"/>
          <w:color w:val="000000"/>
          <w:sz w:val="22"/>
        </w:rPr>
        <w:t>For wages paid on or after July 1, 2008, all covered employers are required to pay contributions on a monthly basis. Upon enrollment as an IPERS-covered employer, the employer shall receive the appropriate forms and instructions from IPERS to submit contributions. IPERS will provide monthly statements to each employer.</w:t>
      </w:r>
    </w:p>
    <w:p>
      <w:pPr>
        <w:spacing w:before="0" w:after="0"/>
        <w:ind w:left="120"/>
        <w:jc w:val="both"/>
      </w:pPr>
      <w:r>
        <w:rPr>
          <w:rFonts w:ascii="Times New Roman" w:hAnsi="Times New Roman"/>
          <w:b w:val="false"/>
          <w:i w:val="false"/>
          <w:color w:val="000000"/>
          <w:sz w:val="22"/>
        </w:rPr>
        <w:t xml:space="preserve">IPERS accepts the payment of contributions through electronic funds transfer. Payments utilizing the electronic funds transfer system shall be made according to the procedure described in subrule </w:t>
      </w:r>
      <w:hyperlink r:id="rId8">
        <w:r>
          <w:rPr>
            <w:rStyle w:val="Hyperlink"/>
            <w:rFonts w:ascii="Times New Roman" w:hAnsi="Times New Roman"/>
            <w:b w:val="false"/>
            <w:i w:val="false"/>
            <w:color w:val="000000"/>
            <w:sz w:val="22"/>
          </w:rPr>
          <w:t>4.3(3)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IPERS accepts the payment of contributions using checks and remittance advice forms. Employers filing monthly employer remittance advice forms on paper for two or more employers shall attach the checks to each remittance form. Checks shall be made payable to the Iowa Public Employees’ Retirement System and mailed with the employer remittance advice form to IPERS, P.O. Box 9117, Des Moines, Iowa 50306-9117. Effective August 1, 2008, such payments and reports shall be subject to a fee as described in subrule </w:t>
      </w:r>
      <w:hyperlink r:id="rId9">
        <w:r>
          <w:rPr>
            <w:rStyle w:val="Hyperlink"/>
            <w:rFonts w:ascii="Times New Roman" w:hAnsi="Times New Roman"/>
            <w:b w:val="false"/>
            <w:i w:val="false"/>
            <w:color w:val="000000"/>
            <w:sz w:val="22"/>
          </w:rPr>
          <w:t>4.3(6)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Wage reports. </w:t>
      </w:r>
      <w:r>
        <w:rPr>
          <w:rFonts w:ascii="Times New Roman" w:hAnsi="Times New Roman"/>
          <w:b w:val="false"/>
          <w:i w:val="false"/>
          <w:color w:val="000000"/>
          <w:sz w:val="22"/>
        </w:rPr>
        <w:t>For wages paid on or after July 1, 2008, all IPERS-covered employers are required to file wage reports on a monthly basis. IPERS will provide the forms and instructions for wage reporting to employers. Each wage report must include the required information for all employees who earned reportable wages or wage equivalents under IPERS. The reports must be received by IPERS on or before the fifteenth day of the month following the month in which the wages were paid. If the fifteenth day falls on a weekend or state-observed holiday, the wage report is due on the next regularly scheduled business day.</w:t>
      </w:r>
    </w:p>
    <w:p>
      <w:pPr>
        <w:spacing w:before="0" w:after="0"/>
        <w:ind w:left="120"/>
        <w:jc w:val="both"/>
      </w:pPr>
      <w:r>
        <w:rPr>
          <w:rFonts w:ascii="Times New Roman" w:hAnsi="Times New Roman"/>
          <w:b w:val="false"/>
          <w:i w:val="false"/>
          <w:color w:val="000000"/>
          <w:sz w:val="22"/>
        </w:rPr>
        <w:t xml:space="preserve">Effective August 1, 2008, IPERS shall accept wage reports electronically via IPERS’ employer self-service Internet application or as a paper report. However, for those employers submitting reports other than via IPERS’ employer self-service Internet application, IPERS shall charge a fee as described in subrule </w:t>
      </w:r>
      <w:hyperlink r:id="rId10">
        <w:r>
          <w:rPr>
            <w:rStyle w:val="Hyperlink"/>
            <w:rFonts w:ascii="Times New Roman" w:hAnsi="Times New Roman"/>
            <w:b w:val="false"/>
            <w:i w:val="false"/>
            <w:color w:val="000000"/>
            <w:sz w:val="22"/>
          </w:rPr>
          <w:t>4.3(6)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color w:val="000000"/>
          <w:sz w:val="22"/>
        </w:rPr>
        <w:t xml:space="preserve">Deadlines for payment of contributions.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Contributions must be paid monthly and must be received by IPERS on or before the fifteenth day of the month following the month in which wages were paid. If the fifteenth day falls on a weekend or state-observed holiday, the contribution is due on the next regularly scheduled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employers paying contributions by electronic funds transfer, wage reports and contributions may be submitted at the same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w:t>
      </w:r>
      <w:r>
        <w:rPr>
          <w:rFonts w:ascii="Times New Roman" w:hAnsi="Times New Roman"/>
          <w:b w:val="false"/>
          <w:i w:val="false"/>
          <w:color w:val="000000"/>
          <w:sz w:val="22"/>
        </w:rPr>
        <w:t> </w:t>
      </w:r>
      <w:r>
        <w:rPr>
          <w:rFonts w:ascii="Times New Roman" w:hAnsi="Times New Roman"/>
          <w:b w:val="false"/>
          <w:i/>
          <w:color w:val="000000"/>
          <w:sz w:val="22"/>
        </w:rPr>
        <w:t xml:space="preserve">Request for time extension. </w:t>
      </w:r>
      <w:r>
        <w:rPr>
          <w:rFonts w:ascii="Times New Roman" w:hAnsi="Times New Roman"/>
          <w:b w:val="false"/>
          <w:i w:val="false"/>
          <w:color w:val="000000"/>
          <w:sz w:val="22"/>
        </w:rPr>
        <w:t>A request for an extension of time to file a wage report or pay a contribution may be granted by IPERS for good cause if a request is made before the due date, but no extension shall exceed 15 days beyond the due date. If an employer that has been granted an extension fails to submit the wage report or pay the contribution on or before the end of the extension period, the applicable interest and fees shall be charged and paid from the original due date as if no extension had been granted. If the fifteenth day falls on a weekend or state-observed holiday, the contribution or wage report is due on the next regularly scheduled business day.</w:t>
      </w:r>
    </w:p>
    <w:p>
      <w:pPr>
        <w:spacing w:before="0" w:after="0"/>
        <w:ind w:left="120"/>
        <w:jc w:val="both"/>
      </w:pPr>
      <w:r>
        <w:rPr>
          <w:rFonts w:ascii="Times New Roman" w:hAnsi="Times New Roman"/>
          <w:b w:val="false"/>
          <w:i w:val="false"/>
          <w:color w:val="000000"/>
          <w:sz w:val="22"/>
        </w:rPr>
        <w:t>To establish good cause for an extension of time to file a wage report or pay contributions, the employer must show that the delinquency was not due to mere negligence, carelessness or inattention. The employer must affirmatively show that it did not file the wage report or timely pay a contribution because of some occurrence beyond the control of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w:t>
      </w:r>
      <w:r>
        <w:rPr>
          <w:rFonts w:ascii="Times New Roman" w:hAnsi="Times New Roman"/>
          <w:b w:val="false"/>
          <w:i w:val="false"/>
          <w:color w:val="000000"/>
          <w:sz w:val="22"/>
        </w:rPr>
        <w:t> </w:t>
      </w:r>
      <w:r>
        <w:rPr>
          <w:rFonts w:ascii="Times New Roman" w:hAnsi="Times New Roman"/>
          <w:b w:val="false"/>
          <w:i/>
          <w:color w:val="000000"/>
          <w:sz w:val="22"/>
        </w:rPr>
        <w:t xml:space="preserve">No reportable wages. </w:t>
      </w:r>
      <w:r>
        <w:rPr>
          <w:rFonts w:ascii="Times New Roman" w:hAnsi="Times New Roman"/>
          <w:b w:val="false"/>
          <w:i w:val="false"/>
          <w:color w:val="000000"/>
          <w:sz w:val="22"/>
        </w:rPr>
        <w:t xml:space="preserve">When an employer has no reportable wages during the applicable reporting period, the wage reporting document shall be filed according to subrule </w:t>
      </w:r>
      <w:hyperlink r:id="rId11">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Even if there are no reportable wages, the employer’s account is considered delinquent for the reporting period and is subject to a fee until the report is filed. However, if the employer has notified IPERS on or before the due date that there are no wages to report, IPERS will adjust the due date, and no fee will be charged.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w:t>
      </w:r>
      <w:r>
        <w:rPr>
          <w:rFonts w:ascii="Times New Roman" w:hAnsi="Times New Roman"/>
          <w:b w:val="false"/>
          <w:i w:val="false"/>
          <w:color w:val="000000"/>
          <w:sz w:val="22"/>
        </w:rPr>
        <w:t> </w:t>
      </w:r>
      <w:r>
        <w:rPr>
          <w:rFonts w:ascii="Times New Roman" w:hAnsi="Times New Roman"/>
          <w:b w:val="false"/>
          <w:i/>
          <w:color w:val="000000"/>
          <w:sz w:val="22"/>
        </w:rPr>
        <w:t xml:space="preserve">Fees for noncompliance. </w:t>
      </w:r>
      <w:r>
        <w:rPr>
          <w:rFonts w:ascii="Times New Roman" w:hAnsi="Times New Roman"/>
          <w:b w:val="false"/>
          <w:i w:val="false"/>
          <w:color w:val="000000"/>
          <w:sz w:val="22"/>
        </w:rPr>
        <w:t xml:space="preserve">IPERS is authorized to impose reasonable fees on employers that do not file wage reports through the IPERS’ employer self-service Internet application as described in subrule </w:t>
      </w:r>
      <w:hyperlink r:id="rId12">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xml:space="preserve">, that fail to timely file accurate wage reports, or that fail to pay contributions when due pursuant to subrule </w:t>
      </w:r>
      <w:hyperlink r:id="rId13">
        <w:r>
          <w:rPr>
            <w:rStyle w:val="Hyperlink"/>
            <w:rFonts w:ascii="Times New Roman" w:hAnsi="Times New Roman"/>
            <w:b w:val="false"/>
            <w:i w:val="false"/>
            <w:color w:val="000000"/>
            <w:sz w:val="22"/>
          </w:rPr>
          <w:t>4.3(3)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For submissions filed on or after August 1, 2008, IPERS shall charge employers a processing fee of $20 plus 25 cents per employee for late submissions and manual processing of wage reports by IPERS. Employers that are late or that do not use IPERS’ employer self-service Internet application may be charged both fees. In addition, if a fee for noncompliance is not paid by the fifteenth day of the month after the fee is assessed, the fee will accrue interest daily at the interest rate provided in Iowa Code sections 97B.9 and </w:t>
      </w:r>
      <w:hyperlink r:id="rId14">
        <w:r>
          <w:rPr>
            <w:rStyle w:val="Hyperlink"/>
            <w:rFonts w:ascii="Times New Roman" w:hAnsi="Times New Roman"/>
            <w:b w:val="false"/>
            <w:i w:val="false"/>
            <w:color w:val="000000"/>
            <w:sz w:val="22"/>
          </w:rPr>
          <w:t>97B.70</w:t>
        </w:r>
      </w:hyperlink>
      <w:r>
        <w:rPr>
          <w:rFonts w:ascii="Times New Roman" w:hAnsi="Times New Roman"/>
          <w:b w:val="false"/>
          <w:i w:val="false"/>
          <w:color w:val="000000"/>
          <w:sz w:val="22"/>
        </w:rPr>
        <w:t>. No fee will be charged on late contributions received as a result of a wage adjustment, but interest on the amount due will be charged until paid in full.</w:t>
      </w:r>
    </w:p>
    <w:p>
      <w:pPr>
        <w:spacing w:before="0" w:after="0"/>
        <w:ind w:left="120"/>
        <w:jc w:val="both"/>
      </w:pPr>
      <w:r>
        <w:rPr>
          <w:rFonts w:ascii="Times New Roman" w:hAnsi="Times New Roman"/>
          <w:b w:val="false"/>
          <w:i w:val="false"/>
          <w:color w:val="000000"/>
          <w:sz w:val="22"/>
        </w:rPr>
        <w:t>If the due date for a fee falls on a weekend or state-observed holiday, the due date shall be the next regularly scheduled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w:t>
      </w:r>
      <w:r>
        <w:rPr>
          <w:rFonts w:ascii="Times New Roman" w:hAnsi="Times New Roman"/>
          <w:b w:val="false"/>
          <w:i w:val="false"/>
          <w:color w:val="000000"/>
          <w:sz w:val="22"/>
        </w:rPr>
        <w:t> </w:t>
      </w:r>
      <w:r>
        <w:rPr>
          <w:rFonts w:ascii="Times New Roman" w:hAnsi="Times New Roman"/>
          <w:b w:val="false"/>
          <w:i/>
          <w:color w:val="000000"/>
          <w:sz w:val="22"/>
        </w:rPr>
        <w:t xml:space="preserve">Erroneously reported wages for employees not covered under IPERS. </w:t>
      </w:r>
      <w:r>
        <w:rPr>
          <w:rFonts w:ascii="Times New Roman" w:hAnsi="Times New Roman"/>
          <w:b w:val="false"/>
          <w:i w:val="false"/>
          <w:color w:val="000000"/>
          <w:sz w:val="22"/>
        </w:rPr>
        <w:t>Employers that erroneously report wages for employees who are not eligible for coverage under IPERS may file an IPERS wage reporting adjustment form. IPERS shall return a warrant or issue a credit for both the employer and employee contributions made in error. The employer is responsible for returning the employees’ share and for filing corrected federal and state wage reporting forms. Adjustments in such cases will be reported on the employer’s monthly statement. Under no circumstance shall the employer adjust these wages by underreporting wages on a future periodic wage reporting document. Wages shall never be reported as a negative amount. An employer that completes the employer portion of an employee’s request for a refund on an IPERS refund application form will not be permitted to file a periodic wage reporting adjustment form for that employee for the same time period. No fee will be assessed to employers that correct information as provided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w:t>
      </w:r>
      <w:r>
        <w:rPr>
          <w:rFonts w:ascii="Times New Roman" w:hAnsi="Times New Roman"/>
          <w:b w:val="false"/>
          <w:i w:val="false"/>
          <w:color w:val="000000"/>
          <w:sz w:val="22"/>
        </w:rPr>
        <w:t> </w:t>
      </w:r>
      <w:r>
        <w:rPr>
          <w:rFonts w:ascii="Times New Roman" w:hAnsi="Times New Roman"/>
          <w:b w:val="false"/>
          <w:i/>
          <w:color w:val="000000"/>
          <w:sz w:val="22"/>
        </w:rPr>
        <w:t xml:space="preserve">Contributions paid on wages in excess of the annual covered wage maximum. </w:t>
      </w:r>
      <w:r>
        <w:rPr>
          <w:rFonts w:ascii="Times New Roman" w:hAnsi="Times New Roman"/>
          <w:b w:val="false"/>
          <w:i w:val="false"/>
          <w:color w:val="000000"/>
          <w:sz w:val="22"/>
        </w:rPr>
        <w:t xml:space="preserve">For wages paid on or after July 1, 2008, whenever IPERS determines that an employee’s wages will exceed the annual maximum established under </w:t>
      </w:r>
      <w:r>
        <w:rPr>
          <w:rFonts w:ascii="Times New Roman" w:hAnsi="Times New Roman"/>
          <w:b w:val="false"/>
          <w:i w:val="false"/>
          <w:color w:val="000000"/>
          <w:sz w:val="22"/>
        </w:rPr>
        <w:t>Section 401(a)(17)(A) and the cost-of-living adjustments to that maximum permitted under Section 401(a)(17)(B) of the Internal Revenue Code</w:t>
      </w:r>
      <w:r>
        <w:rPr>
          <w:rFonts w:ascii="Times New Roman" w:hAnsi="Times New Roman"/>
          <w:b w:val="false"/>
          <w:i w:val="false"/>
          <w:color w:val="000000"/>
          <w:sz w:val="22"/>
        </w:rPr>
        <w:t xml:space="preserve"> during a given month, IPERS shall notify the applicable employer and shall return the related excess contributions. IPERS will detail on the monthly report those employees for whom wages were reported in excess of the covered wage ceiling. The employer is responsible for returning the employee’s share of excess contributions and making the applicable tax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w:t>
      </w:r>
      <w:r>
        <w:rPr>
          <w:rFonts w:ascii="Times New Roman" w:hAnsi="Times New Roman"/>
          <w:b w:val="false"/>
          <w:i w:val="false"/>
          <w:color w:val="000000"/>
          <w:sz w:val="22"/>
        </w:rPr>
        <w:t> </w:t>
      </w:r>
      <w:r>
        <w:rPr>
          <w:rFonts w:ascii="Times New Roman" w:hAnsi="Times New Roman"/>
          <w:b w:val="false"/>
          <w:i/>
          <w:color w:val="000000"/>
          <w:sz w:val="22"/>
        </w:rPr>
        <w:t xml:space="preserve">Termination within less than six months of the date of employment. </w:t>
      </w:r>
      <w:r>
        <w:rPr>
          <w:rFonts w:ascii="Times New Roman" w:hAnsi="Times New Roman"/>
          <w:b w:val="false"/>
          <w:i w:val="false"/>
          <w:color w:val="000000"/>
          <w:sz w:val="22"/>
        </w:rPr>
        <w:t>If an employee hired for permanent employment terminates within six months of the date of employment, the employer may file an IPERS form for reporting adjustments to receive a warrant or a credit, as elected by the employer, for both the employer’s and employee’s portions of the contributions. It is the responsibility of the employer to return the employee’s share. “Termination within less than six months of the date of employment” means employment is terminated prior to the day before the employee’s six-month anniversary date. For example, an employee hired on February 10 whose last day is August 8 would be treated as having resigned within less than six months. An employee hired on February 10 whose last day is August 9 (the day before the six-month anniversary date, August 10) would be treated as having worked six months and would be eligible for a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w:t>
      </w:r>
      <w:r>
        <w:rPr>
          <w:rFonts w:ascii="Times New Roman" w:hAnsi="Times New Roman"/>
          <w:b w:val="false"/>
          <w:i w:val="false"/>
          <w:color w:val="000000"/>
          <w:sz w:val="22"/>
        </w:rPr>
        <w:t> </w:t>
      </w:r>
      <w:r>
        <w:rPr>
          <w:rFonts w:ascii="Times New Roman" w:hAnsi="Times New Roman"/>
          <w:b w:val="false"/>
          <w:i/>
          <w:color w:val="000000"/>
          <w:sz w:val="22"/>
        </w:rPr>
        <w:t xml:space="preserve">Reinstatement following an employment dispute. </w:t>
      </w:r>
      <w:r>
        <w:rPr>
          <w:rFonts w:ascii="Times New Roman" w:hAnsi="Times New Roman"/>
          <w:b w:val="false"/>
          <w:i w:val="false"/>
          <w:color w:val="000000"/>
          <w:sz w:val="22"/>
        </w:rPr>
        <w:t xml:space="preserve">Employees who are reinstated following an employment dispute may restore membership service credit as described in </w:t>
      </w:r>
      <w:hyperlink r:id="rId15">
        <w:r>
          <w:rPr>
            <w:rStyle w:val="Hyperlink"/>
            <w:rFonts w:ascii="Times New Roman" w:hAnsi="Times New Roman"/>
            <w:b w:val="false"/>
            <w:i w:val="false"/>
            <w:color w:val="000000"/>
            <w:sz w:val="22"/>
          </w:rPr>
          <w:t>495—9.5</w:t>
        </w:r>
      </w:hyperlink>
      <w:r>
        <w:rPr>
          <w:rFonts w:ascii="Times New Roman" w:hAnsi="Times New Roman"/>
          <w:b w:val="false"/>
          <w:i w:val="false"/>
          <w:color w:val="000000"/>
          <w:sz w:val="22"/>
        </w:rPr>
        <w:t>(97B).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9397B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 xml:space="preserve">; </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3684C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495—4.4</w:t>
      </w:r>
      <w:r>
        <w:rPr>
          <w:rFonts w:ascii="Times New Roman" w:hAnsi="Times New Roman"/>
          <w:b/>
          <w:i w:val="false"/>
          <w:color w:val="000000"/>
          <w:sz w:val="22"/>
        </w:rPr>
        <w:t xml:space="preserve">(97B) </w:t>
      </w:r>
      <w:r>
        <w:rPr>
          <w:rFonts w:ascii="Times New Roman" w:hAnsi="Times New Roman"/>
          <w:b/>
          <w:i w:val="false"/>
          <w:color w:val="000000"/>
          <w:sz w:val="22"/>
        </w:rPr>
        <w:t xml:space="preserve">Accrual of interest and application of employer payments. </w:t>
      </w:r>
      <w:r>
        <w:rPr>
          <w:rFonts w:ascii="Times New Roman" w:hAnsi="Times New Roman"/>
          <w:b w:val="false"/>
          <w:i w:val="false"/>
          <w:color w:val="000000"/>
          <w:sz w:val="22"/>
        </w:rPr>
        <w:t xml:space="preserve">Interest or charges as provided under Iowa Code section </w:t>
      </w:r>
      <w:hyperlink r:id="rId16">
        <w:r>
          <w:rPr>
            <w:rStyle w:val="Hyperlink"/>
            <w:rFonts w:ascii="Times New Roman" w:hAnsi="Times New Roman"/>
            <w:b w:val="false"/>
            <w:i w:val="false"/>
            <w:color w:val="000000"/>
            <w:sz w:val="22"/>
          </w:rPr>
          <w:t>97B.9</w:t>
        </w:r>
      </w:hyperlink>
      <w:r>
        <w:rPr>
          <w:rFonts w:ascii="Times New Roman" w:hAnsi="Times New Roman"/>
          <w:b w:val="false"/>
          <w:i w:val="false"/>
          <w:color w:val="000000"/>
          <w:sz w:val="22"/>
        </w:rPr>
        <w:t xml:space="preserve"> shall accrue on all employer payments not received by IPERS by the due date, except that interest or charges may be waived by IPERS if the employer requests an extension of time under subrule </w:t>
      </w:r>
      <w:hyperlink r:id="rId17">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 xml:space="preserve"> prior to the due date. Effective August 1, 2008, employers that remit late contributions shall be charged a minimum of $20 or interest at the rate provided in Iowa Code section </w:t>
      </w:r>
      <w:hyperlink r:id="rId18">
        <w:r>
          <w:rPr>
            <w:rStyle w:val="Hyperlink"/>
            <w:rFonts w:ascii="Times New Roman" w:hAnsi="Times New Roman"/>
            <w:b w:val="false"/>
            <w:i w:val="false"/>
            <w:color w:val="000000"/>
            <w:sz w:val="22"/>
          </w:rPr>
          <w:t>97B.70</w:t>
        </w:r>
      </w:hyperlink>
      <w:r>
        <w:rPr>
          <w:rFonts w:ascii="Times New Roman" w:hAnsi="Times New Roman"/>
          <w:b w:val="false"/>
          <w:i w:val="false"/>
          <w:color w:val="000000"/>
          <w:sz w:val="22"/>
        </w:rPr>
        <w:t>, whichever is greater. No fee will be charged on late contributions received as a result of a wage adjustment, but interest on the amount due will be charged until paid in full. Payments received from employers having unpaid account balances shall first be applied to the oldest outstanding balance.</w:t>
      </w:r>
    </w:p>
    <w:p>
      <w:pPr>
        <w:spacing w:before="210" w:after="0"/>
        <w:ind w:left="120"/>
        <w:jc w:val="both"/>
      </w:pPr>
      <w:r>
        <w:rPr>
          <w:rFonts w:ascii="Times New Roman" w:hAnsi="Times New Roman"/>
          <w:b/>
          <w:i w:val="false"/>
          <w:color w:val="000000"/>
          <w:sz w:val="22"/>
        </w:rPr>
        <w:t>495—4.5</w:t>
      </w:r>
      <w:r>
        <w:rPr>
          <w:rFonts w:ascii="Times New Roman" w:hAnsi="Times New Roman"/>
          <w:b/>
          <w:i w:val="false"/>
          <w:color w:val="000000"/>
          <w:sz w:val="22"/>
        </w:rPr>
        <w:t xml:space="preserve">(97B) </w:t>
      </w:r>
      <w:r>
        <w:rPr>
          <w:rFonts w:ascii="Times New Roman" w:hAnsi="Times New Roman"/>
          <w:b/>
          <w:i w:val="false"/>
          <w:color w:val="000000"/>
          <w:sz w:val="22"/>
        </w:rPr>
        <w:t xml:space="preserve">Credit memos voided.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3/26/08</w:t>
      </w:r>
      <w:r>
        <w:rPr>
          <w:rFonts w:ascii="Times New Roman" w:hAnsi="Times New Roman"/>
          <w:b w:val="false"/>
          <w:i w:val="false"/>
          <w:color w:val="000000"/>
          <w:sz w:val="22"/>
        </w:rPr>
        <w:t>, effective 4/30/08.</w:t>
      </w:r>
    </w:p>
    <w:p>
      <w:pPr>
        <w:spacing w:before="0" w:after="0"/>
        <w:ind w:left="120"/>
        <w:jc w:val="both"/>
      </w:pPr>
      <w:r>
        <w:rPr>
          <w:rFonts w:ascii="Times New Roman" w:hAnsi="Times New Roman"/>
          <w:b/>
          <w:i w:val="false"/>
          <w:color w:val="000000"/>
          <w:sz w:val="22"/>
        </w:rPr>
        <w:t>495—4.6</w:t>
      </w:r>
      <w:r>
        <w:rPr>
          <w:rFonts w:ascii="Times New Roman" w:hAnsi="Times New Roman"/>
          <w:b/>
          <w:i w:val="false"/>
          <w:color w:val="000000"/>
          <w:sz w:val="22"/>
        </w:rPr>
        <w:t xml:space="preserve">(97B) </w:t>
      </w:r>
      <w:r>
        <w:rPr>
          <w:rFonts w:ascii="Times New Roman" w:hAnsi="Times New Roman"/>
          <w:b/>
          <w:i w:val="false"/>
          <w:color w:val="000000"/>
          <w:sz w:val="22"/>
        </w:rPr>
        <w:t xml:space="preserve">Contribution rates. </w:t>
      </w:r>
      <w:r>
        <w:rPr>
          <w:rFonts w:ascii="Times New Roman" w:hAnsi="Times New Roman"/>
          <w:b w:val="false"/>
          <w:i w:val="false"/>
          <w:color w:val="000000"/>
          <w:sz w:val="22"/>
        </w:rPr>
        <w:t>The following contribution rate schedule, payable on the covered wage of the member, is determined by the position or classification and the occupation class code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val="false"/>
          <w:color w:val="000000"/>
          <w:sz w:val="22"/>
        </w:rPr>
        <w:t>Contribution rates for regular class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contribution rates were established by the Iowa legislature for all regular class members for the indicated periods: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11"/>
        <w:gridCol w:w="1796"/>
        <w:gridCol w:w="1796"/>
        <w:gridCol w:w="1796"/>
        <w:gridCol w:w="1795"/>
        <w:gridCol w:w="1795"/>
      </w:tblGrid>
      <w:tr>
        <w:trPr>
          <w:trHeight w:val="405" w:hRule="atLeast"/>
        </w:trPr>
        <w:tc>
          <w:tcPr>
            <w:tcW w:w="22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 July 1, 2007</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 July 1, 2008</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 July 1, 2009</w:t>
            </w:r>
          </w:p>
        </w:tc>
        <w:tc>
          <w:tcPr>
            <w:tcW w:w="17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 July 1, 2010</w:t>
            </w:r>
          </w:p>
        </w:tc>
        <w:tc>
          <w:tcPr>
            <w:tcW w:w="17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 July 1, 2011</w:t>
            </w:r>
          </w:p>
        </w:tc>
      </w:tr>
      <w:tr>
        <w:trPr>
          <w:trHeight w:val="225" w:hRule="atLeast"/>
        </w:trPr>
        <w:tc>
          <w:tcPr>
            <w:tcW w:w="22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Combined rate</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9.95%</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10.45%</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10.95%</w:t>
            </w:r>
          </w:p>
        </w:tc>
        <w:tc>
          <w:tcPr>
            <w:tcW w:w="17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11.45%</w:t>
            </w:r>
          </w:p>
        </w:tc>
        <w:tc>
          <w:tcPr>
            <w:tcW w:w="17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13.45%</w:t>
            </w:r>
          </w:p>
        </w:tc>
      </w:tr>
      <w:tr>
        <w:trPr>
          <w:trHeight w:val="225" w:hRule="atLeast"/>
        </w:trPr>
        <w:tc>
          <w:tcPr>
            <w:tcW w:w="221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Employer</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6.05%</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6.35%</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6.65%</w:t>
            </w:r>
          </w:p>
        </w:tc>
        <w:tc>
          <w:tcPr>
            <w:tcW w:w="17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6.95%</w:t>
            </w:r>
          </w:p>
        </w:tc>
        <w:tc>
          <w:tcPr>
            <w:tcW w:w="17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8.07%</w:t>
            </w:r>
          </w:p>
        </w:tc>
      </w:tr>
      <w:tr>
        <w:trPr>
          <w:trHeight w:val="225" w:hRule="atLeast"/>
        </w:trPr>
        <w:tc>
          <w:tcPr>
            <w:tcW w:w="2211"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Employee</w:t>
            </w:r>
          </w:p>
        </w:tc>
        <w:tc>
          <w:tcPr>
            <w:tcW w:w="179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3.90%</w:t>
            </w:r>
          </w:p>
        </w:tc>
        <w:tc>
          <w:tcPr>
            <w:tcW w:w="179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4.10%</w:t>
            </w:r>
          </w:p>
        </w:tc>
        <w:tc>
          <w:tcPr>
            <w:tcW w:w="179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4.30%</w:t>
            </w:r>
          </w:p>
        </w:tc>
        <w:tc>
          <w:tcPr>
            <w:tcW w:w="179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4.50%</w:t>
            </w:r>
          </w:p>
        </w:tc>
        <w:tc>
          <w:tcPr>
            <w:tcW w:w="17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5.38%</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Effective July 1, 2012, and every year thereafter, the contribution rates for regular members shall be publicly declared by IPERS staff no later than the preceding December as determined by the annual valuation of the preceding fiscal year. The public declaration of contribution rates will be followed by rulemaking that will include a notice and comment period and that will become effective July 1 of the next fiscal year. Contribution rates for regular members are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769"/>
        <w:gridCol w:w="1884"/>
        <w:gridCol w:w="1884"/>
        <w:gridCol w:w="1884"/>
        <w:gridCol w:w="1884"/>
        <w:gridCol w:w="1884"/>
      </w:tblGrid>
      <w:tr>
        <w:trPr>
          <w:trHeight w:val="405" w:hRule="atLeast"/>
        </w:trPr>
        <w:tc>
          <w:tcPr>
            <w:tcW w:w="176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2021</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 xml:space="preserve">July 1, 2022 </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Effective</w:t>
            </w:r>
            <w:r>
              <w:br/>
            </w:r>
            <w:r>
              <w:rPr>
                <w:rFonts w:ascii="Times New Roman" w:hAnsi="Times New Roman"/>
                <w:b w:val="false"/>
                <w:i w:val="false"/>
                <w:color w:val="000000"/>
                <w:sz w:val="16"/>
              </w:rPr>
              <w:t xml:space="preserve">July 1, 2023 </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2024</w:t>
            </w:r>
          </w:p>
        </w:tc>
        <w:tc>
          <w:tcPr>
            <w:tcW w:w="18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2025</w:t>
            </w:r>
          </w:p>
        </w:tc>
      </w:tr>
      <w:tr>
        <w:trPr>
          <w:trHeight w:val="225" w:hRule="atLeast"/>
        </w:trPr>
        <w:tc>
          <w:tcPr>
            <w:tcW w:w="176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Combined rate</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15.73%</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15.73%</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15.73%</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15.73%</w:t>
            </w:r>
          </w:p>
        </w:tc>
        <w:tc>
          <w:tcPr>
            <w:tcW w:w="18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15.73%</w:t>
            </w:r>
          </w:p>
        </w:tc>
      </w:tr>
      <w:tr>
        <w:trPr>
          <w:trHeight w:val="225" w:hRule="atLeast"/>
        </w:trPr>
        <w:tc>
          <w:tcPr>
            <w:tcW w:w="176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Employer</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9.44%</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9.44%</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9.44%</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9.44%</w:t>
            </w:r>
          </w:p>
        </w:tc>
        <w:tc>
          <w:tcPr>
            <w:tcW w:w="18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9.44%</w:t>
            </w:r>
          </w:p>
        </w:tc>
      </w:tr>
      <w:tr>
        <w:trPr>
          <w:trHeight w:val="225" w:hRule="atLeast"/>
        </w:trPr>
        <w:tc>
          <w:tcPr>
            <w:tcW w:w="1769"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Employee</w:t>
            </w:r>
          </w:p>
        </w:tc>
        <w:tc>
          <w:tcPr>
            <w:tcW w:w="18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6.29%</w:t>
            </w:r>
          </w:p>
        </w:tc>
        <w:tc>
          <w:tcPr>
            <w:tcW w:w="18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6.29%</w:t>
            </w:r>
          </w:p>
        </w:tc>
        <w:tc>
          <w:tcPr>
            <w:tcW w:w="18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6.29%</w:t>
            </w:r>
          </w:p>
        </w:tc>
        <w:tc>
          <w:tcPr>
            <w:tcW w:w="18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6.29%</w:t>
            </w:r>
          </w:p>
        </w:tc>
        <w:tc>
          <w:tcPr>
            <w:tcW w:w="18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6.29%</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val="false"/>
          <w:color w:val="000000"/>
          <w:sz w:val="22"/>
        </w:rPr>
        <w:t>Contribution rates for sheriffs and deputy sheriffs are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709"/>
        <w:gridCol w:w="1824"/>
        <w:gridCol w:w="1824"/>
        <w:gridCol w:w="1824"/>
        <w:gridCol w:w="1824"/>
        <w:gridCol w:w="2184"/>
      </w:tblGrid>
      <w:tr>
        <w:trPr>
          <w:trHeight w:val="40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Effective </w:t>
            </w:r>
            <w:r>
              <w:br/>
            </w:r>
            <w:r>
              <w:rPr>
                <w:rFonts w:ascii="Times New Roman" w:hAnsi="Times New Roman"/>
                <w:b w:val="false"/>
                <w:i w:val="false"/>
                <w:color w:val="000000"/>
                <w:sz w:val="16"/>
              </w:rPr>
              <w:t>July 1, 2021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Effective</w:t>
            </w:r>
            <w:r>
              <w:br/>
            </w:r>
            <w:r>
              <w:rPr>
                <w:rFonts w:ascii="Times New Roman" w:hAnsi="Times New Roman"/>
                <w:b w:val="false"/>
                <w:i w:val="false"/>
                <w:color w:val="000000"/>
                <w:sz w:val="16"/>
              </w:rPr>
              <w:t>July 1, 2023</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2024</w:t>
            </w:r>
          </w:p>
        </w:tc>
        <w:tc>
          <w:tcPr>
            <w:tcW w:w="21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2025</w:t>
            </w:r>
          </w:p>
        </w:tc>
      </w:tr>
      <w:tr>
        <w:trPr>
          <w:trHeight w:val="22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Combined rate</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18.02%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17.52%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17.02%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17.02%</w:t>
            </w:r>
          </w:p>
        </w:tc>
        <w:tc>
          <w:tcPr>
            <w:tcW w:w="21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24.18%</w:t>
            </w:r>
          </w:p>
        </w:tc>
      </w:tr>
      <w:tr>
        <w:trPr>
          <w:trHeight w:val="22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Employer</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8.76%</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8.51%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8.51%</w:t>
            </w:r>
          </w:p>
        </w:tc>
        <w:tc>
          <w:tcPr>
            <w:tcW w:w="21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12.09%</w:t>
            </w:r>
          </w:p>
        </w:tc>
      </w:tr>
      <w:tr>
        <w:trPr>
          <w:trHeight w:val="225" w:hRule="atLeast"/>
        </w:trPr>
        <w:tc>
          <w:tcPr>
            <w:tcW w:w="1709"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Employee</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9.01%</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8.76%</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8.51%</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8.51%</w:t>
            </w:r>
          </w:p>
        </w:tc>
        <w:tc>
          <w:tcPr>
            <w:tcW w:w="21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12.09%</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val="false"/>
          <w:color w:val="000000"/>
          <w:sz w:val="22"/>
        </w:rPr>
        <w:t>Contribution rates for protection occupations are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709"/>
        <w:gridCol w:w="1824"/>
        <w:gridCol w:w="1824"/>
        <w:gridCol w:w="1824"/>
        <w:gridCol w:w="1824"/>
        <w:gridCol w:w="2184"/>
      </w:tblGrid>
      <w:tr>
        <w:trPr>
          <w:trHeight w:val="40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Effective </w:t>
            </w:r>
            <w:r>
              <w:br/>
            </w:r>
            <w:r>
              <w:rPr>
                <w:rFonts w:ascii="Times New Roman" w:hAnsi="Times New Roman"/>
                <w:b w:val="false"/>
                <w:i w:val="false"/>
                <w:color w:val="000000"/>
                <w:sz w:val="16"/>
              </w:rPr>
              <w:t>July 1, 2021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Effective</w:t>
            </w:r>
            <w:r>
              <w:br/>
            </w:r>
            <w:r>
              <w:rPr>
                <w:rFonts w:ascii="Times New Roman" w:hAnsi="Times New Roman"/>
                <w:b w:val="false"/>
                <w:i w:val="false"/>
                <w:color w:val="000000"/>
                <w:sz w:val="16"/>
              </w:rPr>
              <w:t>July 1, 2023</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2024</w:t>
            </w:r>
          </w:p>
        </w:tc>
        <w:tc>
          <w:tcPr>
            <w:tcW w:w="21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2025</w:t>
            </w:r>
          </w:p>
        </w:tc>
      </w:tr>
      <w:tr>
        <w:trPr>
          <w:trHeight w:val="22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Combined rate</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15.52%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15.52%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15.52%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15.52%</w:t>
            </w:r>
          </w:p>
        </w:tc>
        <w:tc>
          <w:tcPr>
            <w:tcW w:w="21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15.52%</w:t>
            </w:r>
          </w:p>
        </w:tc>
      </w:tr>
      <w:tr>
        <w:trPr>
          <w:trHeight w:val="22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Employer</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9.31%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9.31%</w:t>
            </w:r>
          </w:p>
        </w:tc>
        <w:tc>
          <w:tcPr>
            <w:tcW w:w="21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9.31%</w:t>
            </w:r>
          </w:p>
        </w:tc>
      </w:tr>
      <w:tr>
        <w:trPr>
          <w:trHeight w:val="225" w:hRule="atLeast"/>
        </w:trPr>
        <w:tc>
          <w:tcPr>
            <w:tcW w:w="1709"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Employee</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6.21%</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6.21%</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6.21%</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6.21%</w:t>
            </w:r>
          </w:p>
        </w:tc>
        <w:tc>
          <w:tcPr>
            <w:tcW w:w="21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6.21%</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val="false"/>
          <w:color w:val="000000"/>
          <w:sz w:val="22"/>
        </w:rPr>
        <w:t>Members employed in a “protection occupation”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Conservation peace officers. Effective July 1, 2002, all conservation peace officers, state and county, as described in Iowa Code sections </w:t>
      </w:r>
      <w:hyperlink r:id="rId19">
        <w:r>
          <w:rPr>
            <w:rStyle w:val="Hyperlink"/>
            <w:rFonts w:ascii="Times New Roman" w:hAnsi="Times New Roman"/>
            <w:b w:val="false"/>
            <w:i w:val="false"/>
            <w:color w:val="000000"/>
            <w:sz w:val="22"/>
          </w:rPr>
          <w:t>350.5</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456A.13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1994, a marshal in a city not covered under Iowa Code chapter </w:t>
      </w:r>
      <w:hyperlink r:id="rId21">
        <w:r>
          <w:rPr>
            <w:rStyle w:val="Hyperlink"/>
            <w:rFonts w:ascii="Times New Roman" w:hAnsi="Times New Roman"/>
            <w:b w:val="false"/>
            <w:i w:val="false"/>
            <w:color w:val="000000"/>
            <w:sz w:val="22"/>
          </w:rPr>
          <w:t>400</w:t>
        </w:r>
      </w:hyperlink>
      <w:r>
        <w:rPr>
          <w:rFonts w:ascii="Times New Roman" w:hAnsi="Times New Roman"/>
          <w:b w:val="false"/>
          <w:i w:val="false"/>
          <w:color w:val="000000"/>
          <w:sz w:val="22"/>
        </w:rPr>
        <w:t xml:space="preserve"> or a firefighter or police officer of a city not participating under Iowa Code chapter </w:t>
      </w:r>
      <w:hyperlink r:id="rId22">
        <w:r>
          <w:rPr>
            <w:rStyle w:val="Hyperlink"/>
            <w:rFonts w:ascii="Times New Roman" w:hAnsi="Times New Roman"/>
            <w:b w:val="false"/>
            <w:i w:val="false"/>
            <w:color w:val="000000"/>
            <w:sz w:val="22"/>
          </w:rPr>
          <w:t>410</w:t>
        </w:r>
      </w:hyperlink>
      <w:r>
        <w:rPr>
          <w:rFonts w:ascii="Times New Roman" w:hAnsi="Times New Roman"/>
          <w:b w:val="false"/>
          <w:i w:val="false"/>
          <w:color w:val="000000"/>
          <w:sz w:val="22"/>
        </w:rPr>
        <w:t xml:space="preserve"> or </w:t>
      </w:r>
      <w:hyperlink r:id="rId23">
        <w:r>
          <w:rPr>
            <w:rStyle w:val="Hyperlink"/>
            <w:rFonts w:ascii="Times New Roman" w:hAnsi="Times New Roman"/>
            <w:b w:val="false"/>
            <w:i w:val="false"/>
            <w:color w:val="000000"/>
            <w:sz w:val="22"/>
          </w:rPr>
          <w:t>411</w:t>
        </w:r>
      </w:hyperlink>
      <w:r>
        <w:rPr>
          <w:rFonts w:ascii="Times New Roman" w:hAnsi="Times New Roman"/>
          <w:b w:val="false"/>
          <w:i w:val="false"/>
          <w:color w:val="000000"/>
          <w:sz w:val="22"/>
        </w:rPr>
        <w:t xml:space="preserve">. (See employee classifications in rule </w:t>
      </w:r>
      <w:hyperlink r:id="rId24">
        <w:r>
          <w:rPr>
            <w:rStyle w:val="Hyperlink"/>
            <w:rFonts w:ascii="Times New Roman" w:hAnsi="Times New Roman"/>
            <w:b w:val="false"/>
            <w:i w:val="false"/>
            <w:color w:val="000000"/>
            <w:sz w:val="22"/>
          </w:rPr>
          <w:t>495—5.1(97B)</w:t>
        </w:r>
      </w:hyperlink>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 Effective January 1, 1995, part-time police officers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Correctional officers as provided for in Iowa Code section </w:t>
      </w:r>
      <w:hyperlink r:id="rId25">
        <w:r>
          <w:rPr>
            <w:rStyle w:val="Hyperlink"/>
            <w:rFonts w:ascii="Times New Roman" w:hAnsi="Times New Roman"/>
            <w:b w:val="false"/>
            <w:i w:val="false"/>
            <w:color w:val="000000"/>
            <w:sz w:val="22"/>
          </w:rPr>
          <w:t>97B.49B</w:t>
        </w:r>
      </w:hyperlink>
      <w:r>
        <w:rPr>
          <w:rFonts w:ascii="Times New Roman" w:hAnsi="Times New Roman"/>
          <w:b w:val="false"/>
          <w:i w:val="false"/>
          <w:color w:val="000000"/>
          <w:sz w:val="22"/>
        </w:rPr>
        <w:t>. Employees who, prior to December 22, 1989, were in a “correctional officer” position but whose position is found to no longer meet this definition on or after that date shall retain coverage, but only for as long as the employee is in that position or another “correctional officer” position that meets this definition. Movement to a position that does not meet this definition shall cancel “protection occupation”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Airport firefighters employed by the military division of the department of public defense (airport firefighters). Effective July 1, 2004, airport firefighters become part of and shall make the same contributions as the other members covered under Iowa Code section </w:t>
      </w:r>
      <w:hyperlink r:id="rId26">
        <w:r>
          <w:rPr>
            <w:rStyle w:val="Hyperlink"/>
            <w:rFonts w:ascii="Times New Roman" w:hAnsi="Times New Roman"/>
            <w:b w:val="false"/>
            <w:i w:val="false"/>
            <w:color w:val="000000"/>
            <w:sz w:val="22"/>
          </w:rPr>
          <w:t>97B.49B</w:t>
        </w:r>
      </w:hyperlink>
      <w:r>
        <w:rPr>
          <w:rFonts w:ascii="Times New Roman" w:hAnsi="Times New Roman"/>
          <w:b w:val="false"/>
          <w:i w:val="false"/>
          <w:color w:val="000000"/>
          <w:sz w:val="22"/>
        </w:rPr>
        <w:t xml:space="preserve">. From July 1, 1994, through June 30, 2004, airport firefighters were grouped with and made the same contributions as sheriffs and deputy sheriffs. From July 1, 1988, through June 30, 1994, airport firefighters were grouped with and made the same contributions as the other members covered under Iowa Code section </w:t>
      </w:r>
      <w:hyperlink r:id="rId27">
        <w:r>
          <w:rPr>
            <w:rStyle w:val="Hyperlink"/>
            <w:rFonts w:ascii="Times New Roman" w:hAnsi="Times New Roman"/>
            <w:b w:val="false"/>
            <w:i w:val="false"/>
            <w:color w:val="000000"/>
            <w:sz w:val="22"/>
          </w:rPr>
          <w:t>97B.49B</w:t>
        </w:r>
      </w:hyperlink>
      <w:r>
        <w:rPr>
          <w:rFonts w:ascii="Times New Roman" w:hAnsi="Times New Roman"/>
          <w:b w:val="false"/>
          <w:i w:val="false"/>
          <w:color w:val="000000"/>
          <w:sz w:val="22"/>
        </w:rPr>
        <w:t>. From July 1, 1986, through June 30, 1988, airport firefighters were a separate protection occupation group and made contributions at a rate calculated for members of that group. Prior to July 1, 1986, airport firefighters were grouped with regular members and made the same contributions as regular members.</w:t>
      </w:r>
    </w:p>
    <w:p>
      <w:pPr>
        <w:spacing w:before="0" w:after="0"/>
        <w:ind w:left="120"/>
        <w:jc w:val="both"/>
      </w:pPr>
      <w:r>
        <w:rPr>
          <w:rFonts w:ascii="Times New Roman" w:hAnsi="Times New Roman"/>
          <w:b w:val="false"/>
          <w:i w:val="false"/>
          <w:color w:val="000000"/>
          <w:sz w:val="22"/>
        </w:rPr>
        <w:t xml:space="preserve">Notwithstanding the foregoing, all airport firefighter service prior to July 1, 2004, shall be coded by IPERS as sheriff/deputy sheriff/airport firefighter service, and all airport firefighter service after June 30, 2004, shall be coded by IPERS as protection occupation service. This coding, however, shall not supersede provisions of this title that require members to make contributions at higher rates in order to receive certain benefits, such as in the hybrid formula pursuant to </w:t>
      </w:r>
      <w:hyperlink r:id="rId28">
        <w:r>
          <w:rPr>
            <w:rStyle w:val="Hyperlink"/>
            <w:rFonts w:ascii="Times New Roman" w:hAnsi="Times New Roman"/>
            <w:b w:val="false"/>
            <w:i w:val="false"/>
            <w:color w:val="000000"/>
            <w:sz w:val="22"/>
          </w:rPr>
          <w:t>495—12.4</w:t>
        </w:r>
      </w:hyperlink>
      <w:r>
        <w:rPr>
          <w:rFonts w:ascii="Times New Roman" w:hAnsi="Times New Roman"/>
          <w:b w:val="false"/>
          <w:i w:val="false"/>
          <w:color w:val="000000"/>
          <w:sz w:val="22"/>
        </w:rPr>
        <w:t>(97B).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Airport safety officers employed under Iowa Code chapter </w:t>
      </w:r>
      <w:hyperlink r:id="rId29">
        <w:r>
          <w:rPr>
            <w:rStyle w:val="Hyperlink"/>
            <w:rFonts w:ascii="Times New Roman" w:hAnsi="Times New Roman"/>
            <w:b w:val="false"/>
            <w:i w:val="false"/>
            <w:color w:val="000000"/>
            <w:sz w:val="22"/>
          </w:rPr>
          <w:t>400</w:t>
        </w:r>
      </w:hyperlink>
      <w:r>
        <w:rPr>
          <w:rFonts w:ascii="Times New Roman" w:hAnsi="Times New Roman"/>
          <w:b w:val="false"/>
          <w:i w:val="false"/>
          <w:color w:val="000000"/>
          <w:sz w:val="22"/>
        </w:rPr>
        <w:t xml:space="preserve"> by an airport commission in a city with a population of 100,000 or more, and employees covered by the Iowa Code chapter </w:t>
      </w:r>
      <w:hyperlink r:id="rId30">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merit system whose primary duties are providing airport security and who carry or are licensed to carry firearms while performing those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1990, an employee of the state department of transportation who is designated as a “peace officer” by resolution under Iowa Code section </w:t>
      </w:r>
      <w:hyperlink r:id="rId31">
        <w:r>
          <w:rPr>
            <w:rStyle w:val="Hyperlink"/>
            <w:rFonts w:ascii="Times New Roman" w:hAnsi="Times New Roman"/>
            <w:b w:val="false"/>
            <w:i w:val="false"/>
            <w:color w:val="000000"/>
            <w:sz w:val="22"/>
          </w:rPr>
          <w:t>321.477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1992, a fire prevention inspector peace officer employed by the department of public safety. Effective July 1, 1994, a fire prevention inspector peace officer employed before that date who does not elect coverage under Iowa Code chapter </w:t>
      </w:r>
      <w:hyperlink r:id="rId32">
        <w:r>
          <w:rPr>
            <w:rStyle w:val="Hyperlink"/>
            <w:rFonts w:ascii="Times New Roman" w:hAnsi="Times New Roman"/>
            <w:b w:val="false"/>
            <w:i w:val="false"/>
            <w:color w:val="000000"/>
            <w:sz w:val="22"/>
          </w:rPr>
          <w:t>97A</w:t>
        </w:r>
      </w:hyperlink>
      <w:r>
        <w:rPr>
          <w:rFonts w:ascii="Times New Roman" w:hAnsi="Times New Roman"/>
          <w:b w:val="false"/>
          <w:i w:val="false"/>
          <w:color w:val="000000"/>
          <w:sz w:val="22"/>
        </w:rPr>
        <w:t xml:space="preserve"> in lieu of IPERS.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Effective July 1, 1994, through June 30, 1998, a parole officer III with a judicial district department of correctional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Effective July 1, 1994, through June 30, 1998, a probation officer III with a judicial district department of correctional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Effective July 1, 2008, county jailers and detention officers working as jailers.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Effective July 1, 2008, National Guard installation security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Effective July 1, 2008, emergency medical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Effective July 1, 2008, special investigators who are employed by county attorneys.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2014, an employee of the insurance division of the department of commerce who as a condition of employment is required to be certified by the Iowa law enforcement academy and who is required to perform the duties of a peace officer as provided in Iowa Code section </w:t>
      </w:r>
      <w:hyperlink r:id="rId33">
        <w:r>
          <w:rPr>
            <w:rStyle w:val="Hyperlink"/>
            <w:rFonts w:ascii="Times New Roman" w:hAnsi="Times New Roman"/>
            <w:b w:val="false"/>
            <w:i w:val="false"/>
            <w:color w:val="000000"/>
            <w:sz w:val="22"/>
          </w:rPr>
          <w:t>507E.8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2014, an employee of a judicial district department of correctional services whose condition of employment requires the employee to be certified by the Iowa law enforcement academy and who is required to perform the duties of a parole officer as provided in Iowa Code section </w:t>
      </w:r>
      <w:hyperlink r:id="rId34">
        <w:r>
          <w:rPr>
            <w:rStyle w:val="Hyperlink"/>
            <w:rFonts w:ascii="Times New Roman" w:hAnsi="Times New Roman"/>
            <w:b w:val="false"/>
            <w:i w:val="false"/>
            <w:color w:val="000000"/>
            <w:sz w:val="22"/>
          </w:rPr>
          <w:t>906.2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2016, a peace officer employed by an institution under the control of the state board of regents whose position requires law enforcement certification pursuant to Iowa Code section </w:t>
      </w:r>
      <w:hyperlink r:id="rId35">
        <w:r>
          <w:rPr>
            <w:rStyle w:val="Hyperlink"/>
            <w:rFonts w:ascii="Times New Roman" w:hAnsi="Times New Roman"/>
            <w:b w:val="false"/>
            <w:i w:val="false"/>
            <w:color w:val="000000"/>
            <w:sz w:val="22"/>
          </w:rPr>
          <w:t>262.13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Effective July 1, 2016, a person employed by the department of human services as a psychiatric security specialist at a civil commitment unit for sexually violent offenders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w:t>
      </w:r>
      <w:r>
        <w:rPr>
          <w:rFonts w:ascii="Times New Roman" w:hAnsi="Times New Roman"/>
          <w:b w:val="false"/>
          <w:i w:val="false"/>
          <w:color w:val="000000"/>
          <w:sz w:val="22"/>
        </w:rPr>
        <w:t> </w:t>
      </w:r>
      <w:r>
        <w:rPr>
          <w:rFonts w:ascii="Times New Roman" w:hAnsi="Times New Roman"/>
          <w:b w:val="false"/>
          <w:i w:val="false"/>
          <w:color w:val="000000"/>
          <w:sz w:val="22"/>
        </w:rPr>
        <w:t>Service reclassification.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July 1, 2006, except as otherwise indicated in the implementing legislation or these rules, for a member whose prior regular service position is reclassified by the legislature as a special service position, all prior service by the member in such regular service position shall be coded by IPERS staff as special service if certified by the employer as constituting special service under current law. No additional contributions shall be required by regular service reclassified as special service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2006, for a member whose prior regular service position is reclassified by the legislature as a special service position, all prior service by the member in such regular service position shall continue to be coded by IPERS staff as regular service unless the legislature specifically provides in its legislation for payment of the related actuarial costs of such reclassified service as required under Iowa Code section </w:t>
      </w:r>
      <w:hyperlink r:id="rId36">
        <w:r>
          <w:rPr>
            <w:rStyle w:val="Hyperlink"/>
            <w:rFonts w:ascii="Times New Roman" w:hAnsi="Times New Roman"/>
            <w:b w:val="false"/>
            <w:i w:val="false"/>
            <w:color w:val="000000"/>
            <w:sz w:val="22"/>
          </w:rPr>
          <w:t>97B.65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2006, in the determination of a sheriff’s or deputy sheriff’s eligibility for benefits and the amount of such benefits under Iowa Code section </w:t>
      </w:r>
      <w:hyperlink r:id="rId37">
        <w:r>
          <w:rPr>
            <w:rStyle w:val="Hyperlink"/>
            <w:rFonts w:ascii="Times New Roman" w:hAnsi="Times New Roman"/>
            <w:b w:val="false"/>
            <w:i w:val="false"/>
            <w:color w:val="000000"/>
            <w:sz w:val="22"/>
          </w:rPr>
          <w:t>97B.49C</w:t>
        </w:r>
      </w:hyperlink>
      <w:r>
        <w:rPr>
          <w:rFonts w:ascii="Times New Roman" w:hAnsi="Times New Roman"/>
          <w:b w:val="false"/>
          <w:i w:val="false"/>
          <w:color w:val="000000"/>
          <w:sz w:val="22"/>
        </w:rPr>
        <w:t xml:space="preserve">, all protection occupation service credits for that member shall count toward the total years of eligible service as a sheriff or deputy sheriff. However, this subrule shall not be construed to alter the statutory requirement that a sheriff or deputy sheriff must be employed as a sheriff or deputy sheriff at termination of covered employment in order to qualify for benefits under Iowa Code section </w:t>
      </w:r>
      <w:hyperlink r:id="rId38">
        <w:r>
          <w:rPr>
            <w:rStyle w:val="Hyperlink"/>
            <w:rFonts w:ascii="Times New Roman" w:hAnsi="Times New Roman"/>
            <w:b w:val="false"/>
            <w:i w:val="false"/>
            <w:color w:val="000000"/>
            <w:sz w:val="22"/>
          </w:rPr>
          <w:t>97B.49C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w:t>
      </w:r>
      <w:r>
        <w:rPr>
          <w:rFonts w:ascii="Times New Roman" w:hAnsi="Times New Roman"/>
          <w:b w:val="false"/>
          <w:i w:val="false"/>
          <w:color w:val="000000"/>
          <w:sz w:val="22"/>
        </w:rPr>
        <w:t> </w:t>
      </w:r>
      <w:r>
        <w:rPr>
          <w:rFonts w:ascii="Times New Roman" w:hAnsi="Times New Roman"/>
          <w:b w:val="false"/>
          <w:i w:val="false"/>
          <w:color w:val="000000"/>
          <w:sz w:val="22"/>
        </w:rPr>
        <w:t>Pretax.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Effective January 1, 1995, employers must pay member contributions on a pretax basis for federal income tax purposes only. Such contributions are considered employer contributions for federal income tax purposes and employee contributions for all other purposes. Employers must reduce the member’s salary reportable for federal income tax purposes by the amount of the member’s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Salaries reportable for purposes other than federal income tax will not be reduced, including for IPERS, FICA, and, through December 31, 1998, state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Effective January 1, 1999, employers must pay member contributions on a pretax basis for both federal and state income tax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7591B</w:t>
      </w:r>
      <w:r>
        <w:rPr>
          <w:rFonts w:ascii="Times New Roman" w:hAnsi="Times New Roman"/>
          <w:b w:val="false"/>
          <w:i w:val="false"/>
          <w:color w:val="000000"/>
          <w:sz w:val="16"/>
        </w:rPr>
        <w:t>, IAB 2/25/09,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7759B</w:t>
      </w:r>
      <w:r>
        <w:rPr>
          <w:rFonts w:ascii="Times New Roman" w:hAnsi="Times New Roman"/>
          <w:b w:val="false"/>
          <w:i w:val="false"/>
          <w:color w:val="000000"/>
          <w:sz w:val="16"/>
        </w:rPr>
        <w:t>, IAB 5/6/09, effective 4/17/09</w:t>
      </w:r>
      <w:r>
        <w:rPr>
          <w:rFonts w:ascii="Times New Roman" w:hAnsi="Times New Roman"/>
          <w:b w:val="false"/>
          <w:i w:val="false"/>
          <w:color w:val="000000"/>
          <w:sz w:val="16"/>
        </w:rPr>
        <w:t xml:space="preserve">; </w:t>
      </w:r>
      <w:r>
        <w:rPr>
          <w:rFonts w:ascii="Times New Roman" w:hAnsi="Times New Roman"/>
          <w:b/>
          <w:i w:val="false"/>
          <w:color w:val="000000"/>
          <w:sz w:val="16"/>
        </w:rPr>
        <w:t>ARC 7916B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 xml:space="preserve">; </w:t>
      </w:r>
      <w:r>
        <w:rPr>
          <w:rFonts w:ascii="Times New Roman" w:hAnsi="Times New Roman"/>
          <w:b/>
          <w:i w:val="false"/>
          <w:color w:val="000000"/>
          <w:sz w:val="16"/>
        </w:rPr>
        <w:t>ARC 8601B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9397B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 xml:space="preserve">; </w:t>
      </w:r>
      <w:r>
        <w:rPr>
          <w:rFonts w:ascii="Times New Roman" w:hAnsi="Times New Roman"/>
          <w:b/>
          <w:i w:val="false"/>
          <w:color w:val="000000"/>
          <w:sz w:val="16"/>
        </w:rPr>
        <w:t>ARC 0017C</w:t>
      </w:r>
      <w:r>
        <w:rPr>
          <w:rFonts w:ascii="Times New Roman" w:hAnsi="Times New Roman"/>
          <w:b w:val="false"/>
          <w:i w:val="false"/>
          <w:color w:val="000000"/>
          <w:sz w:val="16"/>
        </w:rPr>
        <w:t>, IAB 2/22/12, effective 3/28/12</w:t>
      </w:r>
      <w:r>
        <w:rPr>
          <w:rFonts w:ascii="Times New Roman" w:hAnsi="Times New Roman"/>
          <w:b w:val="false"/>
          <w:i w:val="false"/>
          <w:color w:val="000000"/>
          <w:sz w:val="16"/>
        </w:rPr>
        <w:t xml:space="preserve">; </w:t>
      </w:r>
      <w:r>
        <w:rPr>
          <w:rFonts w:ascii="Times New Roman" w:hAnsi="Times New Roman"/>
          <w:b/>
          <w:i w:val="false"/>
          <w:color w:val="000000"/>
          <w:sz w:val="16"/>
        </w:rPr>
        <w:t>ARC 0662C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 xml:space="preserve">; </w:t>
      </w:r>
      <w:r>
        <w:rPr>
          <w:rFonts w:ascii="Times New Roman" w:hAnsi="Times New Roman"/>
          <w:b/>
          <w:i w:val="false"/>
          <w:color w:val="000000"/>
          <w:sz w:val="16"/>
        </w:rPr>
        <w:t>ARC 1348C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1887C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2402C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 xml:space="preserve">; </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3684C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4337C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5489C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 xml:space="preserve">; </w:t>
      </w:r>
      <w:r>
        <w:rPr>
          <w:rFonts w:ascii="Times New Roman" w:hAnsi="Times New Roman"/>
          <w:b/>
          <w:i w:val="false"/>
          <w:color w:val="000000"/>
          <w:sz w:val="16"/>
        </w:rPr>
        <w:t>ARC 6215C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 xml:space="preserve">; </w:t>
      </w:r>
      <w:r>
        <w:rPr>
          <w:rFonts w:ascii="Times New Roman" w:hAnsi="Times New Roman"/>
          <w:b/>
          <w:i w:val="false"/>
          <w:color w:val="000000"/>
          <w:sz w:val="16"/>
        </w:rPr>
        <w:t>ARC 6949C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 xml:space="preserve">; </w:t>
      </w:r>
      <w:r>
        <w:rPr>
          <w:rFonts w:ascii="Times New Roman" w:hAnsi="Times New Roman"/>
          <w:b/>
          <w:i w:val="false"/>
          <w:color w:val="000000"/>
          <w:sz w:val="16"/>
        </w:rPr>
        <w:t>ARC 7811C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9287C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495—4.7</w:t>
      </w:r>
      <w:r>
        <w:rPr>
          <w:rFonts w:ascii="Times New Roman" w:hAnsi="Times New Roman"/>
          <w:b/>
          <w:i w:val="false"/>
          <w:color w:val="000000"/>
          <w:sz w:val="22"/>
        </w:rPr>
        <w:t xml:space="preserve">(97B) </w:t>
      </w:r>
      <w:r>
        <w:rPr>
          <w:rFonts w:ascii="Times New Roman" w:hAnsi="Times New Roman"/>
          <w:b/>
          <w:i w:val="false"/>
          <w:color w:val="000000"/>
          <w:sz w:val="22"/>
        </w:rPr>
        <w:t xml:space="preserve">Employee information to be provided by covered employers. </w:t>
      </w:r>
      <w:r>
        <w:rPr>
          <w:rFonts w:ascii="Times New Roman" w:hAnsi="Times New Roman"/>
          <w:b w:val="false"/>
          <w:i w:val="false"/>
          <w:color w:val="000000"/>
          <w:sz w:val="22"/>
        </w:rPr>
        <w:t>Covered employers are required to enroll new employees prior to reporting wages for the new employees using IPERS’ employer self-service Internet application. Enrollment information shall include, but is not limited to, the following: member’s name, social security number, date of birth, date of hire, occupation code, gender, mailing address, and employer identification number. When an employee terminates employment with a covered employer, the employer shall provide the termination date and the date of the employee’s final paycheck.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495—4.8</w:t>
      </w:r>
      <w:r>
        <w:rPr>
          <w:rFonts w:ascii="Times New Roman" w:hAnsi="Times New Roman"/>
          <w:b/>
          <w:i w:val="false"/>
          <w:color w:val="000000"/>
          <w:sz w:val="22"/>
        </w:rPr>
        <w:t xml:space="preserve">(97B) </w:t>
      </w:r>
      <w:r>
        <w:rPr>
          <w:rFonts w:ascii="Times New Roman" w:hAnsi="Times New Roman"/>
          <w:b/>
          <w:i w:val="false"/>
          <w:color w:val="000000"/>
          <w:sz w:val="22"/>
        </w:rPr>
        <w:t xml:space="preserve">Additional employer contributions from employer-mandated reduction in hours or by the exercise of bumping rights to avoid a layoff. </w:t>
      </w:r>
      <w:r>
        <w:rPr>
          <w:rFonts w:ascii="Times New Roman" w:hAnsi="Times New Roman"/>
          <w:b w:val="false"/>
          <w:i w:val="false"/>
          <w:color w:val="000000"/>
          <w:sz w:val="22"/>
        </w:rPr>
        <w:t xml:space="preserve">Rescinded </w:t>
      </w:r>
      <w:r>
        <w:rPr>
          <w:rFonts w:ascii="Times New Roman" w:hAnsi="Times New Roman"/>
          <w:b/>
          <w:i w:val="false"/>
          <w:color w:val="000000"/>
          <w:sz w:val="22"/>
        </w:rPr>
        <w:t>ARC 2981C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3/15/17</w:t>
      </w:r>
      <w:r>
        <w:rPr>
          <w:rFonts w:ascii="Times New Roman" w:hAnsi="Times New Roman"/>
          <w:b w:val="false"/>
          <w:i w:val="false"/>
          <w:color w:val="000000"/>
          <w:sz w:val="22"/>
        </w:rPr>
        <w:t xml:space="preserve">, effective 4/19/17. </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9">
        <w:r>
          <w:rPr>
            <w:rStyle w:val="Hyperlink"/>
            <w:rFonts w:ascii="Times New Roman" w:hAnsi="Times New Roman"/>
            <w:b w:val="false"/>
            <w:i w:val="false"/>
            <w:color w:val="000000"/>
            <w:sz w:val="22"/>
          </w:rPr>
          <w:t>97B.4</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97B.9</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97B.14</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97B.14A</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97B.38</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97B.49A to 97B.49I</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97B.65</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97B.70</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2009 Iowa Acts, chapter 170, section 51</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House File 2518, sections 36 and 41</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5/21/04, Notice 4/14/04—published 6/9/04, effective 7/14/04]</w:t>
      </w:r>
    </w:p>
    <w:p>
      <w:pPr>
        <w:spacing w:before="0" w:after="0"/>
        <w:ind w:left="120"/>
        <w:jc w:val="center"/>
      </w:pPr>
      <w:r>
        <w:rPr>
          <w:rFonts w:ascii="Times New Roman" w:hAnsi="Times New Roman"/>
          <w:b w:val="false"/>
          <w:i w:val="false"/>
          <w:color w:val="000000"/>
          <w:sz w:val="21"/>
        </w:rPr>
        <w:t>[Filed emergency 6/4/04—published 6/23/04, effective 7/1/04]</w:t>
      </w:r>
    </w:p>
    <w:p>
      <w:pPr>
        <w:spacing w:before="0" w:after="0"/>
        <w:ind w:left="120"/>
        <w:jc w:val="center"/>
      </w:pPr>
      <w:r>
        <w:rPr>
          <w:rFonts w:ascii="Times New Roman" w:hAnsi="Times New Roman"/>
          <w:b w:val="false"/>
          <w:i w:val="false"/>
          <w:color w:val="000000"/>
          <w:sz w:val="21"/>
        </w:rPr>
        <w:t>[Filed 7/30/04, Notice 6/23/04—published 8/18/04, effective 9/22/04]</w:t>
      </w:r>
    </w:p>
    <w:p>
      <w:pPr>
        <w:spacing w:before="0" w:after="0"/>
        <w:ind w:left="120"/>
        <w:jc w:val="center"/>
      </w:pPr>
      <w:r>
        <w:rPr>
          <w:rFonts w:ascii="Times New Roman" w:hAnsi="Times New Roman"/>
          <w:b w:val="false"/>
          <w:i w:val="false"/>
          <w:color w:val="000000"/>
          <w:sz w:val="21"/>
        </w:rPr>
        <w:t>[Filed 11/5/04, Notice 9/15/04—published 11/24/04, effective 12/29/04]</w:t>
      </w:r>
    </w:p>
    <w:p>
      <w:pPr>
        <w:spacing w:before="0" w:after="0"/>
        <w:ind w:left="120"/>
        <w:jc w:val="center"/>
      </w:pPr>
      <w:r>
        <w:rPr>
          <w:rFonts w:ascii="Times New Roman" w:hAnsi="Times New Roman"/>
          <w:b w:val="false"/>
          <w:i w:val="false"/>
          <w:color w:val="000000"/>
          <w:sz w:val="21"/>
        </w:rPr>
        <w:t>[Filed 5/6/05, Notice 3/30/05—published 5/25/05, effective 7/1/05]</w:t>
      </w:r>
    </w:p>
    <w:p>
      <w:pPr>
        <w:spacing w:before="0" w:after="0"/>
        <w:ind w:left="120"/>
        <w:jc w:val="center"/>
      </w:pPr>
      <w:r>
        <w:rPr>
          <w:rFonts w:ascii="Times New Roman" w:hAnsi="Times New Roman"/>
          <w:b w:val="false"/>
          <w:i w:val="false"/>
          <w:color w:val="000000"/>
          <w:sz w:val="21"/>
        </w:rPr>
        <w:t>[Filed 12/1/05, Notice 10/26/05—published 12/21/05, effective 1/25/06]</w:t>
      </w:r>
    </w:p>
    <w:p>
      <w:pPr>
        <w:spacing w:before="0" w:after="0"/>
        <w:ind w:left="120"/>
        <w:jc w:val="center"/>
      </w:pPr>
      <w:r>
        <w:rPr>
          <w:rFonts w:ascii="Times New Roman" w:hAnsi="Times New Roman"/>
          <w:b w:val="false"/>
          <w:i w:val="false"/>
          <w:color w:val="000000"/>
          <w:sz w:val="21"/>
        </w:rPr>
        <w:t>[Filed 4/7/06, Notice 3/1/06—published 4/26/06, effective 5/31/06]</w:t>
      </w:r>
    </w:p>
    <w:p>
      <w:pPr>
        <w:spacing w:before="0" w:after="0"/>
        <w:ind w:left="120"/>
        <w:jc w:val="center"/>
      </w:pPr>
      <w:r>
        <w:rPr>
          <w:rFonts w:ascii="Times New Roman" w:hAnsi="Times New Roman"/>
          <w:b w:val="false"/>
          <w:i w:val="false"/>
          <w:color w:val="000000"/>
          <w:sz w:val="21"/>
        </w:rPr>
        <w:t>[Filed 11/3/06, Notice 9/27/06—published 11/22/06, effective 12/27/06]</w:t>
      </w:r>
    </w:p>
    <w:p>
      <w:pPr>
        <w:spacing w:before="0" w:after="0"/>
        <w:ind w:left="120"/>
        <w:jc w:val="center"/>
      </w:pPr>
      <w:r>
        <w:rPr>
          <w:rFonts w:ascii="Times New Roman" w:hAnsi="Times New Roman"/>
          <w:b w:val="false"/>
          <w:i w:val="false"/>
          <w:color w:val="000000"/>
          <w:sz w:val="21"/>
        </w:rPr>
        <w:t>[Filed 5/3/07, Notice 3/28/07—published 5/23/07, effective 6/27/07]</w:t>
      </w:r>
    </w:p>
    <w:p>
      <w:pPr>
        <w:spacing w:before="0" w:after="0"/>
        <w:ind w:left="120"/>
        <w:jc w:val="center"/>
      </w:pPr>
      <w:r>
        <w:rPr>
          <w:rFonts w:ascii="Times New Roman" w:hAnsi="Times New Roman"/>
          <w:b w:val="false"/>
          <w:i w:val="false"/>
          <w:color w:val="000000"/>
          <w:sz w:val="21"/>
        </w:rPr>
        <w:t>[Filed 3/7/08, Notice 1/2/08—published 3/26/08, effective 4/30/08]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7591B</w:t>
      </w:r>
      <w:r>
        <w:rPr>
          <w:rFonts w:ascii="Times New Roman" w:hAnsi="Times New Roman"/>
          <w:b w:val="false"/>
          <w:i w:val="false"/>
          <w:color w:val="000000"/>
          <w:sz w:val="21"/>
        </w:rPr>
        <w:t xml:space="preserve"> (Notice ARC 7453B, IAB 12/31/08)</w:t>
      </w:r>
      <w:r>
        <w:rPr>
          <w:rFonts w:ascii="Times New Roman" w:hAnsi="Times New Roman"/>
          <w:b w:val="false"/>
          <w:i w:val="false"/>
          <w:color w:val="000000"/>
          <w:sz w:val="21"/>
        </w:rPr>
        <w:t>, IAB 2/25/09, effective 7/1/09]</w:t>
      </w:r>
    </w:p>
    <w:p>
      <w:pPr>
        <w:spacing w:before="0" w:after="0"/>
        <w:ind w:left="120"/>
        <w:jc w:val="center"/>
      </w:pPr>
      <w:r>
        <w:rPr>
          <w:rFonts w:ascii="Times New Roman" w:hAnsi="Times New Roman"/>
          <w:b w:val="false"/>
          <w:i w:val="false"/>
          <w:color w:val="000000"/>
          <w:sz w:val="21"/>
        </w:rPr>
        <w:t>[Filed Emergency ARC 7759B, IAB 5/6/09, effective 4/17/09]</w:t>
      </w:r>
    </w:p>
    <w:p>
      <w:pPr>
        <w:spacing w:before="0" w:after="0"/>
        <w:ind w:left="120"/>
        <w:jc w:val="center"/>
      </w:pPr>
      <w:r>
        <w:rPr>
          <w:rFonts w:ascii="Times New Roman" w:hAnsi="Times New Roman"/>
          <w:b w:val="false"/>
          <w:i w:val="false"/>
          <w:color w:val="000000"/>
          <w:sz w:val="21"/>
        </w:rPr>
        <w:t>[Filed ARC 7916B</w:t>
      </w:r>
      <w:r>
        <w:rPr>
          <w:rFonts w:ascii="Times New Roman" w:hAnsi="Times New Roman"/>
          <w:b w:val="false"/>
          <w:i w:val="false"/>
          <w:color w:val="000000"/>
          <w:sz w:val="21"/>
        </w:rPr>
        <w:t xml:space="preserve"> (Notice ARC 7760B, IAB 5/6/09)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8601B</w:t>
      </w:r>
      <w:r>
        <w:rPr>
          <w:rFonts w:ascii="Times New Roman" w:hAnsi="Times New Roman"/>
          <w:b w:val="false"/>
          <w:i w:val="false"/>
          <w:color w:val="000000"/>
          <w:sz w:val="21"/>
        </w:rPr>
        <w:t xml:space="preserve"> (Notice ARC 8477B, IAB 1/13/10)</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Emergency ARC 8929B, IAB 7/14/10, effective 6/21/10]</w:t>
      </w:r>
    </w:p>
    <w:p>
      <w:pPr>
        <w:spacing w:before="0" w:after="0"/>
        <w:ind w:left="120"/>
        <w:jc w:val="center"/>
      </w:pPr>
      <w:r>
        <w:rPr>
          <w:rFonts w:ascii="Times New Roman" w:hAnsi="Times New Roman"/>
          <w:b w:val="false"/>
          <w:i w:val="false"/>
          <w:color w:val="000000"/>
          <w:sz w:val="21"/>
        </w:rPr>
        <w:t>[Filed ARC 9068B</w:t>
      </w:r>
      <w:r>
        <w:rPr>
          <w:rFonts w:ascii="Times New Roman" w:hAnsi="Times New Roman"/>
          <w:b w:val="false"/>
          <w:i w:val="false"/>
          <w:color w:val="000000"/>
          <w:sz w:val="21"/>
        </w:rPr>
        <w:t xml:space="preserve"> (Notice ARC 8928B, IAB 7/14/10)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9397B</w:t>
      </w:r>
      <w:r>
        <w:rPr>
          <w:rFonts w:ascii="Times New Roman" w:hAnsi="Times New Roman"/>
          <w:b w:val="false"/>
          <w:i w:val="false"/>
          <w:color w:val="000000"/>
          <w:sz w:val="21"/>
        </w:rPr>
        <w:t xml:space="preserve"> (Notice ARC 9310B, IAB 12/29/10)</w:t>
      </w:r>
      <w:r>
        <w:rPr>
          <w:rFonts w:ascii="Times New Roman" w:hAnsi="Times New Roman"/>
          <w:b w:val="false"/>
          <w:i w:val="false"/>
          <w:color w:val="000000"/>
          <w:sz w:val="21"/>
        </w:rPr>
        <w:t>, IAB 2/23/11, effective 3/30/11]</w:t>
      </w:r>
    </w:p>
    <w:p>
      <w:pPr>
        <w:spacing w:before="0" w:after="0"/>
        <w:ind w:left="120"/>
        <w:jc w:val="center"/>
      </w:pPr>
      <w:r>
        <w:rPr>
          <w:rFonts w:ascii="Times New Roman" w:hAnsi="Times New Roman"/>
          <w:b w:val="false"/>
          <w:i w:val="false"/>
          <w:color w:val="000000"/>
          <w:sz w:val="21"/>
        </w:rPr>
        <w:t>[Filed ARC 0017C</w:t>
      </w:r>
      <w:r>
        <w:rPr>
          <w:rFonts w:ascii="Times New Roman" w:hAnsi="Times New Roman"/>
          <w:b w:val="false"/>
          <w:i w:val="false"/>
          <w:color w:val="000000"/>
          <w:sz w:val="21"/>
        </w:rPr>
        <w:t xml:space="preserve"> (Notice ARC 9951B, IAB 12/28/11)</w:t>
      </w:r>
      <w:r>
        <w:rPr>
          <w:rFonts w:ascii="Times New Roman" w:hAnsi="Times New Roman"/>
          <w:b w:val="false"/>
          <w:i w:val="false"/>
          <w:color w:val="000000"/>
          <w:sz w:val="21"/>
        </w:rPr>
        <w:t>, IAB 2/22/12, effective 3/28/12]</w:t>
      </w:r>
    </w:p>
    <w:p>
      <w:pPr>
        <w:spacing w:before="0" w:after="0"/>
        <w:ind w:left="120"/>
        <w:jc w:val="center"/>
      </w:pPr>
      <w:r>
        <w:rPr>
          <w:rFonts w:ascii="Times New Roman" w:hAnsi="Times New Roman"/>
          <w:b w:val="false"/>
          <w:i w:val="false"/>
          <w:color w:val="000000"/>
          <w:sz w:val="21"/>
        </w:rPr>
        <w:t>[Filed ARC 0662C</w:t>
      </w:r>
      <w:r>
        <w:rPr>
          <w:rFonts w:ascii="Times New Roman" w:hAnsi="Times New Roman"/>
          <w:b w:val="false"/>
          <w:i w:val="false"/>
          <w:color w:val="000000"/>
          <w:sz w:val="21"/>
        </w:rPr>
        <w:t xml:space="preserve"> (Notice ARC 0598C, IAB 2/6/13)</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1348C</w:t>
      </w:r>
      <w:r>
        <w:rPr>
          <w:rFonts w:ascii="Times New Roman" w:hAnsi="Times New Roman"/>
          <w:b w:val="false"/>
          <w:i w:val="false"/>
          <w:color w:val="000000"/>
          <w:sz w:val="21"/>
        </w:rPr>
        <w:t xml:space="preserve"> (Notice ARC 1256C, IAB 12/25/13)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1887C</w:t>
      </w:r>
      <w:r>
        <w:rPr>
          <w:rFonts w:ascii="Times New Roman" w:hAnsi="Times New Roman"/>
          <w:b w:val="false"/>
          <w:i w:val="false"/>
          <w:color w:val="000000"/>
          <w:sz w:val="21"/>
        </w:rPr>
        <w:t xml:space="preserve"> (Notice ARC 1800C, IAB 12/24/14)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[Filed ARC 2402C</w:t>
      </w:r>
      <w:r>
        <w:rPr>
          <w:rFonts w:ascii="Times New Roman" w:hAnsi="Times New Roman"/>
          <w:b w:val="false"/>
          <w:i w:val="false"/>
          <w:color w:val="000000"/>
          <w:sz w:val="21"/>
        </w:rPr>
        <w:t xml:space="preserve"> (Notice ARC 2331C, IAB 12/23/15)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2981C</w:t>
      </w:r>
      <w:r>
        <w:rPr>
          <w:rFonts w:ascii="Times New Roman" w:hAnsi="Times New Roman"/>
          <w:b w:val="false"/>
          <w:i w:val="false"/>
          <w:color w:val="000000"/>
          <w:sz w:val="21"/>
        </w:rPr>
        <w:t xml:space="preserve"> (Notice ARC 2892C,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3684C</w:t>
      </w:r>
      <w:r>
        <w:rPr>
          <w:rFonts w:ascii="Times New Roman" w:hAnsi="Times New Roman"/>
          <w:b w:val="false"/>
          <w:i w:val="false"/>
          <w:color w:val="000000"/>
          <w:sz w:val="21"/>
        </w:rPr>
        <w:t xml:space="preserve"> (Notice ARC 3537C,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4337C</w:t>
      </w:r>
      <w:r>
        <w:rPr>
          <w:rFonts w:ascii="Times New Roman" w:hAnsi="Times New Roman"/>
          <w:b w:val="false"/>
          <w:i w:val="false"/>
          <w:color w:val="000000"/>
          <w:sz w:val="21"/>
        </w:rPr>
        <w:t xml:space="preserve"> (Notice ARC 4238C,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5027C</w:t>
      </w:r>
      <w:r>
        <w:rPr>
          <w:rFonts w:ascii="Times New Roman" w:hAnsi="Times New Roman"/>
          <w:b w:val="false"/>
          <w:i w:val="false"/>
          <w:color w:val="000000"/>
          <w:sz w:val="21"/>
        </w:rPr>
        <w:t xml:space="preserve"> (Notice ARC 4925C,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5489C</w:t>
      </w:r>
      <w:r>
        <w:rPr>
          <w:rFonts w:ascii="Times New Roman" w:hAnsi="Times New Roman"/>
          <w:b w:val="false"/>
          <w:i w:val="false"/>
          <w:color w:val="000000"/>
          <w:sz w:val="21"/>
        </w:rPr>
        <w:t xml:space="preserve"> (Notice ARC 5359C, IAB 12/30/20)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6215C</w:t>
      </w:r>
      <w:r>
        <w:rPr>
          <w:rFonts w:ascii="Times New Roman" w:hAnsi="Times New Roman"/>
          <w:b w:val="false"/>
          <w:i w:val="false"/>
          <w:color w:val="000000"/>
          <w:sz w:val="21"/>
        </w:rPr>
        <w:t xml:space="preserve"> (Notice ARC 6117C, IAB 12/29/21)</w:t>
      </w:r>
      <w:r>
        <w:rPr>
          <w:rFonts w:ascii="Times New Roman" w:hAnsi="Times New Roman"/>
          <w:b w:val="false"/>
          <w:i w:val="false"/>
          <w:color w:val="000000"/>
          <w:sz w:val="21"/>
        </w:rPr>
        <w:t>, IAB 2/23/22, effective 3/30/22]</w:t>
      </w:r>
    </w:p>
    <w:p>
      <w:pPr>
        <w:spacing w:before="0" w:after="0"/>
        <w:ind w:left="120"/>
        <w:jc w:val="center"/>
      </w:pPr>
      <w:r>
        <w:rPr>
          <w:rFonts w:ascii="Times New Roman" w:hAnsi="Times New Roman"/>
          <w:b w:val="false"/>
          <w:i w:val="false"/>
          <w:color w:val="000000"/>
          <w:sz w:val="21"/>
        </w:rPr>
        <w:t>[Filed ARC 6949C</w:t>
      </w:r>
      <w:r>
        <w:rPr>
          <w:rFonts w:ascii="Times New Roman" w:hAnsi="Times New Roman"/>
          <w:b w:val="false"/>
          <w:i w:val="false"/>
          <w:color w:val="000000"/>
          <w:sz w:val="21"/>
        </w:rPr>
        <w:t xml:space="preserve"> (Notice ARC 6823C, IAB 1/11/23)</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7811C</w:t>
      </w:r>
      <w:r>
        <w:rPr>
          <w:rFonts w:ascii="Times New Roman" w:hAnsi="Times New Roman"/>
          <w:b w:val="false"/>
          <w:i w:val="false"/>
          <w:color w:val="000000"/>
          <w:sz w:val="21"/>
        </w:rPr>
        <w:t xml:space="preserve"> (Notice ARC 7648C, IAB 2/21/24)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9287C</w:t>
      </w:r>
      <w:r>
        <w:rPr>
          <w:rFonts w:ascii="Times New Roman" w:hAnsi="Times New Roman"/>
          <w:b w:val="false"/>
          <w:i w:val="false"/>
          <w:color w:val="000000"/>
          <w:sz w:val="21"/>
        </w:rPr>
        <w:t xml:space="preserve"> (Notice ARC 9046C, IAB 3/19/25)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7B.pdf" Type="http://schemas.openxmlformats.org/officeDocument/2006/relationships/hyperlink" Id="rId5"/>
    <Relationship TargetMode="External" Target="https://www.legis.iowa.gov/docs/ico/chapter/229.19.pdf" Type="http://schemas.openxmlformats.org/officeDocument/2006/relationships/hyperlink" Id="rId6"/>
    <Relationship TargetMode="External" Target="https://www.legis.iowa.gov/docs/iac/rule/495.4.3.pdf" Type="http://schemas.openxmlformats.org/officeDocument/2006/relationships/hyperlink" Id="rId7"/>
    <Relationship TargetMode="External" Target="https://www.legis.iowa.gov/docs/iac/rule/495.4.3.pdf" Type="http://schemas.openxmlformats.org/officeDocument/2006/relationships/hyperlink" Id="rId8"/>
    <Relationship TargetMode="External" Target="https://www.legis.iowa.gov/docs/iac/rule/495.4.3.pdf" Type="http://schemas.openxmlformats.org/officeDocument/2006/relationships/hyperlink" Id="rId9"/>
    <Relationship TargetMode="External" Target="https://www.legis.iowa.gov/docs/iac/rule/495.4.3.pdf" Type="http://schemas.openxmlformats.org/officeDocument/2006/relationships/hyperlink" Id="rId10"/>
    <Relationship TargetMode="External" Target="https://www.legis.iowa.gov/docs/iac/rule/495.4.3.pdf" Type="http://schemas.openxmlformats.org/officeDocument/2006/relationships/hyperlink" Id="rId11"/>
    <Relationship TargetMode="External" Target="https://www.legis.iowa.gov/docs/iac/rule/495.4.3.pdf" Type="http://schemas.openxmlformats.org/officeDocument/2006/relationships/hyperlink" Id="rId12"/>
    <Relationship TargetMode="External" Target="https://www.legis.iowa.gov/docs/iac/rule/495.4.3.pdf" Type="http://schemas.openxmlformats.org/officeDocument/2006/relationships/hyperlink" Id="rId13"/>
    <Relationship TargetMode="External" Target="https://www.legis.iowa.gov/docs/ico/chapter/97B.70.pdf" Type="http://schemas.openxmlformats.org/officeDocument/2006/relationships/hyperlink" Id="rId14"/>
    <Relationship TargetMode="External" Target="https://www.legis.iowa.gov/docs/iac/rule/495.9.5.pdf" Type="http://schemas.openxmlformats.org/officeDocument/2006/relationships/hyperlink" Id="rId15"/>
    <Relationship TargetMode="External" Target="https://www.legis.iowa.gov/docs/ico/chapter/97B.9.pdf" Type="http://schemas.openxmlformats.org/officeDocument/2006/relationships/hyperlink" Id="rId16"/>
    <Relationship TargetMode="External" Target="https://www.legis.iowa.gov/docs/iac/rule/495.4.3.pdf" Type="http://schemas.openxmlformats.org/officeDocument/2006/relationships/hyperlink" Id="rId17"/>
    <Relationship TargetMode="External" Target="https://www.legis.iowa.gov/docs/ico/chapter/97B.70.pdf" Type="http://schemas.openxmlformats.org/officeDocument/2006/relationships/hyperlink" Id="rId18"/>
    <Relationship TargetMode="External" Target="https://www.legis.iowa.gov/docs/ico/chapter/350.5.pdf" Type="http://schemas.openxmlformats.org/officeDocument/2006/relationships/hyperlink" Id="rId19"/>
    <Relationship TargetMode="External" Target="https://www.legis.iowa.gov/docs/ico/chapter/456A.13.pdf" Type="http://schemas.openxmlformats.org/officeDocument/2006/relationships/hyperlink" Id="rId20"/>
    <Relationship TargetMode="External" Target="https://www.legis.iowa.gov/docs/ico/chapter/400.pdf" Type="http://schemas.openxmlformats.org/officeDocument/2006/relationships/hyperlink" Id="rId21"/>
    <Relationship TargetMode="External" Target="https://www.legis.iowa.gov/docs/ico/chapter/410.pdf" Type="http://schemas.openxmlformats.org/officeDocument/2006/relationships/hyperlink" Id="rId22"/>
    <Relationship TargetMode="External" Target="https://www.legis.iowa.gov/docs/ico/chapter/411.pdf" Type="http://schemas.openxmlformats.org/officeDocument/2006/relationships/hyperlink" Id="rId23"/>
    <Relationship TargetMode="External" Target="https://www.legis.iowa.gov/docs/iac/rule/495.5.1.pdf" Type="http://schemas.openxmlformats.org/officeDocument/2006/relationships/hyperlink" Id="rId24"/>
    <Relationship TargetMode="External" Target="https://www.legis.iowa.gov/docs/ico/chapter/97B.49B.pdf" Type="http://schemas.openxmlformats.org/officeDocument/2006/relationships/hyperlink" Id="rId25"/>
    <Relationship TargetMode="External" Target="https://www.legis.iowa.gov/docs/ico/chapter/97B.49B.pdf" Type="http://schemas.openxmlformats.org/officeDocument/2006/relationships/hyperlink" Id="rId26"/>
    <Relationship TargetMode="External" Target="https://www.legis.iowa.gov/docs/ico/chapter/97B.49B.pdf" Type="http://schemas.openxmlformats.org/officeDocument/2006/relationships/hyperlink" Id="rId27"/>
    <Relationship TargetMode="External" Target="https://www.legis.iowa.gov/docs/iac/rule/495.12.4.pdf" Type="http://schemas.openxmlformats.org/officeDocument/2006/relationships/hyperlink" Id="rId28"/>
    <Relationship TargetMode="External" Target="https://www.legis.iowa.gov/docs/ico/chapter/400.pdf" Type="http://schemas.openxmlformats.org/officeDocument/2006/relationships/hyperlink" Id="rId29"/>
    <Relationship TargetMode="External" Target="https://www.legis.iowa.gov/docs/ico/chapter/8A.pdf" Type="http://schemas.openxmlformats.org/officeDocument/2006/relationships/hyperlink" Id="rId30"/>
    <Relationship TargetMode="External" Target="https://www.legis.iowa.gov/docs/ico/chapter/321.477.pdf" Type="http://schemas.openxmlformats.org/officeDocument/2006/relationships/hyperlink" Id="rId31"/>
    <Relationship TargetMode="External" Target="https://www.legis.iowa.gov/docs/ico/chapter/97A.pdf" Type="http://schemas.openxmlformats.org/officeDocument/2006/relationships/hyperlink" Id="rId32"/>
    <Relationship TargetMode="External" Target="https://www.legis.iowa.gov/docs/ico/chapter/507E.8.pdf" Type="http://schemas.openxmlformats.org/officeDocument/2006/relationships/hyperlink" Id="rId33"/>
    <Relationship TargetMode="External" Target="https://www.legis.iowa.gov/docs/ico/chapter/906.2.pdf" Type="http://schemas.openxmlformats.org/officeDocument/2006/relationships/hyperlink" Id="rId34"/>
    <Relationship TargetMode="External" Target="https://www.legis.iowa.gov/docs/ico/chapter/262.13.pdf" Type="http://schemas.openxmlformats.org/officeDocument/2006/relationships/hyperlink" Id="rId35"/>
    <Relationship TargetMode="External" Target="https://www.legis.iowa.gov/docs/ico/chapter/97B.65.pdf" Type="http://schemas.openxmlformats.org/officeDocument/2006/relationships/hyperlink" Id="rId36"/>
    <Relationship TargetMode="External" Target="https://www.legis.iowa.gov/docs/ico/chapter/97B.49C.pdf" Type="http://schemas.openxmlformats.org/officeDocument/2006/relationships/hyperlink" Id="rId37"/>
    <Relationship TargetMode="External" Target="https://www.legis.iowa.gov/docs/ico/chapter/97B.49C.pdf" Type="http://schemas.openxmlformats.org/officeDocument/2006/relationships/hyperlink" Id="rId38"/>
    <Relationship TargetMode="External" Target="https://www.legis.iowa.gov/docs/ico/chapter/97B.4.pdf" Type="http://schemas.openxmlformats.org/officeDocument/2006/relationships/hyperlink" Id="rId39"/>
    <Relationship TargetMode="External" Target="https://www.legis.iowa.gov/docs/ico/chapter/97B.9.pdf" Type="http://schemas.openxmlformats.org/officeDocument/2006/relationships/hyperlink" Id="rId40"/>
    <Relationship TargetMode="External" Target="https://www.legis.iowa.gov/docs/ico/chapter/97B.14.pdf" Type="http://schemas.openxmlformats.org/officeDocument/2006/relationships/hyperlink" Id="rId41"/>
    <Relationship TargetMode="External" Target="https://www.legis.iowa.gov/docs/ico/chapter/97B.14A.pdf" Type="http://schemas.openxmlformats.org/officeDocument/2006/relationships/hyperlink" Id="rId42"/>
    <Relationship TargetMode="External" Target="https://www.legis.iowa.gov/docs/ico/chapter/97B.38.pdf" Type="http://schemas.openxmlformats.org/officeDocument/2006/relationships/hyperlink" Id="rId43"/>
    <Relationship TargetMode="External" Target="https://www.legis.iowa.gov/docs/ico/chapter/97B.49A-49I.pdf" Type="http://schemas.openxmlformats.org/officeDocument/2006/relationships/hyperlink" Id="rId44"/>
    <Relationship TargetMode="External" Target="https://www.legis.iowa.gov/docs/ico/chapter/97B.65.pdf" Type="http://schemas.openxmlformats.org/officeDocument/2006/relationships/hyperlink" Id="rId45"/>
    <Relationship TargetMode="External" Target="https://www.legis.iowa.gov/docs/ico/chapter/97B.70.pdf" Type="http://schemas.openxmlformats.org/officeDocument/2006/relationships/hyperlink" Id="rId4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