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495—31.1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Iowa Public Employees’ Retirement System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ind w:left="120"/>
        <w:jc w:val="both"/>
      </w:pPr>
      <w:r>
        <w:rPr>
          <w:rFonts w:ascii="Times New Roman" w:hAnsi="Times New Roman"/>
          <w:b/>
          <w:i w:val="false"/>
          <w:color w:val="000000"/>
          <w:sz w:val="22"/>
        </w:rPr>
        <w:t>495—31.2</w:t>
      </w:r>
      <w:r>
        <w:rPr>
          <w:rFonts w:ascii="Times New Roman" w:hAnsi="Times New Roman"/>
          <w:b/>
          <w:i w:val="false"/>
          <w:color w:val="000000"/>
          <w:sz w:val="22"/>
        </w:rPr>
        <w:t xml:space="preserve">(17A,ExecOrd80) </w:t>
      </w:r>
      <w:r>
        <w:rPr>
          <w:rFonts w:ascii="Times New Roman" w:hAnsi="Times New Roman"/>
          <w:b/>
          <w:i w:val="false"/>
          <w:color w:val="000000"/>
          <w:sz w:val="22"/>
        </w:rPr>
        <w:t xml:space="preserve">Advice on possible rules before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IPERS shall designate the benefits advisory committee (BAC), and investment board as applicable, as the stakeholder rule-making group, pursuant to the rules for creation, public notice, procedures, public input, and results as outlined in </w:t>
      </w:r>
    </w:p>
    <w:p>
      <w:pPr>
        <w:spacing w:before="0" w:after="0"/>
        <w:ind w:left="120"/>
        <w:jc w:val="both"/>
      </w:pPr>
      <w:r>
        <w:rPr>
          <w:rFonts w:ascii="Times New Roman" w:hAnsi="Times New Roman"/>
          <w:b w:val="false"/>
          <w:i w:val="false"/>
          <w:color w:val="000000"/>
          <w:sz w:val="22"/>
        </w:rPr>
        <w:t>Executive Order Number 80</w:t>
      </w:r>
    </w:p>
    <w:p>
      <w:pPr>
        <w:spacing w:before="0" w:after="0"/>
        <w:ind w:left="120"/>
        <w:jc w:val="both"/>
      </w:pPr>
      <w:r>
        <w:rPr>
          <w:rFonts w:ascii="Times New Roman" w:hAnsi="Times New Roman"/>
          <w:b w:val="false"/>
          <w:i w:val="false"/>
          <w:color w:val="000000"/>
          <w:sz w:val="22"/>
        </w:rPr>
        <w:t xml:space="preserve">. The stakeholder group shall review and comment on any proposed rule changes before the rules are considered to be pending, as defined in subrule </w:t>
      </w:r>
      <w:hyperlink r:id="rId6">
        <w:r>
          <w:rPr>
            <w:rStyle w:val="Hyperlink"/>
            <w:rFonts w:ascii="Times New Roman" w:hAnsi="Times New Roman"/>
            <w:b w:val="false"/>
            <w:i w:val="false"/>
            <w:color w:val="000000"/>
            <w:sz w:val="22"/>
          </w:rPr>
          <w:t>31.3(2)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by any reasonable means on a subject matter of possible rule making by the agency. Notwithstanding the foregoing, except as otherwise provided by law, the agency may use its own experience, specialized knowledge, and judgment in the adoption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495—31.3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effective date of the rule.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dates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Rule-making Internet site. </w:t>
      </w:r>
      <w:r>
        <w:rPr>
          <w:rFonts w:ascii="Times New Roman" w:hAnsi="Times New Roman"/>
          <w:b w:val="false"/>
          <w:i w:val="false"/>
          <w:color w:val="000000"/>
          <w:sz w:val="22"/>
        </w:rPr>
        <w:t xml:space="preserve">The agency will maintain a page on its Internet site, and its rules filings will appear on the state of Iowa’s Iowa administrative rules Internet site, pursuant to the requirements of Iowa Code section </w:t>
      </w:r>
      <w:hyperlink r:id="rId9">
        <w:r>
          <w:rPr>
            <w:rStyle w:val="Hyperlink"/>
            <w:rFonts w:ascii="Times New Roman" w:hAnsi="Times New Roman"/>
            <w:b w:val="false"/>
            <w:i w:val="false"/>
            <w:color w:val="000000"/>
            <w:sz w:val="22"/>
          </w:rPr>
          <w:t>17A.6A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495—31.4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and the reason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principal reasons for the agency’s failure to provide for a waiver in a rule and the reasons for overruling considerations urged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request an oral proceeding on the proposed rule if the notice does not already provide for 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fiscal impact statement as described under rule </w:t>
      </w:r>
      <w:hyperlink r:id="rId10">
        <w:r>
          <w:rPr>
            <w:rStyle w:val="Hyperlink"/>
            <w:rFonts w:ascii="Times New Roman" w:hAnsi="Times New Roman"/>
            <w:b w:val="false"/>
            <w:i w:val="false"/>
            <w:color w:val="000000"/>
            <w:sz w:val="22"/>
          </w:rPr>
          <w:t>495—31.7</w:t>
        </w:r>
      </w:hyperlink>
      <w:r>
        <w:rPr>
          <w:rFonts w:ascii="Times New Roman" w:hAnsi="Times New Roman"/>
          <w:b w:val="false"/>
          <w:i w:val="false"/>
          <w:color w:val="000000"/>
          <w:sz w:val="22"/>
        </w:rPr>
        <w:t>(17A,25B).</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an interested person, the agency shall issue a concise statement of the principal reasons for and against the rule adopted, pursuant to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12">
        <w:r>
          <w:rPr>
            <w:rStyle w:val="Hyperlink"/>
            <w:rFonts w:ascii="Times New Roman" w:hAnsi="Times New Roman"/>
            <w:b w:val="false"/>
            <w:i w:val="false"/>
            <w:color w:val="000000"/>
            <w:sz w:val="22"/>
          </w:rPr>
          <w:t>subrule 31.12(2)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 xml:space="preserve">The agency shall submit a copy of the notice to the chairpersons and ranking members of the appropriate standing committees of the general assembly as required by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495—31.5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a Notice of Intended Action, persons may submit arguments, data, and views, in writing, on the subject matter of the published notice. Such written submissions should identify each proposed rule to which they relate and should be submitted to the person and address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Notice of Intended Action. The agency shall schedule an oral proceeding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Notice of Intended Action may be held at IPERS, 7401 Register Drive, Des Moines, Iowa, and shall not be held earlier than 20 days after notice of its location and time is published in the Iowa Administrative Bulletin. That notice shall also identify the applicable Notice of Intended Action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through an employee of the agency, who is familiar with the substance of the rules proposed in the Notice of Intended Action, shall preside at the oral proceeding. The presiding officer shall record the oral proceeding and archive the recorded record at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Notice of Intended Action, persons may make oral statements and make documentary and physical submissions, which may include data, views, comments or arguments concerning the subject matter of the rules proposed in the Notice of Intended Action.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an oral proceeding, the presiding officer shall give a brief synopsis of the subject matter of the rules proposed in the Notice of Intended Action, a statement of the statutory authority for each proposed rule, and the reasons for the agency’s decision to propose each rule. The presiding officer may place time limitations on individual oral presentations when necessary to ensure the orderly and expeditious conduct of an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an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according to the provisions of this rule, the agency may obtain information concerning its proposed rules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person designated in the Notice of Intended Action at the telephone number or address provided in the Notice of Intended Action in advance of the proceeding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495—31.6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5">
        <w:r>
          <w:rPr>
            <w:rStyle w:val="Hyperlink"/>
            <w:rFonts w:ascii="Times New Roman" w:hAnsi="Times New Roman"/>
            <w:b w:val="false"/>
            <w:i w:val="false"/>
            <w:color w:val="000000"/>
            <w:sz w:val="22"/>
          </w:rPr>
          <w:t>17A.4A(8)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IPERS, 7401 Register Dr., P.O. Box 9117, Des Moines, Iowa 50306-9117.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17">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18">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Iowa Code section </w:t>
      </w:r>
      <w:hyperlink r:id="rId19">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Iowa Code section </w:t>
      </w:r>
      <w:hyperlink r:id="rId20">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21">
        <w:r>
          <w:rPr>
            <w:rStyle w:val="Hyperlink"/>
            <w:rFonts w:ascii="Times New Roman" w:hAnsi="Times New Roman"/>
            <w:b w:val="false"/>
            <w:i w:val="false"/>
            <w:color w:val="000000"/>
            <w:sz w:val="22"/>
          </w:rPr>
          <w:t>17A.4A(2)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17A.4A(5) and </w:t>
        </w:r>
      </w:hyperlink>
      <w:hyperlink r:id="rId23">
        <w:r>
          <w:rPr>
            <w:rStyle w:val="Hyperlink"/>
            <w:rFonts w:ascii="Times New Roman" w:hAnsi="Times New Roman"/>
            <w:b w:val="false"/>
            <w:i w:val="false"/>
            <w:color w:val="000000"/>
            <w:sz w:val="22"/>
          </w:rPr>
          <w:t>17A.4A(6)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Iowa Code section </w:t>
      </w:r>
      <w:hyperlink r:id="rId24">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5">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6">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495—31.7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or combined expenditures of at least $500,000 within five years by all affected political subdivisions, the agency itself, or agencies and entities which contract with political subdivisions to provide services shall be accompanied by a fiscal impact statement outlining the costs associated with the rule. A fiscal impact statement shall satisfy the requirements of Iowa Code section </w:t>
      </w:r>
      <w:hyperlink r:id="rId27">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If the agency determines at the time it adopts a rule that the fiscal impact statement upon which the rule is based contains errors, the agency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495—31.8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495—31.9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The agency shall not adopt a rule that differs from the rule proposed in a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should have understood that the rule making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or the issues determined by the adopted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adopted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val="false"/>
          <w:color w:val="000000"/>
          <w:sz w:val="22"/>
        </w:rPr>
        <w:t>The agency shall commence a rule-making proceeding within 60 days of its receipt of a petition for rule making seeking the amendment or repeal of an adopted rule that differs from the proposed rule contained in the Notice of Intended Action upon which the adopted rule is based, unless the agency finds that the differences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sets aside the discretion of the agency to initiate, concurrently, several different rule-making proceedings on the same subject each with its appropriate Notice of Intended Action.</w:t>
      </w:r>
    </w:p>
    <w:p>
      <w:pPr>
        <w:spacing w:before="0" w:after="0"/>
        <w:ind w:left="120"/>
        <w:jc w:val="both"/>
      </w:pPr>
      <w:r>
        <w:rPr>
          <w:rFonts w:ascii="Times New Roman" w:hAnsi="Times New Roman"/>
          <w:b/>
          <w:i w:val="false"/>
          <w:color w:val="000000"/>
          <w:sz w:val="22"/>
        </w:rPr>
        <w:t>495—31.10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or set of rules, the agency may adopt that rule or set of rules without publishing advance Notice of Intended Action in the Iowa Administrative Bulletin and without providing for written or oral public submissions prior to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that implement nondiscretionary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that implement nondiscretionary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implementing contribution rates recommended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Minor changes such as grammar, punctuation, spelling and other scrivener’s errors that are otherwise nonsubstantive and serve only to make a correction;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categories added to this list by rule making where such an exemption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adopted in reliance upon </w:t>
      </w:r>
      <w:hyperlink r:id="rId28">
        <w:r>
          <w:rPr>
            <w:rStyle w:val="Hyperlink"/>
            <w:rFonts w:ascii="Times New Roman" w:hAnsi="Times New Roman"/>
            <w:b w:val="false"/>
            <w:i w:val="false"/>
            <w:color w:val="000000"/>
            <w:sz w:val="22"/>
          </w:rPr>
          <w:t>subrule 31.10(1)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w:t>
      </w:r>
      <w:hyperlink r:id="rId29">
        <w:r>
          <w:rPr>
            <w:rStyle w:val="Hyperlink"/>
            <w:rFonts w:ascii="Times New Roman" w:hAnsi="Times New Roman"/>
            <w:b w:val="false"/>
            <w:i w:val="false"/>
            <w:color w:val="000000"/>
            <w:sz w:val="22"/>
          </w:rPr>
          <w:t>subrule 31.10(1)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A rule-making proceeding on that rule must be commenced within 60 days of the receipt of such a petition. After a standard rule-making proceeding commenced pursuant to this subrule, the agency may either readopt the rule it adopted without benefit of all usual procedures on the basis of subrule </w:t>
      </w:r>
      <w:hyperlink r:id="rId30">
        <w:r>
          <w:rPr>
            <w:rStyle w:val="Hyperlink"/>
            <w:rFonts w:ascii="Times New Roman" w:hAnsi="Times New Roman"/>
            <w:b w:val="false"/>
            <w:i w:val="false"/>
            <w:color w:val="000000"/>
            <w:sz w:val="22"/>
          </w:rPr>
          <w:t>31.10(1)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495—31.11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must be in writing and be delivered to the person designated in the Notice of Intended Action at the address designated in the Notice of Intended Action.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particular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495—31.12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making by the agency shall contain the text of each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31">
        <w:r>
          <w:rPr>
            <w:rStyle w:val="Hyperlink"/>
            <w:rFonts w:ascii="Times New Roman" w:hAnsi="Times New Roman"/>
            <w:b w:val="false"/>
            <w:i w:val="false"/>
            <w:color w:val="000000"/>
            <w:sz w:val="22"/>
          </w:rPr>
          <w:t>17A.4A(1)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1999, if the agency has not included the subject matter of the proposed rule in a separate rule listing categories of rules for which no waiver provision will be included, a brief explanation of the principal reasons for the failure to provide for waivers to the rule if no waiver provision is included and a brief explanation of any waivers or special exceptions provided in the rule if such reasons are required by Iowa Code section </w:t>
      </w:r>
      <w:hyperlink r:id="rId32">
        <w:r>
          <w:rPr>
            <w:rStyle w:val="Hyperlink"/>
            <w:rFonts w:ascii="Times New Roman" w:hAnsi="Times New Roman"/>
            <w:b w:val="false"/>
            <w:i w:val="false"/>
            <w:color w:val="000000"/>
            <w:sz w:val="22"/>
          </w:rPr>
          <w:t>17A.4A(1)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material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material by location, title, citation, date, and edition, if any; and may state that the proposed or adopted rule includes any later amendments or editions of the proposed material that are binding on the agency by state or federal law or regulation. The agency may incorporate such material by reference in a proposed or adopted rule if copies are readily available to the public at the agency’s headquarters. The agency shall retain permanently a copy of materials that are incorporated by reference in a rule. Copies of incorporated material may be obtained at cost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ensure that copies of the full text are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495—31.13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The agency shall maintain for each separate rule making an index listing and summarizing the rules being proposed, adopted, amended or repealed. In addition, the agency shall maintain a rule-making record as described in subrule </w:t>
      </w:r>
      <w:hyperlink r:id="rId33">
        <w:r>
          <w:rPr>
            <w:rStyle w:val="Hyperlink"/>
            <w:rFonts w:ascii="Times New Roman" w:hAnsi="Times New Roman"/>
            <w:b w:val="false"/>
            <w:i w:val="false"/>
            <w:color w:val="000000"/>
            <w:sz w:val="22"/>
          </w:rPr>
          <w:t>31.13(2)</w:t>
        </w:r>
      </w:hyperlink>
      <w:r>
        <w:rPr>
          <w:rFonts w:ascii="Times New Roman" w:hAnsi="Times New Roman"/>
          <w:b w:val="false"/>
          <w:i w:val="false"/>
          <w:color w:val="000000"/>
          <w:sz w:val="22"/>
        </w:rPr>
        <w:t xml:space="preserve"> for each separate rule making that it proposes, adopts, or terminates under the provisions of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this chapter. These indices and rule-making records, including materials incorporated by reference, are available for public inspection at IPERS’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31.13(2)</w:t>
      </w:r>
      <w:r>
        <w:rPr>
          <w:rFonts w:ascii="Times New Roman" w:hAnsi="Times New Roman"/>
          <w:b w:val="false"/>
          <w:i w:val="false"/>
          <w:color w:val="000000"/>
          <w:sz w:val="22"/>
        </w:rPr>
        <w:t> </w:t>
      </w:r>
      <w:r>
        <w:rPr>
          <w:rFonts w:ascii="Times New Roman" w:hAnsi="Times New Roman"/>
          <w:b w:val="false"/>
          <w:i/>
          <w:color w:val="000000"/>
          <w:sz w:val="22"/>
        </w:rPr>
        <w:t xml:space="preserve">Contents of rule-making record. </w:t>
      </w:r>
      <w:r>
        <w:rPr>
          <w:rFonts w:ascii="Times New Roman" w:hAnsi="Times New Roman"/>
          <w:b w:val="false"/>
          <w:i w:val="false"/>
          <w:color w:val="000000"/>
          <w:sz w:val="22"/>
        </w:rPr>
        <w:t xml:space="preserve">The agency shall maintain a file containing the indices from each separate rule making that it proposes, adopts, or terminates under the provisions of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this chapter. This file shall also include information showing the date of publication in the Iowa Administrative Bulletin and ARC number where each applicable rule making was published. Each separate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a rule making and any file-stamped copies of agency submissions to the administrative rules coordinator concerning the rule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written petitions for declaratory orders, all requests for rule makings, all submissions by a governmental subdivision, the administrative rules review committee, an agency, the administrative rules coordinator, an association having not less than 25 members, or at least 25 persons, and all other written materials of a factual nature as distinguished from opinion that are relevant to the merits of the rule and that were created or compiled by the agency and considered in connection with the formulation, proposal, or adoption of a rule or the proceeding upon which a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rule-making proceedings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rule-making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filed pursuant to Iowa Code section </w:t>
      </w:r>
      <w:hyperlink r:id="rId3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a rule filed by the administrative rules review committee, the governor, or the attorney general pursuant to Iowa Code section </w:t>
      </w:r>
      <w:hyperlink r:id="rId3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such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criticism of the rule, including a summary of any petitions for waiver of a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The agency shall maintain the rule-making record for a period of not less than five years from the date the rules to which it pertains became effective.</w:t>
      </w:r>
    </w:p>
    <w:p>
      <w:pPr>
        <w:spacing w:before="210" w:after="0"/>
        <w:ind w:left="120"/>
        <w:jc w:val="both"/>
      </w:pPr>
      <w:r>
        <w:rPr>
          <w:rFonts w:ascii="Times New Roman" w:hAnsi="Times New Roman"/>
          <w:b/>
          <w:i w:val="false"/>
          <w:color w:val="000000"/>
          <w:sz w:val="22"/>
        </w:rPr>
        <w:t>495—31.14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were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i w:val="false"/>
          <w:color w:val="000000"/>
          <w:sz w:val="22"/>
        </w:rPr>
        <w:t>495—31.15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w:t>
      </w:r>
    </w:p>
    <w:p>
      <w:pPr>
        <w:spacing w:before="0" w:after="0"/>
        <w:ind w:left="120"/>
        <w:jc w:val="both"/>
      </w:pPr>
      <w:r>
        <w:rPr>
          <w:rFonts w:ascii="Times New Roman" w:hAnsi="Times New Roman"/>
          <w:b w:val="false"/>
          <w:i w:val="false"/>
          <w:color w:val="000000"/>
          <w:sz w:val="22"/>
        </w:rPr>
        <w:t>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38">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shall include in that rule a statement describing the reasonable efforts that will be used to comply with the requirements of this subrule.</w:t>
      </w:r>
    </w:p>
    <w:p>
      <w:pPr>
        <w:spacing w:before="0" w:after="0"/>
        <w:ind w:left="120"/>
        <w:jc w:val="both"/>
      </w:pPr>
      <w:r>
        <w:rPr>
          <w:rFonts w:ascii="Times New Roman" w:hAnsi="Times New Roman"/>
          <w:b/>
          <w:i w:val="false"/>
          <w:color w:val="000000"/>
          <w:sz w:val="22"/>
        </w:rPr>
        <w:t>495—31.16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40">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41">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subrule shall not be relied on by the agency to the detriment of any person who does not have actual, timely knowledge of the contents of the statement until the requirements of </w:t>
      </w:r>
      <w:hyperlink r:id="rId42">
        <w:r>
          <w:rPr>
            <w:rStyle w:val="Hyperlink"/>
            <w:rFonts w:ascii="Times New Roman" w:hAnsi="Times New Roman"/>
            <w:b w:val="false"/>
            <w:i w:val="false"/>
            <w:color w:val="000000"/>
            <w:sz w:val="22"/>
          </w:rPr>
          <w:t>subrule 31.16(1)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495—31.17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31.17(1)</w:t>
      </w:r>
      <w:r>
        <w:rPr>
          <w:rFonts w:ascii="Times New Roman" w:hAnsi="Times New Roman"/>
          <w:b w:val="false"/>
          <w:i w:val="false"/>
          <w:color w:val="000000"/>
          <w:sz w:val="22"/>
        </w:rPr>
        <w:t> </w:t>
      </w:r>
      <w:r>
        <w:rPr>
          <w:rFonts w:ascii="Times New Roman" w:hAnsi="Times New Roman"/>
          <w:b w:val="false"/>
          <w:i/>
          <w:color w:val="000000"/>
          <w:sz w:val="22"/>
        </w:rPr>
        <w:t xml:space="preserve">Periodic comprehensive reviews. </w:t>
      </w:r>
      <w:r>
        <w:rPr>
          <w:rFonts w:ascii="Times New Roman" w:hAnsi="Times New Roman"/>
          <w:b w:val="false"/>
          <w:i w:val="false"/>
          <w:color w:val="000000"/>
          <w:sz w:val="22"/>
        </w:rPr>
        <w:t xml:space="preserve">Beginning July 1, 2012, over each five-year period of time, the agency shall conduct an ongoing and comprehensive review of all of its rules, to identify and eliminate all rules of the agency that are outdated, redundant, or inconsistent or incompatible with the federal tax law requirements for a qualified plan, statute or its own rules or that of other agencies, pursuant to Iowa Code section </w:t>
      </w:r>
      <w:hyperlink r:id="rId43">
        <w:r>
          <w:rPr>
            <w:rStyle w:val="Hyperlink"/>
            <w:rFonts w:ascii="Times New Roman" w:hAnsi="Times New Roman"/>
            <w:b w:val="false"/>
            <w:i w:val="false"/>
            <w:color w:val="000000"/>
            <w:sz w:val="22"/>
          </w:rPr>
          <w:t>17A.7(2)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31.17(2)</w:t>
      </w:r>
      <w:r>
        <w:rPr>
          <w:rFonts w:ascii="Times New Roman" w:hAnsi="Times New Roman"/>
          <w:b w:val="false"/>
          <w:i w:val="false"/>
          <w:color w:val="000000"/>
          <w:sz w:val="22"/>
        </w:rPr>
        <w:t> </w:t>
      </w:r>
      <w:r>
        <w:rPr>
          <w:rFonts w:ascii="Times New Roman" w:hAnsi="Times New Roman"/>
          <w:b w:val="false"/>
          <w:i/>
          <w:color w:val="000000"/>
          <w:sz w:val="22"/>
        </w:rPr>
        <w:t xml:space="preserve">Petition for adoption, amendment or repeal of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interested person may petition the agency requesting the adoption, amendment, or repeal of a rule. The agency shall prescribe by rule the form for petitions and the procedure for their submission, consideration, and disposition, pursuant to Iowa Code section </w:t>
      </w:r>
      <w:hyperlink r:id="rId44">
        <w:r>
          <w:rPr>
            <w:rStyle w:val="Hyperlink"/>
            <w:rFonts w:ascii="Times New Roman" w:hAnsi="Times New Roman"/>
            <w:b w:val="false"/>
            <w:i w:val="false"/>
            <w:color w:val="000000"/>
            <w:sz w:val="22"/>
          </w:rPr>
          <w:t>17A.7(1)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31.17(3)</w:t>
      </w:r>
      <w:r>
        <w:rPr>
          <w:rFonts w:ascii="Times New Roman" w:hAnsi="Times New Roman"/>
          <w:b w:val="false"/>
          <w:i w:val="false"/>
          <w:color w:val="000000"/>
          <w:sz w:val="22"/>
        </w:rPr>
        <w:t> </w:t>
      </w:r>
      <w:r>
        <w:rPr>
          <w:rFonts w:ascii="Times New Roman" w:hAnsi="Times New Roman"/>
          <w:b w:val="false"/>
          <w:i/>
          <w:color w:val="000000"/>
          <w:sz w:val="22"/>
        </w:rPr>
        <w:t xml:space="preserve">Report responsive to request for review.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must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must also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80 of 2012</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495.31.3.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17A.6A.pdf" Type="http://schemas.openxmlformats.org/officeDocument/2006/relationships/hyperlink" Id="rId9"/>
    <Relationship TargetMode="External" Target="https://www.legis.iowa.gov/docs/iac/rule/495.31.7.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ac/rule/495.31.12.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17A.4A.pdf" Type="http://schemas.openxmlformats.org/officeDocument/2006/relationships/hyperlink" Id="rId22"/>
    <Relationship TargetMode="External" Target="https://www.legis.iowa.gov/docs/ico/chapter/17A.4A.pdf" Type="http://schemas.openxmlformats.org/officeDocument/2006/relationships/hyperlink" Id="rId23"/>
    <Relationship TargetMode="External" Target="https://www.legis.iowa.gov/docs/ico/chapter/17A.4A.pdf" Type="http://schemas.openxmlformats.org/officeDocument/2006/relationships/hyperlink" Id="rId24"/>
    <Relationship TargetMode="External" Target="https://www.legis.iowa.gov/docs/ico/chapter/17A.4A.pdf" Type="http://schemas.openxmlformats.org/officeDocument/2006/relationships/hyperlink" Id="rId25"/>
    <Relationship TargetMode="External" Target="https://www.legis.iowa.gov/docs/ico/chapter/17A.4A.pdf" Type="http://schemas.openxmlformats.org/officeDocument/2006/relationships/hyperlink" Id="rId26"/>
    <Relationship TargetMode="External" Target="https://www.legis.iowa.gov/docs/ico/chapter/25B.6.pdf" Type="http://schemas.openxmlformats.org/officeDocument/2006/relationships/hyperlink" Id="rId27"/>
    <Relationship TargetMode="External" Target="https://www.legis.iowa.gov/docs/iac/rule/495.31.10.pdf" Type="http://schemas.openxmlformats.org/officeDocument/2006/relationships/hyperlink" Id="rId28"/>
    <Relationship TargetMode="External" Target="https://www.legis.iowa.gov/docs/iac/rule/495.31.10.pdf" Type="http://schemas.openxmlformats.org/officeDocument/2006/relationships/hyperlink" Id="rId29"/>
    <Relationship TargetMode="External" Target="https://www.legis.iowa.gov/docs/iac/rule/495.31.10.pdf" Type="http://schemas.openxmlformats.org/officeDocument/2006/relationships/hyperlink" Id="rId30"/>
    <Relationship TargetMode="External" Target="https://www.legis.iowa.gov/docs/ico/chapter/17A.4A.pdf" Type="http://schemas.openxmlformats.org/officeDocument/2006/relationships/hyperlink" Id="rId31"/>
    <Relationship TargetMode="External" Target="https://www.legis.iowa.gov/docs/ico/chapter/17A.4A.pdf" Type="http://schemas.openxmlformats.org/officeDocument/2006/relationships/hyperlink" Id="rId32"/>
    <Relationship TargetMode="External" Target="https://www.legis.iowa.gov/docs/iac/rule/495.31.13.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7A.4.pdf" Type="http://schemas.openxmlformats.org/officeDocument/2006/relationships/hyperlink" Id="rId36"/>
    <Relationship TargetMode="External" Target="https://www.legis.iowa.gov/docs/ico/chapter/17A.4.pdf" Type="http://schemas.openxmlformats.org/officeDocument/2006/relationships/hyperlink" Id="rId37"/>
    <Relationship TargetMode="External" Target="https://www.legis.iowa.gov/docs/ico/chapter/17A.5.pdf" Type="http://schemas.openxmlformats.org/officeDocument/2006/relationships/hyperlink" Id="rId38"/>
    <Relationship TargetMode="External" Target="https://www.legis.iowa.gov/docs/ico/chapter/17A.5.pdf" Type="http://schemas.openxmlformats.org/officeDocument/2006/relationships/hyperlink" Id="rId39"/>
    <Relationship TargetMode="External" Target="https://www.legis.iowa.gov/docs/ico/chapter/17A.2.pdf" Type="http://schemas.openxmlformats.org/officeDocument/2006/relationships/hyperlink" Id="rId40"/>
    <Relationship TargetMode="External" Target="https://www.legis.iowa.gov/docs/ico/chapter/17A.2.pdf" Type="http://schemas.openxmlformats.org/officeDocument/2006/relationships/hyperlink" Id="rId41"/>
    <Relationship TargetMode="External" Target="https://www.legis.iowa.gov/docs/iac/rule/495.31.16.pdf" Type="http://schemas.openxmlformats.org/officeDocument/2006/relationships/hyperlink" Id="rId42"/>
    <Relationship TargetMode="External" Target="https://www.legis.iowa.gov/docs/ico/chapter/17A.7.pdf" Type="http://schemas.openxmlformats.org/officeDocument/2006/relationships/hyperlink" Id="rId43"/>
    <Relationship TargetMode="External" Target="https://www.legis.iowa.gov/docs/ico/chapter/17A.7.pdf" Type="http://schemas.openxmlformats.org/officeDocument/2006/relationships/hyperlink" Id="rId44"/>
    <Relationship TargetMode="External" Target="https://www.legis.iowa.gov/docs/ico/chapter/17A.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