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495—30.1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Any person or agency may file a petition for adoption of rules or request for review of rules with the CEO, IPERS, 7401 Register Drive, P.O. Box 9117, Des Moines, Iowa 50306-9117. A petition is deemed filed when it is received by the agency. The agency shall provide the petitioner with a file-stamped copy of the petition if the petitioner provides the agency with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PUBLIC EMPLOYEES’ RETIREMENT SYSTEM (IPERS)</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agency’s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petitioner for a meeting pursuant to </w:t>
      </w:r>
      <w:hyperlink r:id="rId5">
        <w:r>
          <w:rPr>
            <w:rStyle w:val="Hyperlink"/>
            <w:rFonts w:ascii="Times New Roman" w:hAnsi="Times New Roman"/>
            <w:b w:val="false"/>
            <w:i w:val="false"/>
            <w:color w:val="000000"/>
            <w:sz w:val="22"/>
          </w:rPr>
          <w:t>rule 30.4(17A)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agency may deny a petition because it does not substantially conform to the required form.</w:t>
      </w:r>
    </w:p>
    <w:p>
      <w:pPr>
        <w:spacing w:before="210" w:after="0"/>
        <w:ind w:left="120"/>
        <w:jc w:val="both"/>
      </w:pPr>
      <w:r>
        <w:rPr>
          <w:rFonts w:ascii="Times New Roman" w:hAnsi="Times New Roman"/>
          <w:b/>
          <w:i w:val="false"/>
          <w:color w:val="000000"/>
          <w:sz w:val="22"/>
        </w:rPr>
        <w:t>495—30.2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agency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495—30.3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CEO, or designee, at the headquarters of the agency.</w:t>
      </w:r>
    </w:p>
    <w:p>
      <w:pPr>
        <w:spacing w:before="0" w:after="0"/>
        <w:ind w:left="120"/>
        <w:jc w:val="both"/>
      </w:pPr>
      <w:r>
        <w:rPr>
          <w:rFonts w:ascii="Times New Roman" w:hAnsi="Times New Roman"/>
          <w:b/>
          <w:i w:val="false"/>
          <w:color w:val="000000"/>
          <w:sz w:val="22"/>
        </w:rPr>
        <w:t>495—30.4</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The agency may request the petitioner to submit additional information or argument concerning the petition. The agency may also solicit comments from any person on the substance of the petition. Also, comments on the substance of the petition may be submitted to the agency by any person. Upon request by petitioner in the petition, the agency must schedule a brief and informal meeting between the petitioner and the agency to discuss the petition.</w:t>
      </w:r>
    </w:p>
    <w:p>
      <w:pPr>
        <w:spacing w:before="0" w:after="0"/>
        <w:ind w:left="120"/>
        <w:jc w:val="both"/>
      </w:pPr>
      <w:r>
        <w:rPr>
          <w:rFonts w:ascii="Times New Roman" w:hAnsi="Times New Roman"/>
          <w:b w:val="false"/>
          <w:i w:val="false"/>
          <w:color w:val="000000"/>
          <w:sz w:val="22"/>
        </w:rPr>
        <w:t>Copies of the petition and accompanying information shall be submitted by the agency to the administrative rules coordinator and to the administrative rules review committee at the conclusion of the petition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agency must, in writing, deny the petition and notify petitioner of its action and the specific grounds for the denial, or grant the petition and notify petitioner that rule-making proceedings on the subject of the petition have begun. The petitioner shall be deemed notified of the denial or the granting of the petition on the date of notification or mailing by the agency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4/7/06, Notice 3/1/06—published 4/26/06, effective 5/31/06]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5.30.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97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