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APPEALS AND CONTESTED CASES—PROCEEDINGS</w:t>
      </w:r>
    </w:p>
    <w:p>
      <w:pPr>
        <w:spacing w:before="0" w:after="0"/>
        <w:ind w:left="120"/>
        <w:jc w:val="center"/>
      </w:pPr>
      <w:r>
        <w:rPr>
          <w:rFonts w:ascii="Times New Roman" w:hAnsi="Times New Roman"/>
          <w:b w:val="false"/>
          <w:i w:val="false"/>
          <w:color w:val="000000"/>
          <w:sz w:val="14"/>
        </w:rPr>
        <w:t>[Prior to 1/7/04, see 581—21.9]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495—26.1</w:t>
      </w:r>
      <w:r>
        <w:rPr>
          <w:rFonts w:ascii="Times New Roman" w:hAnsi="Times New Roman"/>
          <w:b/>
          <w:i w:val="false"/>
          <w:color w:val="000000"/>
          <w:sz w:val="22"/>
        </w:rPr>
        <w:t xml:space="preserve">(17A,97B)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These rules are applicable to appeals and contested case proceedings conducted by the Iowa Public Employees’ Retirement System.</w:t>
      </w:r>
    </w:p>
    <w:p>
      <w:pPr>
        <w:spacing w:before="0" w:after="0"/>
        <w:ind w:left="120"/>
        <w:jc w:val="both"/>
      </w:pPr>
      <w:r>
        <w:rPr>
          <w:rFonts w:ascii="Times New Roman" w:hAnsi="Times New Roman"/>
          <w:b/>
          <w:i w:val="false"/>
          <w:color w:val="000000"/>
          <w:sz w:val="22"/>
        </w:rPr>
        <w:t>495—26.2</w:t>
      </w:r>
      <w:r>
        <w:rPr>
          <w:rFonts w:ascii="Times New Roman" w:hAnsi="Times New Roman"/>
          <w:b/>
          <w:i w:val="false"/>
          <w:color w:val="000000"/>
          <w:sz w:val="22"/>
        </w:rPr>
        <w:t xml:space="preserve">(17A,97B)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means a dispute, other than a disability claim under Iowa Code section </w:t>
      </w:r>
      <w:hyperlink r:id="rId5">
        <w:r>
          <w:rPr>
            <w:rStyle w:val="Hyperlink"/>
            <w:rFonts w:ascii="Times New Roman" w:hAnsi="Times New Roman"/>
            <w:b w:val="false"/>
            <w:i w:val="false"/>
            <w:color w:val="000000"/>
            <w:sz w:val="22"/>
          </w:rPr>
          <w:t>97B.52A</w:t>
        </w:r>
      </w:hyperlink>
      <w:r>
        <w:rPr>
          <w:rFonts w:ascii="Times New Roman" w:hAnsi="Times New Roman"/>
          <w:b w:val="false"/>
          <w:i w:val="false"/>
          <w:color w:val="000000"/>
          <w:sz w:val="22"/>
        </w:rPr>
        <w:t>, of an agency decision or action. An appeal shall be conducted as a contested case if IPERS has issued its final agency decision and if the aggrieved party wishes to continue in the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6">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7">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an administrative law judge provided by the department of inspections and appeals.</w:t>
      </w:r>
    </w:p>
    <w:p>
      <w:pPr>
        <w:spacing w:before="0" w:after="0"/>
        <w:ind w:left="120"/>
        <w:jc w:val="both"/>
      </w:pPr>
      <w:r>
        <w:rPr>
          <w:rFonts w:ascii="Times New Roman" w:hAnsi="Times New Roman"/>
          <w:b/>
          <w:i w:val="false"/>
          <w:color w:val="000000"/>
          <w:sz w:val="22"/>
        </w:rPr>
        <w:t>495—26.3</w:t>
      </w:r>
      <w:r>
        <w:rPr>
          <w:rFonts w:ascii="Times New Roman" w:hAnsi="Times New Roman"/>
          <w:b/>
          <w:i w:val="false"/>
          <w:color w:val="000000"/>
          <w:sz w:val="22"/>
        </w:rPr>
        <w:t xml:space="preserve">(17A,97B)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who wishes to appeal a decision by IPERS, other than a disability claim pursuant to Iowa Code section </w:t>
      </w:r>
      <w:hyperlink r:id="rId8">
        <w:r>
          <w:rPr>
            <w:rStyle w:val="Hyperlink"/>
            <w:rFonts w:ascii="Times New Roman" w:hAnsi="Times New Roman"/>
            <w:b w:val="false"/>
            <w:i w:val="false"/>
            <w:color w:val="000000"/>
            <w:sz w:val="22"/>
          </w:rPr>
          <w:t>97B.50A</w:t>
        </w:r>
      </w:hyperlink>
      <w:r>
        <w:rPr>
          <w:rFonts w:ascii="Times New Roman" w:hAnsi="Times New Roman"/>
          <w:b w:val="false"/>
          <w:i w:val="false"/>
          <w:color w:val="000000"/>
          <w:sz w:val="22"/>
        </w:rPr>
        <w:t>, shall, within 30 days after notification was mailed to the party’s last-known address, file with IPERS a notice of appeal in writing setting forth: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member identification number of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reference to the decision from which the appeal is being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fact that an appeal from the decision is being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grounds upon which the appeal is based;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evidence necessary to support the appeal.</w:t>
      </w:r>
    </w:p>
    <w:p>
      <w:pPr>
        <w:spacing w:before="0" w:after="0"/>
        <w:ind w:left="120"/>
        <w:jc w:val="both"/>
      </w:pPr>
      <w:r>
        <w:rPr>
          <w:rFonts w:ascii="Times New Roman" w:hAnsi="Times New Roman"/>
          <w:b w:val="false"/>
          <w:i w:val="false"/>
          <w:color w:val="000000"/>
          <w:sz w:val="22"/>
        </w:rPr>
        <w:t xml:space="preserve">Upon receipt of the appeal, IPERS shall conduct an internal review of the facts and circumstances involved, in accordance with its appeal review procedure. IPERS shall issue a final agency decision which becomes final unless within 30 days of issuance the member files a request for a contested case proceeding. In determining the date that an appeal or request for a contested case proceeding is filed with IPERS, the following shall apply: An appeal or request for a contested case proceeding delivered by mail shall be deemed to be filed on the postmark date; an appeal or any other document delivered by any other means shall be deemed to be filed on the date of receipt. Upon receipt of a request for contested case proceeding, IPERS shall inform the department of inspections and appeals of the filing and of relevant information pertaining to the case in question. The department of inspections and appeals shall, after issuing proper notice, hold a hearing on the case under the contested cases procedure as described in </w:t>
      </w:r>
      <w:hyperlink r:id="rId9">
        <w:r>
          <w:rPr>
            <w:rStyle w:val="Hyperlink"/>
            <w:rFonts w:ascii="Times New Roman" w:hAnsi="Times New Roman"/>
            <w:b w:val="false"/>
            <w:i w:val="false"/>
            <w:color w:val="000000"/>
            <w:sz w:val="22"/>
          </w:rPr>
          <w:t>26.4</w:t>
        </w:r>
      </w:hyperlink>
      <w:r>
        <w:rPr>
          <w:rFonts w:ascii="Times New Roman" w:hAnsi="Times New Roman"/>
          <w:b w:val="false"/>
          <w:i w:val="false"/>
          <w:color w:val="000000"/>
          <w:sz w:val="22"/>
        </w:rPr>
        <w:t>(17A,97B) and shall affirm, modify, or reverse IPERS’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26.3(2)</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of disability claims under Iowa Code section </w:t>
      </w:r>
      <w:hyperlink r:id="rId10">
        <w:r>
          <w:rPr>
            <w:rStyle w:val="Hyperlink"/>
            <w:rFonts w:ascii="Times New Roman" w:hAnsi="Times New Roman"/>
            <w:b w:val="false"/>
            <w:i w:val="false"/>
            <w:color w:val="000000"/>
            <w:sz w:val="22"/>
          </w:rPr>
          <w:t>97B.50A</w:t>
        </w:r>
      </w:hyperlink>
      <w:r>
        <w:rPr>
          <w:rFonts w:ascii="Times New Roman" w:hAnsi="Times New Roman"/>
          <w:b w:val="false"/>
          <w:i w:val="false"/>
          <w:color w:val="000000"/>
          <w:sz w:val="22"/>
        </w:rPr>
        <w:t xml:space="preserve"> shall be filed and processed as provided under rule </w:t>
      </w:r>
      <w:hyperlink r:id="rId11">
        <w:r>
          <w:rPr>
            <w:rStyle w:val="Hyperlink"/>
            <w:rFonts w:ascii="Times New Roman" w:hAnsi="Times New Roman"/>
            <w:b w:val="false"/>
            <w:i w:val="false"/>
            <w:color w:val="000000"/>
            <w:sz w:val="22"/>
          </w:rPr>
          <w:t>495—13.2</w:t>
        </w:r>
      </w:hyperlink>
      <w:r>
        <w:rPr>
          <w:rFonts w:ascii="Times New Roman" w:hAnsi="Times New Roman"/>
          <w:b w:val="false"/>
          <w:i w:val="false"/>
          <w:color w:val="000000"/>
          <w:sz w:val="22"/>
        </w:rPr>
        <w:t xml:space="preserve">(97B) and, upon exhaustion of that appeal process, shall revert to the procedures set forth in </w:t>
      </w:r>
      <w:hyperlink r:id="rId12">
        <w:r>
          <w:rPr>
            <w:rStyle w:val="Hyperlink"/>
            <w:rFonts w:ascii="Times New Roman" w:hAnsi="Times New Roman"/>
            <w:b w:val="false"/>
            <w:i w:val="false"/>
            <w:color w:val="000000"/>
            <w:sz w:val="22"/>
          </w:rPr>
          <w:t>26.4</w:t>
        </w:r>
      </w:hyperlink>
      <w:r>
        <w:rPr>
          <w:rFonts w:ascii="Times New Roman" w:hAnsi="Times New Roman"/>
          <w:b w:val="false"/>
          <w:i w:val="false"/>
          <w:color w:val="000000"/>
          <w:sz w:val="22"/>
        </w:rPr>
        <w:t>(17A,97B).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495—26.4</w:t>
      </w:r>
      <w:r>
        <w:rPr>
          <w:rFonts w:ascii="Times New Roman" w:hAnsi="Times New Roman"/>
          <w:b/>
          <w:i w:val="false"/>
          <w:color w:val="000000"/>
          <w:sz w:val="22"/>
        </w:rPr>
        <w:t xml:space="preserve">(17A,97B) </w:t>
      </w:r>
      <w:r>
        <w:rPr>
          <w:rFonts w:ascii="Times New Roman" w:hAnsi="Times New Roman"/>
          <w:b/>
          <w:i w:val="false"/>
          <w:color w:val="000000"/>
          <w:sz w:val="22"/>
        </w:rPr>
        <w:t xml:space="preserve">Contested case procedures. </w:t>
      </w:r>
      <w:r>
        <w:rPr>
          <w:rFonts w:ascii="Times New Roman" w:hAnsi="Times New Roman"/>
          <w:b w:val="false"/>
          <w:i w:val="false"/>
          <w:color w:val="000000"/>
          <w:sz w:val="22"/>
        </w:rPr>
        <w:t>Appeals of final agency decisions by IPERS shall be conducted pursuant to the following subrules.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requirements. Time shall be computed as provided in Iowa Code section </w:t>
      </w:r>
      <w:hyperlink r:id="rId13">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rule that specifies a jurisdictional filing deadline. Except for good cause stated in the record, before extending or shortening the time to take any action, the presiding officer shall afford all parties an opportunity to be heard or to file written arguments.</w:t>
      </w:r>
    </w:p>
    <w:p>
      <w:pPr>
        <w:spacing w:before="0" w:after="0"/>
        <w:ind w:left="120"/>
        <w:jc w:val="both"/>
      </w:pPr>
      <w:r>
        <w:rPr>
          <w:rFonts w:ascii="Times New Roman" w:hAnsi="Times New Roman"/>
          <w:b/>
          <w:i w:val="false"/>
          <w:color w:val="000000"/>
          <w:sz w:val="22"/>
        </w:rPr>
        <w:t>495—26.5</w:t>
      </w:r>
      <w:r>
        <w:rPr>
          <w:rFonts w:ascii="Times New Roman" w:hAnsi="Times New Roman"/>
          <w:b/>
          <w:i w:val="false"/>
          <w:color w:val="000000"/>
          <w:sz w:val="22"/>
        </w:rPr>
        <w:t xml:space="preserve">(17A,97B)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Any person claiming an entitlement to a contested case proceeding shall file a written request for such a proceeding within the time specified by the particular rules or statutes governing the subject matter or, in the absence of such law, the time specified in the agency action in question.</w:t>
      </w:r>
    </w:p>
    <w:p>
      <w:pPr>
        <w:spacing w:before="0" w:after="0"/>
        <w:ind w:left="120"/>
        <w:jc w:val="both"/>
      </w:pPr>
      <w:r>
        <w:rPr>
          <w:rFonts w:ascii="Times New Roman" w:hAnsi="Times New Roman"/>
          <w:b w:val="false"/>
          <w:i w:val="false"/>
          <w:color w:val="000000"/>
          <w:sz w:val="22"/>
        </w:rPr>
        <w:t>The request for a contested case proceeding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 the name and address of the requester;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Identify the specific agency action which is disputed;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Where the requester is represented by an attorney, identify the provisions of law or precedent requiring or authorizing the holding of a contested case proceeding in the particular circumstances involved;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Include a short and plain statement of the issues of material fact in dispute.</w:t>
      </w:r>
    </w:p>
    <w:p>
      <w:pPr>
        <w:spacing w:before="0" w:after="0"/>
        <w:ind w:left="120"/>
        <w:jc w:val="both"/>
      </w:pPr>
      <w:r>
        <w:rPr>
          <w:rFonts w:ascii="Times New Roman" w:hAnsi="Times New Roman"/>
          <w:b/>
          <w:i w:val="false"/>
          <w:color w:val="000000"/>
          <w:sz w:val="22"/>
        </w:rPr>
        <w:t>495—26.6</w:t>
      </w:r>
      <w:r>
        <w:rPr>
          <w:rFonts w:ascii="Times New Roman" w:hAnsi="Times New Roman"/>
          <w:b/>
          <w:i w:val="false"/>
          <w:color w:val="000000"/>
          <w:sz w:val="22"/>
        </w:rPr>
        <w:t xml:space="preserve">(17A,97B)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by the department of inspections and appeals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agency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agency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Iowa Code section </w:t>
      </w:r>
      <w:hyperlink r:id="rId14">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 xml:space="preserve"> and rule </w:t>
      </w:r>
      <w:hyperlink r:id="rId15">
        <w:r>
          <w:rPr>
            <w:rStyle w:val="Hyperlink"/>
            <w:rFonts w:ascii="Times New Roman" w:hAnsi="Times New Roman"/>
            <w:b w:val="false"/>
            <w:i w:val="false"/>
            <w:color w:val="000000"/>
            <w:sz w:val="22"/>
          </w:rPr>
          <w:t>26.7</w:t>
        </w:r>
      </w:hyperlink>
      <w:r>
        <w:rPr>
          <w:rFonts w:ascii="Times New Roman" w:hAnsi="Times New Roman"/>
          <w:b w:val="false"/>
          <w:i w:val="false"/>
          <w:color w:val="000000"/>
          <w:sz w:val="22"/>
        </w:rPr>
        <w:t>(17A,97B), that the presiding officer be an administrative law judge.</w:t>
      </w:r>
    </w:p>
    <w:p>
      <w:pPr>
        <w:spacing w:before="210" w:after="0"/>
        <w:ind w:left="120"/>
        <w:jc w:val="both"/>
      </w:pPr>
      <w:r>
        <w:rPr>
          <w:rFonts w:ascii="Times New Roman" w:hAnsi="Times New Roman"/>
          <w:b/>
          <w:i w:val="false"/>
          <w:color w:val="000000"/>
          <w:sz w:val="22"/>
        </w:rPr>
        <w:t>495—26.7</w:t>
      </w:r>
      <w:r>
        <w:rPr>
          <w:rFonts w:ascii="Times New Roman" w:hAnsi="Times New Roman"/>
          <w:b/>
          <w:i w:val="false"/>
          <w:color w:val="000000"/>
          <w:sz w:val="22"/>
        </w:rPr>
        <w:t xml:space="preserve">(17A,97B) </w:t>
      </w:r>
      <w:r>
        <w:rPr>
          <w:rFonts w:ascii="Times New Roman" w:hAnsi="Times New Roman"/>
          <w:b/>
          <w:i w:val="false"/>
          <w:color w:val="000000"/>
          <w:sz w:val="22"/>
        </w:rPr>
        <w:t xml:space="preserve">Presiding officer. </w:t>
      </w:r>
      <w:r>
        <w:rPr>
          <w:rFonts w:ascii="Times New Roman" w:hAnsi="Times New Roman"/>
          <w:b w:val="false"/>
          <w:i w:val="false"/>
          <w:color w:val="000000"/>
          <w:sz w:val="22"/>
        </w:rPr>
        <w:t>The presiding officer for contested cases shall be an administrative law judge employed by the department of inspections and appeals.</w:t>
      </w:r>
    </w:p>
    <w:p>
      <w:pPr>
        <w:spacing w:before="210" w:after="0"/>
        <w:ind w:left="120"/>
        <w:jc w:val="both"/>
      </w:pPr>
      <w:r>
        <w:rPr>
          <w:rFonts w:ascii="Times New Roman" w:hAnsi="Times New Roman"/>
          <w:b/>
          <w:i w:val="false"/>
          <w:color w:val="000000"/>
          <w:sz w:val="22"/>
        </w:rPr>
        <w:t>495—26.8</w:t>
      </w:r>
      <w:r>
        <w:rPr>
          <w:rFonts w:ascii="Times New Roman" w:hAnsi="Times New Roman"/>
          <w:b/>
          <w:i w:val="false"/>
          <w:color w:val="000000"/>
          <w:sz w:val="22"/>
        </w:rPr>
        <w:t xml:space="preserve">(17A,97B)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agency in its discretion may refuse to give effect to such a waiver when it deems the waiver to be inconsistent with the public interest.</w:t>
      </w:r>
    </w:p>
    <w:p>
      <w:pPr>
        <w:spacing w:before="210" w:after="0"/>
        <w:ind w:left="120"/>
        <w:jc w:val="both"/>
      </w:pPr>
      <w:r>
        <w:rPr>
          <w:rFonts w:ascii="Times New Roman" w:hAnsi="Times New Roman"/>
          <w:b/>
          <w:i w:val="false"/>
          <w:color w:val="000000"/>
          <w:sz w:val="22"/>
        </w:rPr>
        <w:t>495—26.9</w:t>
      </w:r>
      <w:r>
        <w:rPr>
          <w:rFonts w:ascii="Times New Roman" w:hAnsi="Times New Roman"/>
          <w:b/>
          <w:i w:val="false"/>
          <w:color w:val="000000"/>
          <w:sz w:val="22"/>
        </w:rPr>
        <w:t xml:space="preserve">(17A,97B)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The presiding officer will determine the location of the parties and witnesses for telephone hearings. The convenience of the witnesses or parties, as well as the nature of the case, will be considered when location is chosen.</w:t>
      </w:r>
    </w:p>
    <w:p>
      <w:pPr>
        <w:spacing w:before="0" w:after="0"/>
        <w:ind w:left="120"/>
        <w:jc w:val="both"/>
      </w:pPr>
      <w:r>
        <w:rPr>
          <w:rFonts w:ascii="Times New Roman" w:hAnsi="Times New Roman"/>
          <w:b/>
          <w:i w:val="false"/>
          <w:color w:val="000000"/>
          <w:sz w:val="22"/>
        </w:rPr>
        <w:t>495—26.10</w:t>
      </w:r>
      <w:r>
        <w:rPr>
          <w:rFonts w:ascii="Times New Roman" w:hAnsi="Times New Roman"/>
          <w:b/>
          <w:i w:val="false"/>
          <w:color w:val="000000"/>
          <w:sz w:val="22"/>
        </w:rPr>
        <w:t xml:space="preserve">(17A,97B)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26.10(1)</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party to the case, or an officer, CEO or designee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 an attorney or legal representative in the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Is known to have an interest that could be substantially affected by the outcome of the case;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6">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subrules </w:t>
      </w:r>
      <w:hyperlink r:id="rId17">
        <w:r>
          <w:rPr>
            <w:rStyle w:val="Hyperlink"/>
            <w:rFonts w:ascii="Times New Roman" w:hAnsi="Times New Roman"/>
            <w:b w:val="false"/>
            <w:i w:val="false"/>
            <w:color w:val="000000"/>
            <w:sz w:val="22"/>
          </w:rPr>
          <w:t>26.10(3)</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26.24(9)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19">
        <w:r>
          <w:rPr>
            <w:rStyle w:val="Hyperlink"/>
            <w:rFonts w:ascii="Times New Roman" w:hAnsi="Times New Roman"/>
            <w:b w:val="false"/>
            <w:i w:val="false"/>
            <w:color w:val="000000"/>
            <w:sz w:val="22"/>
          </w:rPr>
          <w:t>26.10(1)</w:t>
        </w:r>
      </w:hyperlink>
      <w:r>
        <w:rPr>
          <w:rFonts w:ascii="Times New Roman" w:hAnsi="Times New Roman"/>
          <w:b w:val="false"/>
          <w:i w:val="false"/>
          <w:color w:val="000000"/>
          <w:sz w:val="22"/>
        </w:rPr>
        <w:t xml:space="preserve">, the party shall file a motion supported by an affidavit pursuant to Iowa Code section </w:t>
      </w:r>
      <w:hyperlink r:id="rId20">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The motion must be filed as soon as practicable after the reason alleged in the motion becomes known to the party. 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rule </w:t>
      </w:r>
      <w:hyperlink r:id="rId21">
        <w:r>
          <w:rPr>
            <w:rStyle w:val="Hyperlink"/>
            <w:rFonts w:ascii="Times New Roman" w:hAnsi="Times New Roman"/>
            <w:b w:val="false"/>
            <w:i w:val="false"/>
            <w:color w:val="000000"/>
            <w:sz w:val="22"/>
          </w:rPr>
          <w:t>26.26</w:t>
        </w:r>
      </w:hyperlink>
      <w:r>
        <w:rPr>
          <w:rFonts w:ascii="Times New Roman" w:hAnsi="Times New Roman"/>
          <w:b w:val="false"/>
          <w:i w:val="false"/>
          <w:color w:val="000000"/>
          <w:sz w:val="22"/>
        </w:rPr>
        <w:t xml:space="preserve">(17A,97B) and seek a stay under rule </w:t>
      </w:r>
      <w:hyperlink r:id="rId22">
        <w:r>
          <w:rPr>
            <w:rStyle w:val="Hyperlink"/>
            <w:rFonts w:ascii="Times New Roman" w:hAnsi="Times New Roman"/>
            <w:b w:val="false"/>
            <w:i w:val="false"/>
            <w:color w:val="000000"/>
            <w:sz w:val="22"/>
          </w:rPr>
          <w:t>26.30</w:t>
        </w:r>
      </w:hyperlink>
      <w:r>
        <w:rPr>
          <w:rFonts w:ascii="Times New Roman" w:hAnsi="Times New Roman"/>
          <w:b w:val="false"/>
          <w:i w:val="false"/>
          <w:color w:val="000000"/>
          <w:sz w:val="22"/>
        </w:rPr>
        <w:t>(17A,97B).</w:t>
      </w:r>
    </w:p>
    <w:p>
      <w:pPr>
        <w:spacing w:before="0" w:after="0"/>
        <w:ind w:left="120"/>
        <w:jc w:val="both"/>
      </w:pPr>
      <w:r>
        <w:rPr>
          <w:rFonts w:ascii="Times New Roman" w:hAnsi="Times New Roman"/>
          <w:b/>
          <w:i w:val="false"/>
          <w:color w:val="000000"/>
          <w:sz w:val="22"/>
        </w:rPr>
        <w:t>495—26.11</w:t>
      </w:r>
      <w:r>
        <w:rPr>
          <w:rFonts w:ascii="Times New Roman" w:hAnsi="Times New Roman"/>
          <w:b/>
          <w:i w:val="false"/>
          <w:color w:val="000000"/>
          <w:sz w:val="22"/>
        </w:rPr>
        <w:t xml:space="preserve">(17A,97B)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495—26.12</w:t>
      </w:r>
      <w:r>
        <w:rPr>
          <w:rFonts w:ascii="Times New Roman" w:hAnsi="Times New Roman"/>
          <w:b/>
          <w:i w:val="false"/>
          <w:color w:val="000000"/>
          <w:sz w:val="22"/>
        </w:rPr>
        <w:t xml:space="preserve">(17A,97B)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26.12(1)</w:t>
      </w:r>
      <w:r>
        <w:rPr>
          <w:rFonts w:ascii="Times New Roman" w:hAnsi="Times New Roman"/>
          <w:b w:val="false"/>
          <w:i w:val="false"/>
          <w:color w:val="000000"/>
          <w:sz w:val="22"/>
        </w:rPr>
        <w:t>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26.12(2)</w:t>
      </w:r>
      <w:r>
        <w:rPr>
          <w:rFonts w:ascii="Times New Roman" w:hAnsi="Times New Roman"/>
          <w:b w:val="false"/>
          <w:i w:val="false"/>
          <w:color w:val="000000"/>
          <w:sz w:val="22"/>
        </w:rPr>
        <w:t> </w:t>
      </w:r>
      <w:r>
        <w:rPr>
          <w:rFonts w:ascii="Times New Roman" w:hAnsi="Times New Roman"/>
          <w:b w:val="false"/>
          <w:i w:val="false"/>
          <w:color w:val="000000"/>
          <w:sz w:val="22"/>
        </w:rPr>
        <w:t>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petition required in a contested case proceeding shall be filed within 20 days of delivery of the notice of hearing or subsequent order of the presiding officer,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26.12(3)</w:t>
      </w:r>
      <w:r>
        <w:rPr>
          <w:rFonts w:ascii="Times New Roman" w:hAnsi="Times New Roman"/>
          <w:b w:val="false"/>
          <w:i w:val="false"/>
          <w:color w:val="000000"/>
          <w:sz w:val="22"/>
        </w:rPr>
        <w:t> </w:t>
      </w:r>
      <w:r>
        <w:rPr>
          <w:rFonts w:ascii="Times New Roman" w:hAnsi="Times New Roman"/>
          <w:b w:val="false"/>
          <w:i w:val="false"/>
          <w:color w:val="000000"/>
          <w:sz w:val="22"/>
        </w:rPr>
        <w:t>Answer. An answer shall be filed within 20 days of service of the petition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Any allegation in the petition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26.12(4)</w:t>
      </w:r>
      <w:r>
        <w:rPr>
          <w:rFonts w:ascii="Times New Roman" w:hAnsi="Times New Roman"/>
          <w:b w:val="false"/>
          <w:i w:val="false"/>
          <w:color w:val="000000"/>
          <w:sz w:val="22"/>
        </w:rPr>
        <w:t> </w:t>
      </w:r>
      <w:r>
        <w:rPr>
          <w:rFonts w:ascii="Times New Roman" w:hAnsi="Times New Roman"/>
          <w:b w:val="false"/>
          <w:i w:val="false"/>
          <w:color w:val="000000"/>
          <w:sz w:val="22"/>
        </w:rPr>
        <w:t>Amendment. 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i w:val="false"/>
          <w:color w:val="000000"/>
          <w:sz w:val="22"/>
        </w:rPr>
        <w:t>495—26.13</w:t>
      </w:r>
      <w:r>
        <w:rPr>
          <w:rFonts w:ascii="Times New Roman" w:hAnsi="Times New Roman"/>
          <w:b/>
          <w:i w:val="false"/>
          <w:color w:val="000000"/>
          <w:sz w:val="22"/>
        </w:rPr>
        <w:t xml:space="preserve">(17A,97B)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agency, simultaneously with their filing. Except for the original notice of hearing and an application for rehearing as provided in Iowa Code section </w:t>
      </w:r>
      <w:hyperlink r:id="rId23">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the CEO, or designee, IPERS, 7401 Register Drive, P.O. Box 9117, Des Moines, Iowa 50306-9117. All pleadings, motions, documents or other papers that are required to be served upon a party shall be filed simultaneously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CEO, or designee, IPERS, 7401 Register Drive, P.O. Box 9117, Des Moines, Iowa 50306-9117,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pageBreakBefore/>
        <w:spacing w:before="0" w:after="0"/>
        <w:ind w:left="120"/>
        <w:jc w:val="both"/>
      </w:pPr>
    </w:p>
    <w:p>
      <w:pPr>
        <w:spacing w:before="0" w:after="0"/>
        <w:ind w:left="720"/>
        <w:jc w:val="both"/>
      </w:pPr>
      <w:r>
        <w:rPr>
          <w:rFonts w:ascii="Times New Roman" w:hAnsi="Times New Roman"/>
          <w:b w:val="false"/>
          <w:i w:val="false"/>
          <w:color w:val="000000"/>
          <w:sz w:val="22"/>
        </w:rPr>
        <w:t>I certify under penalty of perjury and pursuant to the laws of Iowa that, on (date of mailing), I mailed copies of (describe document) addressed to the (agency office and address) and to the names and addresses of the parties listed below by depositing the same in (a United States post office mailbox with correct postage properly affixed or state interoffice mail).</w:t>
      </w:r>
    </w:p>
    <w:p>
      <w:pPr>
        <w:spacing w:before="0" w:after="0"/>
        <w:ind w:left="720"/>
        <w:jc w:val="both"/>
      </w:pPr>
      <w:r>
        <w:rPr>
          <w:rFonts w:ascii="Times New Roman" w:hAnsi="Times New Roman"/>
          <w:b w:val="false"/>
          <w:i w:val="false"/>
          <w:color w:val="000000"/>
          <w:sz w:val="22"/>
        </w:rPr>
        <w:t>______________(Date) _______________(Signature)</w:t>
      </w:r>
    </w:p>
    <w:p>
      <w:pPr>
        <w:spacing w:before="0" w:after="0"/>
        <w:ind w:left="120"/>
        <w:jc w:val="both"/>
      </w:pPr>
      <w:r>
        <w:rPr>
          <w:rFonts w:ascii="Times New Roman" w:hAnsi="Times New Roman"/>
          <w:b/>
          <w:i w:val="false"/>
          <w:color w:val="000000"/>
          <w:sz w:val="22"/>
        </w:rPr>
        <w:t>495—26.14</w:t>
      </w:r>
      <w:r>
        <w:rPr>
          <w:rFonts w:ascii="Times New Roman" w:hAnsi="Times New Roman"/>
          <w:b/>
          <w:i w:val="false"/>
          <w:color w:val="000000"/>
          <w:sz w:val="22"/>
        </w:rPr>
        <w:t xml:space="preserve">(17A,97B)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subrule </w:t>
      </w:r>
      <w:hyperlink r:id="rId24">
        <w:r>
          <w:rPr>
            <w:rStyle w:val="Hyperlink"/>
            <w:rFonts w:ascii="Times New Roman" w:hAnsi="Times New Roman"/>
            <w:b w:val="false"/>
            <w:i w:val="false"/>
            <w:color w:val="000000"/>
            <w:sz w:val="22"/>
          </w:rPr>
          <w:t>26.14(1)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i w:val="false"/>
          <w:color w:val="000000"/>
          <w:sz w:val="22"/>
        </w:rPr>
        <w:t>495—26.15</w:t>
      </w:r>
      <w:r>
        <w:rPr>
          <w:rFonts w:ascii="Times New Roman" w:hAnsi="Times New Roman"/>
          <w:b/>
          <w:i w:val="false"/>
          <w:color w:val="000000"/>
          <w:sz w:val="22"/>
        </w:rPr>
        <w:t xml:space="preserve">(17A,97B)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agency subpoena shall be issued to a party on request. Such a request must be in writing. In the absence of good cause for permitting later action, a request for a subpoena must be received at least five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ind w:left="120"/>
        <w:jc w:val="both"/>
      </w:pPr>
      <w:r>
        <w:rPr>
          <w:rFonts w:ascii="Times New Roman" w:hAnsi="Times New Roman"/>
          <w:b/>
          <w:i w:val="false"/>
          <w:color w:val="000000"/>
          <w:sz w:val="22"/>
        </w:rPr>
        <w:t>495—26.16</w:t>
      </w:r>
      <w:r>
        <w:rPr>
          <w:rFonts w:ascii="Times New Roman" w:hAnsi="Times New Roman"/>
          <w:b/>
          <w:i w:val="false"/>
          <w:color w:val="000000"/>
          <w:sz w:val="22"/>
        </w:rPr>
        <w:t xml:space="preserve">(17A,97B)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agency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or other time period designated by the agency or presiding officer, prior to the date of hearing unless there is good cause for permitting later action or the time for such action is lengthened or shortened by rule of the agency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26.16(5)</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Motions for summary judgment shall comply with the requirements of Iowa Rule of Civil Procedure 1.981 and shall be subject to disposition according to the requirements of that rule to the extent such requirements are not inconsistent with the provisions of this rule or any other provision of law governing the procedure in contested cases. Motions for summary judgment must be filed and served at least 20 days prior to the scheduled hearing date, or other time period determined by the presiding officer. Any party resisting the motion shall file and serve a resistance within 10 days, unless otherwise ordered by the presiding officer, from the date a copy of the motion was served. The time fixed for hearing or normal submission shall be not less than 20 days after the filing of the motion, unless a shorter time is ordered by the presiding officer. A summary judgment order rendered on all issues in a contested case is subject to rehearing pursuant to </w:t>
      </w:r>
      <w:hyperlink r:id="rId25">
        <w:r>
          <w:rPr>
            <w:rStyle w:val="Hyperlink"/>
            <w:rFonts w:ascii="Times New Roman" w:hAnsi="Times New Roman"/>
            <w:b w:val="false"/>
            <w:i w:val="false"/>
            <w:color w:val="000000"/>
            <w:sz w:val="22"/>
          </w:rPr>
          <w:t>26.29(17A,97B)</w:t>
        </w:r>
      </w:hyperlink>
      <w:r>
        <w:rPr>
          <w:rFonts w:ascii="Times New Roman" w:hAnsi="Times New Roman"/>
          <w:b w:val="false"/>
          <w:i w:val="false"/>
          <w:color w:val="000000"/>
          <w:sz w:val="22"/>
        </w:rPr>
        <w:t xml:space="preserve"> and appeal pursuant to </w:t>
      </w:r>
      <w:hyperlink r:id="rId26">
        <w:r>
          <w:rPr>
            <w:rStyle w:val="Hyperlink"/>
            <w:rFonts w:ascii="Times New Roman" w:hAnsi="Times New Roman"/>
            <w:b w:val="false"/>
            <w:i w:val="false"/>
            <w:color w:val="000000"/>
            <w:sz w:val="22"/>
          </w:rPr>
          <w:t>26.28</w:t>
        </w:r>
      </w:hyperlink>
      <w:r>
        <w:rPr>
          <w:rFonts w:ascii="Times New Roman" w:hAnsi="Times New Roman"/>
          <w:b w:val="false"/>
          <w:i w:val="false"/>
          <w:color w:val="000000"/>
          <w:sz w:val="22"/>
        </w:rPr>
        <w:t>(17A,97B).</w:t>
      </w:r>
    </w:p>
    <w:p>
      <w:pPr>
        <w:spacing w:before="0" w:after="0"/>
        <w:ind w:left="120"/>
        <w:jc w:val="both"/>
      </w:pPr>
      <w:r>
        <w:rPr>
          <w:rFonts w:ascii="Times New Roman" w:hAnsi="Times New Roman"/>
          <w:b/>
          <w:i w:val="false"/>
          <w:color w:val="000000"/>
          <w:sz w:val="22"/>
        </w:rPr>
        <w:t>495—26.17</w:t>
      </w:r>
      <w:r>
        <w:rPr>
          <w:rFonts w:ascii="Times New Roman" w:hAnsi="Times New Roman"/>
          <w:b/>
          <w:i w:val="false"/>
          <w:color w:val="000000"/>
          <w:sz w:val="22"/>
        </w:rPr>
        <w:t xml:space="preserve">(17A,97B)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26.17(1)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w:t>
      </w:r>
    </w:p>
    <w:p>
      <w:pPr>
        <w:spacing w:before="0" w:after="0"/>
        <w:ind w:left="120"/>
        <w:jc w:val="both"/>
      </w:pPr>
      <w:r>
        <w:rPr>
          <w:rFonts w:ascii="Times New Roman" w:hAnsi="Times New Roman"/>
          <w:b w:val="false"/>
          <w:i w:val="false"/>
          <w:color w:val="000000"/>
          <w:sz w:val="22"/>
        </w:rPr>
        <w:t>Written notice of the prehearing conference shall be given by the presiding officer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26.17(2)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26.17(3)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27">
        <w:r>
          <w:rPr>
            <w:rStyle w:val="Hyperlink"/>
            <w:rFonts w:ascii="Times New Roman" w:hAnsi="Times New Roman"/>
            <w:b w:val="false"/>
            <w:i w:val="false"/>
            <w:color w:val="000000"/>
            <w:sz w:val="22"/>
          </w:rPr>
          <w:t>26.17(2)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which the parties intended to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26.17(4)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p>
      <w:pPr>
        <w:spacing w:before="0" w:after="0"/>
        <w:ind w:left="120"/>
        <w:jc w:val="both"/>
      </w:pPr>
      <w:r>
        <w:rPr>
          <w:rFonts w:ascii="Times New Roman" w:hAnsi="Times New Roman"/>
          <w:b/>
          <w:i w:val="false"/>
          <w:color w:val="000000"/>
          <w:sz w:val="22"/>
        </w:rPr>
        <w:t>495—26.18</w:t>
      </w:r>
      <w:r>
        <w:rPr>
          <w:rFonts w:ascii="Times New Roman" w:hAnsi="Times New Roman"/>
          <w:b/>
          <w:i w:val="false"/>
          <w:color w:val="000000"/>
          <w:sz w:val="22"/>
        </w:rPr>
        <w:t xml:space="preserve">(17A,97B)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26.18(1)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agency or presiding officer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26.18(2)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210" w:after="0"/>
        <w:ind w:left="120"/>
        <w:jc w:val="both"/>
      </w:pPr>
      <w:r>
        <w:rPr>
          <w:rFonts w:ascii="Times New Roman" w:hAnsi="Times New Roman"/>
          <w:b/>
          <w:i w:val="false"/>
          <w:color w:val="000000"/>
          <w:sz w:val="22"/>
        </w:rPr>
        <w:t>495—26.19</w:t>
      </w:r>
      <w:r>
        <w:rPr>
          <w:rFonts w:ascii="Times New Roman" w:hAnsi="Times New Roman"/>
          <w:b/>
          <w:i w:val="false"/>
          <w:color w:val="000000"/>
          <w:sz w:val="22"/>
        </w:rPr>
        <w:t xml:space="preserve">(17A,97B)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only in accordance with agency rules. A party requesting withdrawal of an appeal shall do so in writing and submit the request to the CEO or presiding officer, whichever is applicable. Unless otherwise provided, a withdrawal shall be with prejudice.</w:t>
      </w:r>
    </w:p>
    <w:p>
      <w:pPr>
        <w:spacing w:before="0" w:after="0"/>
        <w:ind w:left="120"/>
        <w:jc w:val="both"/>
      </w:pPr>
      <w:r>
        <w:rPr>
          <w:rFonts w:ascii="Times New Roman" w:hAnsi="Times New Roman"/>
          <w:b/>
          <w:i w:val="false"/>
          <w:color w:val="000000"/>
          <w:sz w:val="22"/>
        </w:rPr>
        <w:t>495—26.20</w:t>
      </w:r>
      <w:r>
        <w:rPr>
          <w:rFonts w:ascii="Times New Roman" w:hAnsi="Times New Roman"/>
          <w:b/>
          <w:i w:val="false"/>
          <w:color w:val="000000"/>
          <w:sz w:val="22"/>
        </w:rPr>
        <w:t xml:space="preserve">(17A,97B)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The presiding officer may deny the motion for leave to intervene if not filed timely.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 A person granted leave to intervene is a party to the proceeding. The order granting intervention may restrict the issues that may be raised by the intervenor or otherwise condition the intervenor’s participation in the proceeding.</w:t>
      </w:r>
    </w:p>
    <w:p>
      <w:pPr>
        <w:spacing w:before="0" w:after="0"/>
        <w:ind w:left="120"/>
        <w:jc w:val="both"/>
      </w:pPr>
      <w:r>
        <w:rPr>
          <w:rFonts w:ascii="Times New Roman" w:hAnsi="Times New Roman"/>
          <w:b/>
          <w:i w:val="false"/>
          <w:color w:val="000000"/>
          <w:sz w:val="22"/>
        </w:rPr>
        <w:t>495—26.21</w:t>
      </w:r>
      <w:r>
        <w:rPr>
          <w:rFonts w:ascii="Times New Roman" w:hAnsi="Times New Roman"/>
          <w:b/>
          <w:i w:val="false"/>
          <w:color w:val="000000"/>
          <w:sz w:val="22"/>
        </w:rPr>
        <w:t xml:space="preserve">(17A,97B)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26.21(2)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26.21(3)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 The cost of representation is the responsibility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26.21(4)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26.21(5)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26.21(6)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26.21(7)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i w:val="false"/>
          <w:color w:val="000000"/>
          <w:sz w:val="22"/>
        </w:rPr>
        <w:t>495—26.22</w:t>
      </w:r>
      <w:r>
        <w:rPr>
          <w:rFonts w:ascii="Times New Roman" w:hAnsi="Times New Roman"/>
          <w:b/>
          <w:i w:val="false"/>
          <w:color w:val="000000"/>
          <w:sz w:val="22"/>
        </w:rPr>
        <w:t xml:space="preserve">(17A,97B)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495—26.23</w:t>
      </w:r>
      <w:r>
        <w:rPr>
          <w:rFonts w:ascii="Times New Roman" w:hAnsi="Times New Roman"/>
          <w:b/>
          <w:i w:val="false"/>
          <w:color w:val="000000"/>
          <w:sz w:val="22"/>
        </w:rPr>
        <w:t xml:space="preserve">(17A,97B)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agency action unless, within 15 days after the date of notification or mailing of the decision, a motion to vacate is filed and served on all parties or an appeal of a decision on the merits is timely initiated within the time provided by rule </w:t>
      </w:r>
      <w:hyperlink r:id="rId28">
        <w:r>
          <w:rPr>
            <w:rStyle w:val="Hyperlink"/>
            <w:rFonts w:ascii="Times New Roman" w:hAnsi="Times New Roman"/>
            <w:b w:val="false"/>
            <w:i w:val="false"/>
            <w:color w:val="000000"/>
            <w:sz w:val="22"/>
          </w:rPr>
          <w:t>26.27</w:t>
        </w:r>
      </w:hyperlink>
      <w:r>
        <w:rPr>
          <w:rFonts w:ascii="Times New Roman" w:hAnsi="Times New Roman"/>
          <w:b w:val="false"/>
          <w:i w:val="false"/>
          <w:color w:val="000000"/>
          <w:sz w:val="22"/>
        </w:rPr>
        <w:t>(17A,97B).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Rules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29">
        <w:r>
          <w:rPr>
            <w:rStyle w:val="Hyperlink"/>
            <w:rFonts w:ascii="Times New Roman" w:hAnsi="Times New Roman"/>
            <w:b w:val="false"/>
            <w:i w:val="false"/>
            <w:color w:val="000000"/>
            <w:sz w:val="22"/>
          </w:rPr>
          <w:t>26.26</w:t>
        </w:r>
      </w:hyperlink>
      <w:r>
        <w:rPr>
          <w:rFonts w:ascii="Times New Roman" w:hAnsi="Times New Roman"/>
          <w:b w:val="false"/>
          <w:i w:val="false"/>
          <w:color w:val="000000"/>
          <w:sz w:val="22"/>
        </w:rPr>
        <w:t>(17A,97B).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30">
        <w:r>
          <w:rPr>
            <w:rStyle w:val="Hyperlink"/>
            <w:rFonts w:ascii="Times New Roman" w:hAnsi="Times New Roman"/>
            <w:b w:val="false"/>
            <w:i w:val="false"/>
            <w:color w:val="000000"/>
            <w:sz w:val="22"/>
          </w:rPr>
          <w:t>26.30</w:t>
        </w:r>
      </w:hyperlink>
      <w:r>
        <w:rPr>
          <w:rFonts w:ascii="Times New Roman" w:hAnsi="Times New Roman"/>
          <w:b w:val="false"/>
          <w:i w:val="false"/>
          <w:color w:val="000000"/>
          <w:sz w:val="22"/>
        </w:rPr>
        <w:t>(17A,97B).</w:t>
      </w:r>
    </w:p>
    <w:p>
      <w:pPr>
        <w:spacing w:before="0" w:after="0"/>
        <w:ind w:left="120"/>
        <w:jc w:val="both"/>
      </w:pPr>
      <w:r>
        <w:rPr>
          <w:rFonts w:ascii="Times New Roman" w:hAnsi="Times New Roman"/>
          <w:b/>
          <w:i w:val="false"/>
          <w:color w:val="000000"/>
          <w:sz w:val="22"/>
        </w:rPr>
        <w:t>495—26.24</w:t>
      </w:r>
      <w:r>
        <w:rPr>
          <w:rFonts w:ascii="Times New Roman" w:hAnsi="Times New Roman"/>
          <w:b/>
          <w:i w:val="false"/>
          <w:color w:val="000000"/>
          <w:sz w:val="22"/>
        </w:rPr>
        <w:t xml:space="preserve">(17A,97B)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agency or seeking the advice or help of persons other than those with a personal interest in, or those engaged in personally investigating as defined in subrule </w:t>
      </w:r>
      <w:hyperlink r:id="rId31">
        <w:r>
          <w:rPr>
            <w:rStyle w:val="Hyperlink"/>
            <w:rFonts w:ascii="Times New Roman" w:hAnsi="Times New Roman"/>
            <w:b w:val="false"/>
            <w:i w:val="false"/>
            <w:color w:val="000000"/>
            <w:sz w:val="22"/>
          </w:rPr>
          <w:t>26.10(2)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32">
        <w:r>
          <w:rPr>
            <w:rStyle w:val="Hyperlink"/>
            <w:rFonts w:ascii="Times New Roman" w:hAnsi="Times New Roman"/>
            <w:b w:val="false"/>
            <w:i w:val="false"/>
            <w:color w:val="000000"/>
            <w:sz w:val="22"/>
          </w:rPr>
          <w:t>26.13</w:t>
        </w:r>
      </w:hyperlink>
      <w:r>
        <w:rPr>
          <w:rFonts w:ascii="Times New Roman" w:hAnsi="Times New Roman"/>
          <w:b w:val="false"/>
          <w:i w:val="false"/>
          <w:color w:val="000000"/>
          <w:sz w:val="22"/>
        </w:rPr>
        <w:t>(17A,97B) and may be supplemented by telephone, facsimile, electronic mail or other means of notification. Where permitted, oral communications may be initiated through a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or are a committee assigned to conduct a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CEO, or designee,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subrule </w:t>
      </w:r>
      <w:hyperlink r:id="rId33">
        <w:r>
          <w:rPr>
            <w:rStyle w:val="Hyperlink"/>
            <w:rFonts w:ascii="Times New Roman" w:hAnsi="Times New Roman"/>
            <w:b w:val="false"/>
            <w:i w:val="false"/>
            <w:color w:val="000000"/>
            <w:sz w:val="22"/>
          </w:rPr>
          <w:t>26.24(1)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34">
        <w:r>
          <w:rPr>
            <w:rStyle w:val="Hyperlink"/>
            <w:rFonts w:ascii="Times New Roman" w:hAnsi="Times New Roman"/>
            <w:b w:val="false"/>
            <w:i w:val="false"/>
            <w:color w:val="000000"/>
            <w:sz w:val="22"/>
          </w:rPr>
          <w:t>26.18</w:t>
        </w:r>
      </w:hyperlink>
      <w:r>
        <w:rPr>
          <w:rFonts w:ascii="Times New Roman" w:hAnsi="Times New Roman"/>
          <w:b w:val="false"/>
          <w:i w:val="false"/>
          <w:color w:val="000000"/>
          <w:sz w:val="22"/>
        </w:rPr>
        <w:t>(17A,97B).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while a contested case is pending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and disclosed to all parties having an interest in the contested case.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35">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agency. Violation of ex parte communication prohibitions by agency personnel shall be reported to the CEO or agency general counsel for possible sanctions including censure, suspension, dismissal, or other disciplinary action.</w:t>
      </w:r>
    </w:p>
    <w:p>
      <w:pPr>
        <w:spacing w:before="0" w:after="0"/>
        <w:ind w:left="120"/>
        <w:jc w:val="both"/>
      </w:pPr>
      <w:r>
        <w:rPr>
          <w:rFonts w:ascii="Times New Roman" w:hAnsi="Times New Roman"/>
          <w:b/>
          <w:i w:val="false"/>
          <w:color w:val="000000"/>
          <w:sz w:val="22"/>
        </w:rPr>
        <w:t>495—26.25</w:t>
      </w:r>
      <w:r>
        <w:rPr>
          <w:rFonts w:ascii="Times New Roman" w:hAnsi="Times New Roman"/>
          <w:b/>
          <w:i w:val="false"/>
          <w:color w:val="000000"/>
          <w:sz w:val="22"/>
        </w:rPr>
        <w:t xml:space="preserve">(17A,97B)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agency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reporters rather than by electronic means shall bear the cost of that recordation, unless otherwise provided by law.</w:t>
      </w:r>
    </w:p>
    <w:p>
      <w:pPr>
        <w:spacing w:before="210" w:after="0"/>
        <w:ind w:left="120"/>
        <w:jc w:val="both"/>
      </w:pPr>
      <w:r>
        <w:rPr>
          <w:rFonts w:ascii="Times New Roman" w:hAnsi="Times New Roman"/>
          <w:b/>
          <w:i w:val="false"/>
          <w:color w:val="000000"/>
          <w:sz w:val="22"/>
        </w:rPr>
        <w:t>495—26.26</w:t>
      </w:r>
      <w:r>
        <w:rPr>
          <w:rFonts w:ascii="Times New Roman" w:hAnsi="Times New Roman"/>
          <w:b/>
          <w:i w:val="false"/>
          <w:color w:val="000000"/>
          <w:sz w:val="22"/>
        </w:rPr>
        <w:t xml:space="preserve">(17A,97B)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CEO, or designee, may review an interlocutory order of the presiding officer. In determining whether to do so, the CEO shall weigh the extent to which the granting of the interlocutory appeal would expedite final resolution of the case and the extent to which review of that interlocutory order by the agency at the time it reviews the proposed decision of the presiding officer would provide an adequate remedy. Any request for interlocutory review must be filed within ten days of issuance of the challenged order, but no later than the time for compliance with the order or the date of hearing, whichever is first.</w:t>
      </w:r>
    </w:p>
    <w:p>
      <w:pPr>
        <w:spacing w:before="210" w:after="0"/>
        <w:ind w:left="120"/>
        <w:jc w:val="both"/>
      </w:pPr>
      <w:r>
        <w:rPr>
          <w:rFonts w:ascii="Times New Roman" w:hAnsi="Times New Roman"/>
          <w:b/>
          <w:i w:val="false"/>
          <w:color w:val="000000"/>
          <w:sz w:val="22"/>
        </w:rPr>
        <w:t>495—26.27</w:t>
      </w:r>
      <w:r>
        <w:rPr>
          <w:rFonts w:ascii="Times New Roman" w:hAnsi="Times New Roman"/>
          <w:b/>
          <w:i w:val="false"/>
          <w:color w:val="000000"/>
          <w:sz w:val="22"/>
        </w:rPr>
        <w:t xml:space="preserve">(17A,97B) </w:t>
      </w:r>
      <w:r>
        <w:rPr>
          <w:rFonts w:ascii="Times New Roman" w:hAnsi="Times New Roman"/>
          <w:b/>
          <w:i w:val="false"/>
          <w:color w:val="000000"/>
          <w:sz w:val="22"/>
        </w:rPr>
        <w:t xml:space="preserve">Hearing decision. </w:t>
      </w:r>
      <w:r>
        <w:rPr>
          <w:rFonts w:ascii="Times New Roman" w:hAnsi="Times New Roman"/>
          <w:b w:val="false"/>
          <w:i w:val="false"/>
          <w:color w:val="000000"/>
          <w:sz w:val="22"/>
        </w:rPr>
        <w:t>Following the conclusion of a hearing of an appeal, the administrative law judge within the department of inspections and appeals shall announce the findings of fact and conclusion of law and issue a written decision. The decision shall be signed by the administrative law judge, and filed with IPERS, with a copy mailed to the appellant. This decision shall be deemed final unless, within 30 days after the issuance date of such decision, further appeal is initiated. The issuance date is the date that the decision is signed by the administrative law judge.</w:t>
      </w:r>
    </w:p>
    <w:p>
      <w:pPr>
        <w:spacing w:before="0" w:after="0"/>
        <w:ind w:left="120"/>
        <w:jc w:val="both"/>
      </w:pPr>
      <w:r>
        <w:rPr>
          <w:rFonts w:ascii="Times New Roman" w:hAnsi="Times New Roman"/>
          <w:b/>
          <w:i w:val="false"/>
          <w:color w:val="000000"/>
          <w:sz w:val="22"/>
        </w:rPr>
        <w:t>495—26.28</w:t>
      </w:r>
      <w:r>
        <w:rPr>
          <w:rFonts w:ascii="Times New Roman" w:hAnsi="Times New Roman"/>
          <w:b/>
          <w:i w:val="false"/>
          <w:color w:val="000000"/>
          <w:sz w:val="22"/>
        </w:rPr>
        <w:t xml:space="preserve">(17A,97B) </w:t>
      </w:r>
      <w:r>
        <w:rPr>
          <w:rFonts w:ascii="Times New Roman" w:hAnsi="Times New Roman"/>
          <w:b/>
          <w:i w:val="false"/>
          <w:color w:val="000000"/>
          <w:sz w:val="22"/>
        </w:rPr>
        <w:t xml:space="preserve">Appeal of the hearing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26.28(1)</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written decision of an administrative law judge is initiated by filing a timely notice of appeal with the employment appeal board of the Iowa department of inspections and appeals. In determining the date that a notice of appeal or any other document is filed with the employment appeal board, and subject to applicable exceptions adopted by the employment appeal board, the following shall apply: an appeal or any other document delivered by mail shall be deemed to be filed as of the postmark date; an appeal or any other document delivered by any other means shall be deemed to be filed as of the date that it is received.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26.28(2)</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CEO, or a designee, may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26.28(3)</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employment appeal board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26.28(4)</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14 days thereafter any party may file a responsive brief. Briefs shall cite any applicable legal authority and specify relevant portions of the record in that proceeding. Written requests to present oral argument shall be filed with the briefs. The employment appeal board may resolve the appeal on the briefs or provide an opportunity for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26.28(5)</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The employment appeal board’s decision shall be final and without further review 30 days after the decision is mailed to all interested parties of record unless within 20 days a petition for rehearing is filed with the employment appeal board or within 30 days a petition for judicial review is filed in the appropriate district court. The agency, in its discretion, may also petition the district court for judicial review of questions of law involving any of its decisions. Action brought by the agency for judicial review of its decisions shall be brought in the district court of Polk County, Iowa.</w:t>
      </w:r>
    </w:p>
    <w:p>
      <w:pPr>
        <w:spacing w:before="0" w:after="0"/>
        <w:ind w:left="120"/>
        <w:jc w:val="both"/>
      </w:pPr>
      <w:r>
        <w:rPr>
          <w:rFonts w:ascii="Times New Roman" w:hAnsi="Times New Roman"/>
          <w:b/>
          <w:i w:val="false"/>
          <w:color w:val="000000"/>
          <w:sz w:val="22"/>
        </w:rPr>
        <w:t>495—26.29</w:t>
      </w:r>
      <w:r>
        <w:rPr>
          <w:rFonts w:ascii="Times New Roman" w:hAnsi="Times New Roman"/>
          <w:b/>
          <w:i w:val="false"/>
          <w:color w:val="000000"/>
          <w:sz w:val="22"/>
        </w:rPr>
        <w:t xml:space="preserve">(17A,97B)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26.29(1)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26.29(2)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agency decision on the existing record and whether, on the basis of the grounds enumerated in subrule </w:t>
      </w:r>
      <w:hyperlink r:id="rId36">
        <w:r>
          <w:rPr>
            <w:rStyle w:val="Hyperlink"/>
            <w:rFonts w:ascii="Times New Roman" w:hAnsi="Times New Roman"/>
            <w:b w:val="false"/>
            <w:i w:val="false"/>
            <w:color w:val="000000"/>
            <w:sz w:val="22"/>
          </w:rPr>
          <w:t>26.28(2)</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26.29(3)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Iowa department of inspections and appeals within 20 days after issuance of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26.29(4)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served by the applicant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26.29(5)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appeal board grants the application within 20 days after its filing.</w:t>
      </w:r>
    </w:p>
    <w:p>
      <w:pPr>
        <w:spacing w:before="0" w:after="0"/>
        <w:ind w:left="120"/>
        <w:jc w:val="both"/>
      </w:pPr>
      <w:r>
        <w:rPr>
          <w:rFonts w:ascii="Times New Roman" w:hAnsi="Times New Roman"/>
          <w:b/>
          <w:i w:val="false"/>
          <w:color w:val="000000"/>
          <w:sz w:val="22"/>
        </w:rPr>
        <w:t>495—26.30</w:t>
      </w:r>
      <w:r>
        <w:rPr>
          <w:rFonts w:ascii="Times New Roman" w:hAnsi="Times New Roman"/>
          <w:b/>
          <w:i w:val="false"/>
          <w:color w:val="000000"/>
          <w:sz w:val="22"/>
        </w:rPr>
        <w:t xml:space="preserve">(17A,97B)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26.30(1)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agency for a stay of an order issued in that proceeding or for other temporary remedies, pending review by the agency. The petition shall be filed with the notice of appeal and shall state the reasons justifying a stay or other temporary remedy. The CEO, or designee,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agency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26.30(2)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CEO, or designee, or presiding officer shall consider the factors listed in Iowa Code section </w:t>
      </w:r>
      <w:hyperlink r:id="rId37">
        <w:r>
          <w:rPr>
            <w:rStyle w:val="Hyperlink"/>
            <w:rFonts w:ascii="Times New Roman" w:hAnsi="Times New Roman"/>
            <w:b w:val="false"/>
            <w:i w:val="false"/>
            <w:color w:val="000000"/>
            <w:sz w:val="22"/>
          </w:rPr>
          <w:t>17A.19(4)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26.30(3)</w:t>
      </w:r>
      <w:r>
        <w:rPr>
          <w:rFonts w:ascii="Times New Roman" w:hAnsi="Times New Roman"/>
          <w:b w:val="false"/>
          <w:i w:val="false"/>
          <w:color w:val="000000"/>
          <w:sz w:val="22"/>
        </w:rPr>
        <w:t> </w:t>
      </w:r>
      <w:r>
        <w:rPr>
          <w:rFonts w:ascii="Times New Roman" w:hAnsi="Times New Roman"/>
          <w:b w:val="false"/>
          <w:i/>
          <w:color w:val="000000"/>
          <w:sz w:val="22"/>
        </w:rPr>
        <w:t xml:space="preserve">When vacated. </w:t>
      </w:r>
      <w:r>
        <w:rPr>
          <w:rFonts w:ascii="Times New Roman" w:hAnsi="Times New Roman"/>
          <w:b w:val="false"/>
          <w:i w:val="false"/>
          <w:color w:val="000000"/>
          <w:sz w:val="22"/>
        </w:rPr>
        <w:t>A stay may be vacated by the issuing authority upon application of the agency’s representative or any other party.</w:t>
      </w:r>
    </w:p>
    <w:p>
      <w:pPr>
        <w:spacing w:before="210" w:after="0"/>
        <w:ind w:left="120"/>
        <w:jc w:val="both"/>
      </w:pPr>
      <w:r>
        <w:rPr>
          <w:rFonts w:ascii="Times New Roman" w:hAnsi="Times New Roman"/>
          <w:b/>
          <w:i w:val="false"/>
          <w:color w:val="000000"/>
          <w:sz w:val="22"/>
        </w:rPr>
        <w:t>495—26.31</w:t>
      </w:r>
      <w:r>
        <w:rPr>
          <w:rFonts w:ascii="Times New Roman" w:hAnsi="Times New Roman"/>
          <w:b/>
          <w:i w:val="false"/>
          <w:color w:val="000000"/>
          <w:sz w:val="22"/>
        </w:rPr>
        <w:t xml:space="preserve">(17A,97B)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495—26.32</w:t>
      </w:r>
      <w:r>
        <w:rPr>
          <w:rFonts w:ascii="Times New Roman" w:hAnsi="Times New Roman"/>
          <w:b/>
          <w:i w:val="false"/>
          <w:color w:val="000000"/>
          <w:sz w:val="22"/>
        </w:rPr>
        <w:t xml:space="preserve">(17A,97B)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26.32(1)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agency may issue a written order in compliance with Iowa Code section </w:t>
      </w:r>
      <w:hyperlink r:id="rId38">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agency by emergency adjudicative order. Before issuing an emergency adjudicative order the agency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agency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agency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26.32(2)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agency’s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agency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26.32(3)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agency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26.32(4)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agency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shall include notification of the date on which agency proceedings are scheduled for completion. After issuance of an emergency adjudicative order, continuance of further agency proceedings to a later date will be granted only in compelling circumstances upon application in writing.</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12/1/05, Notice 10/26/05—published 12/21/05, effective 1/25/06]</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ARC 2402C</w:t>
      </w:r>
      <w:r>
        <w:rPr>
          <w:rFonts w:ascii="Times New Roman" w:hAnsi="Times New Roman"/>
          <w:b w:val="false"/>
          <w:i w:val="false"/>
          <w:color w:val="000000"/>
          <w:sz w:val="21"/>
        </w:rPr>
        <w:t xml:space="preserve"> (Notice ARC 2331C, IAB 12/23/15)</w:t>
      </w:r>
      <w:r>
        <w:rPr>
          <w:rFonts w:ascii="Times New Roman" w:hAnsi="Times New Roman"/>
          <w:b w:val="false"/>
          <w:i w:val="false"/>
          <w:color w:val="000000"/>
          <w:sz w:val="21"/>
        </w:rPr>
        <w:t>, IAB 2/17/16, effective 3/23/16]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52A.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17A.10A.pdf" Type="http://schemas.openxmlformats.org/officeDocument/2006/relationships/hyperlink" Id="rId7"/>
    <Relationship TargetMode="External" Target="https://www.legis.iowa.gov/docs/ico/chapter/97B.50A.pdf" Type="http://schemas.openxmlformats.org/officeDocument/2006/relationships/hyperlink" Id="rId8"/>
    <Relationship TargetMode="External" Target="https://www.legis.iowa.gov/docs/iac/rule/495.26.4.pdf" Type="http://schemas.openxmlformats.org/officeDocument/2006/relationships/hyperlink" Id="rId9"/>
    <Relationship TargetMode="External" Target="https://www.legis.iowa.gov/docs/ico/chapter/97B.50A.pdf" Type="http://schemas.openxmlformats.org/officeDocument/2006/relationships/hyperlink" Id="rId10"/>
    <Relationship TargetMode="External" Target="https://www.legis.iowa.gov/docs/iac/rule/495.13.2.pdf" Type="http://schemas.openxmlformats.org/officeDocument/2006/relationships/hyperlink" Id="rId11"/>
    <Relationship TargetMode="External" Target="https://www.legis.iowa.gov/docs/iac/rule/495.26.4.pdf" Type="http://schemas.openxmlformats.org/officeDocument/2006/relationships/hyperlink" Id="rId12"/>
    <Relationship TargetMode="External" Target="https://www.legis.iowa.gov/docs/ico/chapter/4.1.pdf" Type="http://schemas.openxmlformats.org/officeDocument/2006/relationships/hyperlink" Id="rId13"/>
    <Relationship TargetMode="External" Target="https://www.legis.iowa.gov/docs/ico/chapter/17A.11.pdf" Type="http://schemas.openxmlformats.org/officeDocument/2006/relationships/hyperlink" Id="rId14"/>
    <Relationship TargetMode="External" Target="https://www.legis.iowa.gov/docs/iac/rule/495.26.7.pdf" Type="http://schemas.openxmlformats.org/officeDocument/2006/relationships/hyperlink" Id="rId15"/>
    <Relationship TargetMode="External" Target="https://www.legis.iowa.gov/docs/ico/chapter/17A.17.pdf" Type="http://schemas.openxmlformats.org/officeDocument/2006/relationships/hyperlink" Id="rId16"/>
    <Relationship TargetMode="External" Target="https://www.legis.iowa.gov/docs/iac/rule/495.26.10.pdf" Type="http://schemas.openxmlformats.org/officeDocument/2006/relationships/hyperlink" Id="rId17"/>
    <Relationship TargetMode="External" Target="https://www.legis.iowa.gov/docs/iac/rule/495.26.24.pdf" Type="http://schemas.openxmlformats.org/officeDocument/2006/relationships/hyperlink" Id="rId18"/>
    <Relationship TargetMode="External" Target="https://www.legis.iowa.gov/docs/iac/rule/495.26.10.pdf" Type="http://schemas.openxmlformats.org/officeDocument/2006/relationships/hyperlink" Id="rId19"/>
    <Relationship TargetMode="External" Target="https://www.legis.iowa.gov/docs/ico/chapter/17A.17.pdf" Type="http://schemas.openxmlformats.org/officeDocument/2006/relationships/hyperlink" Id="rId20"/>
    <Relationship TargetMode="External" Target="https://www.legis.iowa.gov/docs/iac/rule/495.26.26.pdf" Type="http://schemas.openxmlformats.org/officeDocument/2006/relationships/hyperlink" Id="rId21"/>
    <Relationship TargetMode="External" Target="https://www.legis.iowa.gov/docs/iac/rule/495.26.30.pdf" Type="http://schemas.openxmlformats.org/officeDocument/2006/relationships/hyperlink" Id="rId22"/>
    <Relationship TargetMode="External" Target="https://www.legis.iowa.gov/docs/ico/chapter/17A.16.pdf" Type="http://schemas.openxmlformats.org/officeDocument/2006/relationships/hyperlink" Id="rId23"/>
    <Relationship TargetMode="External" Target="https://www.legis.iowa.gov/docs/iac/rule/495.26.14.pdf" Type="http://schemas.openxmlformats.org/officeDocument/2006/relationships/hyperlink" Id="rId24"/>
    <Relationship TargetMode="External" Target="https://www.legis.iowa.gov/docs/iac/rule/495.26.29.pdf" Type="http://schemas.openxmlformats.org/officeDocument/2006/relationships/hyperlink" Id="rId25"/>
    <Relationship TargetMode="External" Target="https://www.legis.iowa.gov/docs/iac/rule/495.26.28.pdf" Type="http://schemas.openxmlformats.org/officeDocument/2006/relationships/hyperlink" Id="rId26"/>
    <Relationship TargetMode="External" Target="https://www.legis.iowa.gov/docs/iac/rule/495.26.17.pdf" Type="http://schemas.openxmlformats.org/officeDocument/2006/relationships/hyperlink" Id="rId27"/>
    <Relationship TargetMode="External" Target="https://www.legis.iowa.gov/docs/iac/rule/495.26.27.pdf" Type="http://schemas.openxmlformats.org/officeDocument/2006/relationships/hyperlink" Id="rId28"/>
    <Relationship TargetMode="External" Target="https://www.legis.iowa.gov/docs/iac/rule/495.26.26.pdf" Type="http://schemas.openxmlformats.org/officeDocument/2006/relationships/hyperlink" Id="rId29"/>
    <Relationship TargetMode="External" Target="https://www.legis.iowa.gov/docs/iac/rule/495.26.30.pdf" Type="http://schemas.openxmlformats.org/officeDocument/2006/relationships/hyperlink" Id="rId30"/>
    <Relationship TargetMode="External" Target="https://www.legis.iowa.gov/docs/iac/rule/495.26.10.pdf" Type="http://schemas.openxmlformats.org/officeDocument/2006/relationships/hyperlink" Id="rId31"/>
    <Relationship TargetMode="External" Target="https://www.legis.iowa.gov/docs/iac/rule/495.26.13.pdf" Type="http://schemas.openxmlformats.org/officeDocument/2006/relationships/hyperlink" Id="rId32"/>
    <Relationship TargetMode="External" Target="https://www.legis.iowa.gov/docs/iac/rule/495.26.24.pdf" Type="http://schemas.openxmlformats.org/officeDocument/2006/relationships/hyperlink" Id="rId33"/>
    <Relationship TargetMode="External" Target="https://www.legis.iowa.gov/docs/iac/rule/495.26.18.pdf" Type="http://schemas.openxmlformats.org/officeDocument/2006/relationships/hyperlink" Id="rId34"/>
    <Relationship TargetMode="External" Target="https://www.legis.iowa.gov/docs/ico/chapter/17A.13.pdf" Type="http://schemas.openxmlformats.org/officeDocument/2006/relationships/hyperlink" Id="rId35"/>
    <Relationship TargetMode="External" Target="https://www.legis.iowa.gov/docs/iac/rule/495.26.28.pdf" Type="http://schemas.openxmlformats.org/officeDocument/2006/relationships/hyperlink" Id="rId36"/>
    <Relationship TargetMode="External" Target="https://www.legis.iowa.gov/docs/ico/chapter/17A.19.pdf" Type="http://schemas.openxmlformats.org/officeDocument/2006/relationships/hyperlink" Id="rId37"/>
    <Relationship TargetMode="External" Target="https://www.legis.iowa.gov/docs/ico/chapter/17A.18.pdf" Type="http://schemas.openxmlformats.org/officeDocument/2006/relationships/hyperlink" Id="rId38"/>
    <Relationship TargetMode="External" Target="https://www.legis.iowa.gov/docs/ico/chapter/17A.pdf" Type="http://schemas.openxmlformats.org/officeDocument/2006/relationships/hyperlink" Id="rId39"/>
    <Relationship TargetMode="External" Target="https://www.legis.iowa.gov/docs/ico/chapter/97B.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