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99</w:t>
      </w:r>
    </w:p>
    <w:p>
      <w:pPr>
        <w:spacing w:before="0" w:after="0"/>
        <w:ind w:left="120"/>
        <w:jc w:val="center"/>
      </w:pPr>
      <w:r>
        <w:rPr>
          <w:rFonts w:ascii="Times New Roman" w:hAnsi="Times New Roman"/>
          <w:b w:val="false"/>
          <w:i w:val="false"/>
          <w:color w:val="000000"/>
          <w:sz w:val="21"/>
        </w:rPr>
        <w:t>CHILD SUPPORT GUIDELINES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441—99.1</w:t>
      </w:r>
      <w:r>
        <w:rPr>
          <w:rFonts w:ascii="Times New Roman" w:hAnsi="Times New Roman"/>
          <w:b/>
          <w:i w:val="false"/>
          <w:color w:val="000000"/>
          <w:sz w:val="22"/>
        </w:rPr>
        <w:t xml:space="preserve">(234,252B,252H) </w:t>
      </w:r>
      <w:r>
        <w:rPr>
          <w:rFonts w:ascii="Times New Roman" w:hAnsi="Times New Roman"/>
          <w:b/>
          <w:i w:val="false"/>
          <w:color w:val="000000"/>
          <w:sz w:val="22"/>
        </w:rPr>
        <w:t xml:space="preserve">Income considered. </w:t>
      </w:r>
      <w:r>
        <w:rPr>
          <w:rFonts w:ascii="Times New Roman" w:hAnsi="Times New Roman"/>
          <w:b w:val="false"/>
          <w:i w:val="false"/>
          <w:color w:val="000000"/>
          <w:sz w:val="22"/>
        </w:rPr>
        <w:t xml:space="preserve">Child support services will consider all regularly recurring income of both legal parents to determine the amount of the support award in accordance with the child support guidelines prescribed by the Iowa Supreme Court. Spousal support will be considered as specified in the Iowa Supreme Court guidelines and prior obligation spousal support actually paid or received will be calculated in the same manner as the deductions for support in subrule </w:t>
      </w:r>
      <w:hyperlink r:id="rId5">
        <w:r>
          <w:rPr>
            <w:rStyle w:val="Hyperlink"/>
            <w:rFonts w:ascii="Times New Roman" w:hAnsi="Times New Roman"/>
            <w:b w:val="false"/>
            <w:i w:val="false"/>
            <w:color w:val="000000"/>
            <w:sz w:val="22"/>
          </w:rPr>
          <w:t>99.2(1)</w:t>
        </w:r>
      </w:hyperlink>
      <w:r>
        <w:rPr>
          <w:rFonts w:ascii="Times New Roman" w:hAnsi="Times New Roman"/>
          <w:b w:val="false"/>
          <w:i w:val="false"/>
          <w:color w:val="000000"/>
          <w:sz w:val="22"/>
        </w:rPr>
        <w:t xml:space="preserve">. These rules on child support guidelines will not apply if child support services is determining the support amount by a cost-of-living alteration as provided in Iowa Code chapter </w:t>
      </w:r>
      <w:hyperlink r:id="rId6">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w:t>
      </w:r>
      <w:r>
        <w:rPr>
          <w:rFonts w:ascii="Times New Roman" w:hAnsi="Times New Roman"/>
          <w:b w:val="false"/>
          <w:i w:val="false"/>
          <w:color w:val="000000"/>
          <w:sz w:val="22"/>
        </w:rPr>
        <w:t> </w:t>
      </w:r>
      <w:r>
        <w:rPr>
          <w:rFonts w:ascii="Times New Roman" w:hAnsi="Times New Roman"/>
          <w:b w:val="false"/>
          <w:i/>
          <w:color w:val="000000"/>
          <w:sz w:val="22"/>
        </w:rPr>
        <w:t xml:space="preserve">Exempt income. </w:t>
      </w:r>
      <w:r>
        <w:rPr>
          <w:rFonts w:ascii="Times New Roman" w:hAnsi="Times New Roman"/>
          <w:b w:val="false"/>
          <w:i w:val="false"/>
          <w:color w:val="000000"/>
          <w:sz w:val="22"/>
        </w:rPr>
        <w:t>The following income of the parent is exempt in the establishment or modification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received by the parent under the family investment program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or other benefits derived from public assistance programs funded by a federal, state, or local governmental agency or entity that are listed in </w:t>
      </w:r>
      <w:hyperlink r:id="rId7">
        <w:r>
          <w:rPr>
            <w:rStyle w:val="Hyperlink"/>
            <w:rFonts w:ascii="Times New Roman" w:hAnsi="Times New Roman"/>
            <w:b w:val="false"/>
            <w:i w:val="false"/>
            <w:color w:val="000000"/>
            <w:sz w:val="22"/>
          </w:rPr>
          <w:t>441—41.8</w:t>
        </w:r>
      </w:hyperlink>
      <w:r>
        <w:rPr>
          <w:rFonts w:ascii="Times New Roman" w:hAnsi="Times New Roman"/>
          <w:b w:val="false"/>
          <w:i w:val="false"/>
          <w:color w:val="000000"/>
          <w:sz w:val="22"/>
        </w:rPr>
        <w:t>(239B) as exempt from consideration in determining eligibility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such as child support, social security dependent benefits received by a parent for a child because of the other parent’s disability, and veteran’s dependent benefits received by a parent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Stepparent’s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Income of a guardian who is not the child’s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Income of the child’s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Earned income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99.1(2)</w:t>
      </w:r>
      <w:r>
        <w:rPr>
          <w:rFonts w:ascii="Times New Roman" w:hAnsi="Times New Roman"/>
          <w:b w:val="false"/>
          <w:i w:val="false"/>
          <w:color w:val="000000"/>
          <w:sz w:val="22"/>
        </w:rPr>
        <w:t> </w:t>
      </w:r>
      <w:r>
        <w:rPr>
          <w:rFonts w:ascii="Times New Roman" w:hAnsi="Times New Roman"/>
          <w:b w:val="false"/>
          <w:i/>
          <w:color w:val="000000"/>
          <w:sz w:val="22"/>
        </w:rPr>
        <w:t xml:space="preserve">Determining income. </w:t>
      </w:r>
      <w:r>
        <w:rPr>
          <w:rFonts w:ascii="Times New Roman" w:hAnsi="Times New Roman"/>
          <w:b w:val="false"/>
          <w:i w:val="false"/>
          <w:color w:val="000000"/>
          <w:sz w:val="22"/>
        </w:rPr>
        <w:t>Any of the following may be used in determining a parent’s income for establishing or modifying a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reported by the parent in a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established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verified by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reported to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public assistance recipient, income reported to the department of health and human services caseworker assigned to the public assistance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written documentation that identifies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Income as determined through occupational wage rate information published by the Iowa workforce development department or other state or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median income for parents on the child support services caseload, calculated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security dependent benefits. Social security dependent benefits paid for a child because of a parent’s disability will be included in the disabled parent’s income. Social security dependent benefits paid for a parent due to the other parent’s disability will be included in the receiving parent’s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99.1(3)</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income. </w:t>
      </w:r>
      <w:r>
        <w:rPr>
          <w:rFonts w:ascii="Times New Roman" w:hAnsi="Times New Roman"/>
          <w:b w:val="false"/>
          <w:i w:val="false"/>
          <w:color w:val="000000"/>
          <w:sz w:val="22"/>
        </w:rPr>
        <w:t>Verification of income and allowable deductions from each parent will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W-2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 stubs.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Signed statements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Self-employment bookkeeping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Award letters confirming entitlement to benefits under a program administered by a government or private agency such as social security, veterans’ or unemployment benefits, military or civil service retirement or pension plans, or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Cases in which the information or verification provided by a parent is questionable or inconsistent with other circumstances of the case may be investigated. If the investigation does not reveal any inconsistencies, the financial statement and other documentation provided by the parent will be used to establish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discrepancies exist in the financial statement provided by the parent and additional income information is not available, child support services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 hearing before the court if attempting to establish a support order through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Conduct discovery if a parent places the matter before the court by answering a petition or requesting a hearing before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attempting to establish a default order, provide the court with a copy of the parent’s financial information and the reasons the information may be questionable.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is unable to obtain verification of a parent’s income, the financial statement provided by the parent may be used to establish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99.1(4)</w:t>
      </w:r>
      <w:r>
        <w:rPr>
          <w:rFonts w:ascii="Times New Roman" w:hAnsi="Times New Roman"/>
          <w:b w:val="false"/>
          <w:i w:val="false"/>
          <w:color w:val="000000"/>
          <w:sz w:val="22"/>
        </w:rPr>
        <w:t> </w:t>
      </w:r>
      <w:r>
        <w:rPr>
          <w:rFonts w:ascii="Times New Roman" w:hAnsi="Times New Roman"/>
          <w:b w:val="false"/>
          <w:i/>
          <w:color w:val="000000"/>
          <w:sz w:val="22"/>
        </w:rPr>
        <w:t xml:space="preserve">Use of occupational wage rate information or median income for parents on the child support services caseload. </w:t>
      </w:r>
      <w:r>
        <w:rPr>
          <w:rFonts w:ascii="Times New Roman" w:hAnsi="Times New Roman"/>
          <w:b w:val="false"/>
          <w:i w:val="false"/>
          <w:color w:val="000000"/>
          <w:sz w:val="22"/>
        </w:rPr>
        <w:t>Child support services will use occupational wage rate information or median income for parents on the child support services caseload to determine a parent’s income when the parent has failed to return a completed financial statement when requested, and when complete and accurate income information from other readily available sources cannot be secured. If a parent’s most recent residential address is in Iowa, child support services will use Iowa workforce development regional data to determine income. If a parent’s most recent residential address is in another state, the District of Columbia, or Puerto Rico, child support services will use wage data from the place of the parent’s most recent residence to determine income. For all other cases, child support services will use Iowa statewide occupational wage rate or median income for parents on the child support services caseload to determine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 known. </w:t>
      </w:r>
      <w:r>
        <w:rPr>
          <w:rFonts w:ascii="Times New Roman" w:hAnsi="Times New Roman"/>
          <w:b w:val="false"/>
          <w:i w:val="false"/>
          <w:color w:val="000000"/>
          <w:sz w:val="22"/>
        </w:rPr>
        <w:t xml:space="preserve">When child support services can reasonably ascertain the current or last-known occupation of a parent, child support services will use occupational wage rate information to determine income. Wage rate information will be converted to a monthly amount in accordance with subrule </w:t>
      </w:r>
      <w:r>
        <w:rPr>
          <w:rFonts w:ascii="Times New Roman" w:hAnsi="Times New Roman"/>
          <w:b w:val="false"/>
          <w:i w:val="false"/>
          <w:color w:val="000000"/>
          <w:sz w:val="22"/>
        </w:rPr>
        <w:t>99.3(1)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 unknown. </w:t>
      </w:r>
      <w:r>
        <w:rPr>
          <w:rFonts w:ascii="Times New Roman" w:hAnsi="Times New Roman"/>
          <w:b w:val="false"/>
          <w:i w:val="false"/>
          <w:color w:val="000000"/>
          <w:sz w:val="22"/>
        </w:rPr>
        <w:t>When child support services cannot reasonably ascertain the current or last-known occupation of a parent, child support services will determine the income of a parent using the median income amount for parents on the child support services caseload, based upon the parent’s most recent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99.1(5)</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A self-employed parent’s adjusted gross income, rather than the net taxable income, will be used in determining net income. The adjusted gross income will be computed by deducting business expenses involving actual cash expenditures that affect the actual dollar income of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is self-employed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required to report to the office regularly except for specific purposes such as sales training meetings, administrative meetings, or evaluation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Establishes the person’s own working hours, territory, and methods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quarterly reports of earnings, withholding payments, and FICA payments to the Internal Revenue Service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calculating net income from self-employment, child support services will deduct only those items allowed by the child support guidelines. Amounts from a prior period claimed as net losses will not be allowed as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Net profits from self-employment may be determined through a review of self-employment bookkeeping records, sales and expenditure records, quarterly reports filed with the IRS, previous year’s federal or state income tax returns, or other documentation. The parent must provide records of bookkeeping, sales, and expenditures for the most recent 12-month period or, if the self-employment is less than 12 months old, for the period since the self-employment began.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99.1(6)</w:t>
      </w:r>
      <w:r>
        <w:rPr>
          <w:rFonts w:ascii="Times New Roman" w:hAnsi="Times New Roman"/>
          <w:b w:val="false"/>
          <w:i w:val="false"/>
          <w:color w:val="000000"/>
          <w:sz w:val="22"/>
        </w:rPr>
        <w:t> </w:t>
      </w:r>
      <w:r>
        <w:rPr>
          <w:rFonts w:ascii="Times New Roman" w:hAnsi="Times New Roman"/>
          <w:b w:val="false"/>
          <w:i/>
          <w:color w:val="000000"/>
          <w:sz w:val="22"/>
        </w:rPr>
        <w:t xml:space="preserve">Fluctuating income. </w:t>
      </w:r>
      <w:r>
        <w:rPr>
          <w:rFonts w:ascii="Times New Roman" w:hAnsi="Times New Roman"/>
          <w:b w:val="false"/>
          <w:i w:val="false"/>
          <w:color w:val="000000"/>
          <w:sz w:val="22"/>
        </w:rPr>
        <w:t xml:space="preserve">A person has a fluctuating income when the calculated gross income or the adjusted gross income, as defined in subrule </w:t>
      </w:r>
      <w:r>
        <w:rPr>
          <w:rFonts w:ascii="Times New Roman" w:hAnsi="Times New Roman"/>
          <w:b w:val="false"/>
          <w:i w:val="false"/>
          <w:color w:val="000000"/>
          <w:sz w:val="22"/>
        </w:rPr>
        <w:t>99.1(5)</w:t>
      </w:r>
      <w:r>
        <w:rPr>
          <w:rFonts w:ascii="Times New Roman" w:hAnsi="Times New Roman"/>
          <w:b w:val="false"/>
          <w:i w:val="false"/>
          <w:color w:val="000000"/>
          <w:sz w:val="22"/>
        </w:rPr>
        <w:t>, for the current year varies from the gross or adjusted gross income of the previous year by more than 20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requested, child support services will average the income of a person whose income fluctuated because the nature of the person’s occupation is of a type that normally experiences fluctuations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a person’s average income, the following procedures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non-self-employed persons, child support services will estimate the gross income for the current year and add the amount to the gross income from relevant years that would accurately depict fluctuations in the person’s income. Child support services will divide this sum by the number of years added, prior and current, to arrive at an average gross annual income. Child support services will divide the average gross annual income by 12 to arrive at the person’s average gross monthly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income from self-employment, child support services will compute the adjusted gross annual income as defined in subrule </w:t>
      </w:r>
      <w:r>
        <w:rPr>
          <w:rFonts w:ascii="Times New Roman" w:hAnsi="Times New Roman"/>
          <w:b w:val="false"/>
          <w:i w:val="false"/>
          <w:color w:val="000000"/>
          <w:sz w:val="22"/>
        </w:rPr>
        <w:t>99.1(5)</w:t>
      </w:r>
      <w:r>
        <w:rPr>
          <w:rFonts w:ascii="Times New Roman" w:hAnsi="Times New Roman"/>
          <w:b w:val="false"/>
          <w:i w:val="false"/>
          <w:color w:val="000000"/>
          <w:sz w:val="22"/>
        </w:rPr>
        <w:t xml:space="preserve"> for the relevant years that would accurately depict fluctuations in the person’s income. Child support services will use the adjusted gross annual income to compute the average adjusted gross monthly income in the same manner as the computation of average gross monthly income for a non-self-employed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441—99.2</w:t>
      </w:r>
      <w:r>
        <w:rPr>
          <w:rFonts w:ascii="Times New Roman" w:hAnsi="Times New Roman"/>
          <w:b/>
          <w:i w:val="false"/>
          <w:color w:val="000000"/>
          <w:sz w:val="22"/>
        </w:rPr>
        <w:t xml:space="preserve">(234,252B) </w:t>
      </w:r>
      <w:r>
        <w:rPr>
          <w:rFonts w:ascii="Times New Roman" w:hAnsi="Times New Roman"/>
          <w:b/>
          <w:i w:val="false"/>
          <w:color w:val="000000"/>
          <w:sz w:val="22"/>
        </w:rPr>
        <w:t xml:space="preserve">Allowable deductions. </w:t>
      </w:r>
      <w:r>
        <w:rPr>
          <w:rFonts w:ascii="Times New Roman" w:hAnsi="Times New Roman"/>
          <w:b w:val="false"/>
          <w:i w:val="false"/>
          <w:color w:val="000000"/>
          <w:sz w:val="22"/>
        </w:rPr>
        <w:t>The deductions specified in the Iowa Supreme Court child support guidelines will be allowed when determining the amount of income subject to application of the guidelines. The parent claiming the deduction must provide the documentation necessary for computing allowable deductions. When applying the deductions specified in the Iowa Supreme Court guidelines, the following will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In determining the amount of child support actually paid pursuant to a prior court or administrative order, the date of the original court or administrative order, rather than the date of any modifications, will determine whether it is a prior order. Support paid under an order established subsequent to the order being modified will not be deducted. All support payments will be verified before being allowed as a deduction. Child support services will calculate deductions for support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obligation is one year old or older, child support services will add together all verified amounts paid during the past 12 months preceding the current month up to the total of the current support obligation that accrued during this 12-month period, and divide by 12. All amounts collected will be included, regardless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support obligation is less than one year old, child support services will add together the verified amounts paid since the obligation began up to the total of the current support obligation that accrued during this period, and divide by the number of months that the obligation has existed.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parent has more than one prior support order, child support services will calculate the allowable deduction for each obligation separately, and then add the amounts together to determine the parent’s total allowable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costs will be verified before being allowed as a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determine the amount of the deduction for actual child care expenses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Actual child care expenses will be verified by a copy of the custodial parent’s federal or state income tax return or by a signed statement from the person or agency providing the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amount of reported child care expenses in excess of the amount allowed as “credit for child and dependent care expenses” for federal income tax purposes will be allowed as a deduction in determining the custodial parent’s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determining the deduction allowed to the custodial parent for child care expenses, the following procedures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custodial parent provides a copy of a federal income tax return for the current tax processing year and the amount is consistent with the current financial circumstances of the parent, child support services will use the amount reported as “credit for child and dependent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income tax information is not available, or if the parent indicates or there is reason to believe that the amount stated in the return is no longer representative of the parent’s financial conditions or child care expenses, child support services will determine the allowable deduction for child care expenses for federal income tax purposes using the custodial parent’s income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compute the child care deduction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Divide the amount of child care expense the parent may claim as a deduction for federal income tax purposes by 12 to arrive at a monthly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child care expense reported on the financial statement is not a monthly amount, convert the reported amount to an equivalent monthly figure and round the figure to two decimal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Subtract the amount the parent may claim as “credit for child and dependent care expenses” for federal income tax from the amount of child care expenses reported on the financial statement. The difference is the amount allowed for a deduction in determining income for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99.2(4)</w:t>
      </w:r>
      <w:r>
        <w:rPr>
          <w:rFonts w:ascii="Times New Roman" w:hAnsi="Times New Roman"/>
          <w:b w:val="false"/>
          <w:i w:val="false"/>
          <w:color w:val="000000"/>
          <w:sz w:val="22"/>
        </w:rPr>
        <w:t> </w:t>
      </w:r>
      <w:r>
        <w:rPr>
          <w:rFonts w:ascii="Times New Roman" w:hAnsi="Times New Roman"/>
          <w:b w:val="false"/>
          <w:i w:val="false"/>
          <w:color w:val="000000"/>
          <w:sz w:val="22"/>
        </w:rPr>
        <w:t>A qualified additional dependent deduction will be allowed for dependents of the custodial or noncustodial father or mother, whether in or out of the parent’s home. The father may establish the deduction by providing written verification of a legal obligation to the child through one of the actions enumerated in the guidelines. The mother may establish the deduction by providing written verification of a legal obligation to the child, including a written statement by the mother or a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99.2(5)</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cash medical support payments for other children, not in the pending matter, will be verified before being allowed as a deduction and will be calculated in the same manner as the deductions for support in subrule </w:t>
      </w:r>
      <w:r>
        <w:rPr>
          <w:rFonts w:ascii="Times New Roman" w:hAnsi="Times New Roman"/>
          <w:b w:val="false"/>
          <w:i w:val="false"/>
          <w:color w:val="000000"/>
          <w:sz w:val="22"/>
        </w:rPr>
        <w:t>99.2(1)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441—99.3</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Determining net income. </w:t>
      </w:r>
      <w:r>
        <w:rPr>
          <w:rFonts w:ascii="Times New Roman" w:hAnsi="Times New Roman"/>
          <w:b w:val="false"/>
          <w:i w:val="false"/>
          <w:color w:val="000000"/>
          <w:sz w:val="22"/>
        </w:rPr>
        <w:t>Unless otherwise specified in these rules, child support services will determine net income as prescribed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99.3(1)</w:t>
      </w:r>
      <w:r>
        <w:rPr>
          <w:rFonts w:ascii="Times New Roman" w:hAnsi="Times New Roman"/>
          <w:b w:val="false"/>
          <w:i w:val="false"/>
          <w:color w:val="000000"/>
          <w:sz w:val="22"/>
        </w:rPr>
        <w:t> </w:t>
      </w:r>
      <w:r>
        <w:rPr>
          <w:rFonts w:ascii="Times New Roman" w:hAnsi="Times New Roman"/>
          <w:b w:val="false"/>
          <w:i/>
          <w:color w:val="000000"/>
          <w:sz w:val="22"/>
        </w:rPr>
        <w:t xml:space="preserve">Calculating net income. </w:t>
      </w:r>
      <w:r>
        <w:rPr>
          <w:rFonts w:ascii="Times New Roman" w:hAnsi="Times New Roman"/>
          <w:b w:val="false"/>
          <w:i w:val="false"/>
          <w:color w:val="000000"/>
          <w:sz w:val="22"/>
        </w:rPr>
        <w:t>All allowable income and allowable deductions will be expressed in monthly amounts. Income and corresponding deductions received at a frequency other than monthly will be converted to equivalent monthly amounts by multiplying the income and corresponding deductions received on a weekly basis by 4.33, on a biweekly basis by 2.17, and on a semimonthly basis by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99.3(2)</w:t>
      </w:r>
      <w:r>
        <w:rPr>
          <w:rFonts w:ascii="Times New Roman" w:hAnsi="Times New Roman"/>
          <w:b w:val="false"/>
          <w:i w:val="false"/>
          <w:color w:val="000000"/>
          <w:sz w:val="22"/>
        </w:rPr>
        <w:t> </w:t>
      </w:r>
      <w:r>
        <w:rPr>
          <w:rFonts w:ascii="Times New Roman" w:hAnsi="Times New Roman"/>
          <w:b w:val="false"/>
          <w:i/>
          <w:color w:val="000000"/>
          <w:sz w:val="22"/>
        </w:rPr>
        <w:t xml:space="preserve">Estimating net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estimated net income of a parent will be 80 percent of the reported income or the estimated income as determined from occupational wage rate information or derived from the median income of parents on the child support services caseload, as appropriate, to account for an estimate of the Iowa Supreme Court guidelines deductions for federal and state taxes and Social Security and Medicare taxes. The parent will also be entitled to additional deductions allowed by the guidelines when the information to calculate these deductions is readily available through automated or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net income of a parent will be estimated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Gross earned income information was obtained from a source that did not provide itemized deductions allowed by the mandatory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Occupational wage rate information or median income of parents on the child support services caseload was used to determine a parent’s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441—99.4</w:t>
      </w:r>
      <w:r>
        <w:rPr>
          <w:rFonts w:ascii="Times New Roman" w:hAnsi="Times New Roman"/>
          <w:b/>
          <w:i w:val="false"/>
          <w:color w:val="000000"/>
          <w:sz w:val="22"/>
        </w:rPr>
        <w:t xml:space="preserve">(234,252B) </w:t>
      </w:r>
      <w:r>
        <w:rPr>
          <w:rFonts w:ascii="Times New Roman" w:hAnsi="Times New Roman"/>
          <w:b/>
          <w:i w:val="false"/>
          <w:color w:val="000000"/>
          <w:sz w:val="22"/>
        </w:rPr>
        <w:t xml:space="preserve">Applying the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w:t>
      </w:r>
      <w:r>
        <w:rPr>
          <w:rFonts w:ascii="Times New Roman" w:hAnsi="Times New Roman"/>
          <w:b w:val="false"/>
          <w:i w:val="false"/>
          <w:color w:val="000000"/>
          <w:sz w:val="22"/>
        </w:rPr>
        <w:t> </w:t>
      </w:r>
      <w:r>
        <w:rPr>
          <w:rFonts w:ascii="Times New Roman" w:hAnsi="Times New Roman"/>
          <w:b w:val="false"/>
          <w:i/>
          <w:color w:val="000000"/>
          <w:sz w:val="22"/>
        </w:rPr>
        <w:t xml:space="preserve">Applying the guidelines. </w:t>
      </w:r>
      <w:r>
        <w:rPr>
          <w:rFonts w:ascii="Times New Roman" w:hAnsi="Times New Roman"/>
          <w:b w:val="false"/>
          <w:i w:val="false"/>
          <w:color w:val="000000"/>
          <w:sz w:val="22"/>
        </w:rPr>
        <w:t>Child support services will use the child support guidelines schedule as prescribed by the Iowa Supreme Court only for the number of children for whom support is being sought sharing the same two legal parents.</w:t>
      </w:r>
    </w:p>
    <w:p>
      <w:pPr>
        <w:spacing w:before="0" w:after="0"/>
        <w:ind w:left="120"/>
        <w:jc w:val="both"/>
      </w:pPr>
      <w:r>
        <w:rPr>
          <w:rFonts w:ascii="Times New Roman" w:hAnsi="Times New Roman"/>
          <w:b w:val="false"/>
          <w:i w:val="false"/>
          <w:color w:val="000000"/>
          <w:sz w:val="22"/>
        </w:rPr>
        <w:t xml:space="preserve">Exception:  For foster care recovery cases, the guidelines schedule will be used as set forth in subrule </w:t>
      </w:r>
      <w:r>
        <w:rPr>
          <w:rFonts w:ascii="Times New Roman" w:hAnsi="Times New Roman"/>
          <w:b w:val="false"/>
          <w:i w:val="false"/>
          <w:color w:val="000000"/>
          <w:sz w:val="22"/>
        </w:rPr>
        <w:t>99.5(4)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99.4(2)</w:t>
      </w:r>
      <w:r>
        <w:rPr>
          <w:rFonts w:ascii="Times New Roman" w:hAnsi="Times New Roman"/>
          <w:b w:val="false"/>
          <w:i w:val="false"/>
          <w:color w:val="000000"/>
          <w:sz w:val="22"/>
        </w:rPr>
        <w:t> </w:t>
      </w:r>
      <w:r>
        <w:rPr>
          <w:rFonts w:ascii="Times New Roman" w:hAnsi="Times New Roman"/>
          <w:b w:val="false"/>
          <w:i/>
          <w:color w:val="000000"/>
          <w:sz w:val="22"/>
        </w:rPr>
        <w:t xml:space="preserve">Establishing current support.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 </w:t>
      </w:r>
      <w:r>
        <w:rPr>
          <w:rFonts w:ascii="Times New Roman" w:hAnsi="Times New Roman"/>
          <w:b w:val="false"/>
          <w:i w:val="false"/>
          <w:color w:val="000000"/>
          <w:sz w:val="22"/>
        </w:rPr>
        <w:t>Child support services will calculate the amount of support as prescribed by the Iowa Supreme Court guidelines. Round amount of support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cases other than foster care, child support services will establish current support payable in monthly frequencies.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child support services may establish current support payable in monthly or weekly frequencies. To establish a weekly amount, child support services will divide the figure in paragraph </w:t>
      </w:r>
      <w:r>
        <w:rPr>
          <w:rFonts w:ascii="Times New Roman" w:hAnsi="Times New Roman"/>
          <w:b w:val="false"/>
          <w:i w:val="false"/>
          <w:color w:val="000000"/>
          <w:sz w:val="22"/>
        </w:rPr>
        <w:t>99.4(2)</w:t>
      </w:r>
      <w:r>
        <w:rPr>
          <w:rFonts w:ascii="Times New Roman" w:hAnsi="Times New Roman"/>
          <w:b w:val="false"/>
          <w:i/>
          <w:color w:val="000000"/>
          <w:sz w:val="22"/>
        </w:rPr>
        <w:t>“a”</w:t>
      </w:r>
      <w:r>
        <w:rPr>
          <w:rFonts w:ascii="Times New Roman" w:hAnsi="Times New Roman"/>
          <w:b w:val="false"/>
          <w:i w:val="false"/>
          <w:color w:val="000000"/>
          <w:sz w:val="22"/>
        </w:rPr>
        <w:t xml:space="preserve"> by 4.33 and round to the nearest whole dollar.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court orders joint (equally shared) physical care of a child or split or divided physical care of multiple children, child support services will calculate current support according to the Iowa Supreme Court guidelines for each parent assuming the other is the custodial parent. If a child begins receiving family investment program (FIP) benefits or if foster care funds are expended, an offset of the two amounts as a method of payment will be disallowed.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support will be zero if the noncustodial parent’s only income is Supplemental Security Income paid pursuant to </w:t>
      </w:r>
      <w:r>
        <w:rPr>
          <w:rFonts w:ascii="Times New Roman" w:hAnsi="Times New Roman"/>
          <w:b w:val="false"/>
          <w:i w:val="false"/>
          <w:color w:val="000000"/>
          <w:sz w:val="22"/>
        </w:rPr>
        <w:t>42 U.S.C. 1381a</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99.4(3)</w:t>
      </w:r>
      <w:r>
        <w:rPr>
          <w:rFonts w:ascii="Times New Roman" w:hAnsi="Times New Roman"/>
          <w:b w:val="false"/>
          <w:i w:val="false"/>
          <w:color w:val="000000"/>
          <w:sz w:val="22"/>
        </w:rPr>
        <w:t> </w:t>
      </w:r>
      <w:r>
        <w:rPr>
          <w:rFonts w:ascii="Times New Roman" w:hAnsi="Times New Roman"/>
          <w:b w:val="false"/>
          <w:i/>
          <w:color w:val="000000"/>
          <w:sz w:val="22"/>
        </w:rPr>
        <w:t xml:space="preserve">Establishing accrued support debt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 debt created. The payment of public assistance to or for the benefit of a dependent child or a dependent child’s caretaker creates an accrued support debt due and owing by the child’s parent to the department. The amount of the accrued support debt is based on the period of time public assistance payment or foster care funds were expended, but is not created for the period of receipt of public assistance on the parent’s own behalf for the benefit of the dependent child or the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Calculating accrued support debt. Child support services will calculate the accrued support debt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FIP benefits, child support services will use the period for which FIP was paid during the 36 months preceding the date the notice of support debt is prepared or the date the petition is filed. For foster care assistance, child support services will use the three-month period for which foster care assistance was paid prior to the date the initial notice to the noncustodial parent of the amount of support obligation is prepared, or the date a written request for a court hearing is received,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exclude periods the noncustodial parent received public assistance as a part of this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extend the period to include any additional periods public assistance is expended prior to the entry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calculate the amount of the obligation by using the current net income of both parents, the guidelines in effect at the time the order is entered, and the number of children of the noncustodial parent who were receiving public assistance for each month for which accrued support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calculate the total amount of the FIP support debt by multiplying the number of months for which assistance was paid times the determined guidelines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calculate the total amount of the foster care support debt by multiplying the number of months for which assistance was paid times the determined guidelines amount and will adjust this amount for weeks in which no foster care benefits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the accrued support repayment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cases other than foster care, child support services will establish the repayment amount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there is an ongoing obligation, the monthly repayment amount will be 10 percent of the ongoing amount unless the noncustodial parent agrees to a higher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order does not include ongoing support, the monthly repayment amount will be the same as the amount for ongoing support that would have been due if such an obligation had been established. However, when all of the children for whom accrued support debt is sought are residing with the noncustodial parent, the monthly repayment amount will be set at 10 percent of this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foster care cases, child support services will establish the repayment amount in the same manner as subparagraph </w:t>
      </w:r>
      <w:r>
        <w:rPr>
          <w:rFonts w:ascii="Times New Roman" w:hAnsi="Times New Roman"/>
          <w:b w:val="false"/>
          <w:i w:val="false"/>
          <w:color w:val="000000"/>
          <w:sz w:val="22"/>
        </w:rPr>
        <w:t>99.4(3)</w:t>
      </w:r>
      <w:r>
        <w:rPr>
          <w:rFonts w:ascii="Times New Roman" w:hAnsi="Times New Roman"/>
          <w:b w:val="false"/>
          <w:i/>
          <w:color w:val="000000"/>
          <w:sz w:val="22"/>
        </w:rPr>
        <w:t>“c”</w:t>
      </w:r>
      <w:r>
        <w:rPr>
          <w:rFonts w:ascii="Times New Roman" w:hAnsi="Times New Roman"/>
          <w:b w:val="false"/>
          <w:i w:val="false"/>
          <w:color w:val="000000"/>
          <w:sz w:val="22"/>
        </w:rPr>
        <w:t>(1), but may establish weekly amounts and if the order does not include ongoing support, the repayment amount will be set at 10 percent of the amount for ongoing support that would have been due if such an obligation had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99.4(4)</w:t>
      </w:r>
      <w:r>
        <w:rPr>
          <w:rFonts w:ascii="Times New Roman" w:hAnsi="Times New Roman"/>
          <w:b w:val="false"/>
          <w:i w:val="false"/>
          <w:color w:val="000000"/>
          <w:sz w:val="22"/>
        </w:rPr>
        <w:t> </w:t>
      </w:r>
      <w:r>
        <w:rPr>
          <w:rFonts w:ascii="Times New Roman" w:hAnsi="Times New Roman"/>
          <w:b w:val="false"/>
          <w:i/>
          <w:color w:val="000000"/>
          <w:sz w:val="22"/>
        </w:rPr>
        <w:t xml:space="preserve">Children in nonparental homes or foster care. </w:t>
      </w:r>
      <w:r>
        <w:rPr>
          <w:rFonts w:ascii="Times New Roman" w:hAnsi="Times New Roman"/>
          <w:b w:val="false"/>
          <w:i w:val="false"/>
          <w:color w:val="000000"/>
          <w:sz w:val="22"/>
        </w:rPr>
        <w:t>The parents of a child in a nonparental home or in foster care are severally liable for the support of the child. A support obligation will be established separately for each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Parents’ location known. When the location is known for both parents having a legal obligation to provide support for their children, the income of both parents will be used to determine the amount of ongoing support in accordance with the child support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Calculating support amount. There will be a separate calculation of each parent’s child support amount, regardless of whether the parents are married and living together, or living separately. Each calculation will assume that the parent for whom support is being calculated is the noncustodial parent and the other parent is the 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orders. If only one parent is paying support under a prior order for the children for whom support is being calculated, the amount of support paid will not be deducted from that parent’s net monthly income in computing the support amount for the other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parent’s location unknown. When the location of one parent is not known, procedures will be initiated to establish a support order against the parent whose location is known in accordance with the mandatory support guidelines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whose location is known will be considered the noncustodial parent and that parent’s income will be used to calculate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of the parent whose location is unknown will be determined by using the estimated median income for parents on the child support services caseload and that parent will be considered the custodial parent in calculating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one parent is deceased or has had parental rights terminated, the method used to calculate support when one parent’s location is not known will be used. The parent who is deceased or has had parental rights terminated will be considered the custodial parent with zero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99.4(5)</w:t>
      </w:r>
      <w:r>
        <w:rPr>
          <w:rFonts w:ascii="Times New Roman" w:hAnsi="Times New Roman"/>
          <w:b w:val="false"/>
          <w:i w:val="false"/>
          <w:color w:val="000000"/>
          <w:sz w:val="22"/>
        </w:rPr>
        <w:t> </w:t>
      </w:r>
      <w:r>
        <w:rPr>
          <w:rFonts w:ascii="Times New Roman" w:hAnsi="Times New Roman"/>
          <w:b w:val="false"/>
          <w:i/>
          <w:color w:val="000000"/>
          <w:sz w:val="22"/>
        </w:rPr>
        <w:t xml:space="preserve">Adjustment for extraordinary visitation or parenting time. </w:t>
      </w:r>
      <w:r>
        <w:rPr>
          <w:rFonts w:ascii="Times New Roman" w:hAnsi="Times New Roman"/>
          <w:b w:val="false"/>
          <w:i w:val="false"/>
          <w:color w:val="000000"/>
          <w:sz w:val="22"/>
        </w:rPr>
        <w:t>Child support services will calculate an extraordinary visitation or parenting time credit as specified in the Iowa Supreme Court guidelines. The credit will not reduce the child support below the amount required by the Iowa Supreme Court guidelines.</w:t>
      </w:r>
    </w:p>
    <w:p>
      <w:pPr>
        <w:spacing w:before="0" w:after="0"/>
        <w:ind w:left="120"/>
        <w:jc w:val="both"/>
      </w:pPr>
      <w:r>
        <w:rPr>
          <w:rFonts w:ascii="Times New Roman" w:hAnsi="Times New Roman"/>
          <w:b w:val="false"/>
          <w:i w:val="false"/>
          <w:color w:val="000000"/>
          <w:sz w:val="22"/>
        </w:rPr>
        <w:t>The extraordinary visitation adjustment or parenting time credit will be given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an existing order for the noncustodial parent that meets the criteria for extraordinary visitation or parenting time in excess of 127 overnights per year on an annual basis for the child for whom support is sought. The order granting visitation or parenting time can be a different order than the child support order. If a controlling order is determined pursuant to Iowa Code chapter </w:t>
      </w:r>
      <w:hyperlink r:id="rId8">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that controlling support order does not meet the criteria for extraordinary visitation or parenting time, there is another order that meets the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noncustodial parent has provided child support services with a file-stamped or certified copy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has not ordered equally shared physical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99.4(6)</w:t>
      </w:r>
      <w:r>
        <w:rPr>
          <w:rFonts w:ascii="Times New Roman" w:hAnsi="Times New Roman"/>
          <w:b w:val="false"/>
          <w:i w:val="false"/>
          <w:color w:val="000000"/>
          <w:sz w:val="22"/>
        </w:rPr>
        <w:t> </w:t>
      </w:r>
      <w:r>
        <w:rPr>
          <w:rFonts w:ascii="Times New Roman" w:hAnsi="Times New Roman"/>
          <w:b w:val="false"/>
          <w:i/>
          <w:color w:val="000000"/>
          <w:sz w:val="22"/>
        </w:rPr>
        <w:t xml:space="preserve">Establishing medical support. </w:t>
      </w:r>
      <w:r>
        <w:rPr>
          <w:rFonts w:ascii="Times New Roman" w:hAnsi="Times New Roman"/>
          <w:b w:val="false"/>
          <w:i w:val="false"/>
          <w:color w:val="000000"/>
          <w:sz w:val="22"/>
        </w:rPr>
        <w:t xml:space="preserve">Child support services will calculate medical support as required by Iowa Code chapter </w:t>
      </w:r>
      <w:hyperlink r:id="rId9">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the Iowa Supreme Court guidelines. The cost of the health insurance premium for the child is added to the basic support obligation and prorated between the parents as provided in the Iowa Supreme Court guidelines and the parent ordered to provide health insurance must provide verification of this expense or anticipated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441—99.5</w:t>
      </w:r>
      <w:r>
        <w:rPr>
          <w:rFonts w:ascii="Times New Roman" w:hAnsi="Times New Roman"/>
          <w:b/>
          <w:i w:val="false"/>
          <w:color w:val="000000"/>
          <w:sz w:val="22"/>
        </w:rPr>
        <w:t xml:space="preserve">(234,252B) </w:t>
      </w:r>
      <w:r>
        <w:rPr>
          <w:rFonts w:ascii="Times New Roman" w:hAnsi="Times New Roman"/>
          <w:b/>
          <w:i w:val="false"/>
          <w:color w:val="000000"/>
          <w:sz w:val="22"/>
        </w:rPr>
        <w:t xml:space="preserve">Deviation from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99.5(1)</w:t>
      </w:r>
      <w:r>
        <w:rPr>
          <w:rFonts w:ascii="Times New Roman" w:hAnsi="Times New Roman"/>
          <w:b w:val="false"/>
          <w:i w:val="false"/>
          <w:color w:val="000000"/>
          <w:sz w:val="22"/>
        </w:rPr>
        <w:t> </w:t>
      </w:r>
      <w:r>
        <w:rPr>
          <w:rFonts w:ascii="Times New Roman" w:hAnsi="Times New Roman"/>
          <w:b w:val="false"/>
          <w:i/>
          <w:color w:val="000000"/>
          <w:sz w:val="22"/>
        </w:rPr>
        <w:t xml:space="preserve">Criteria for deviation. </w:t>
      </w:r>
      <w:r>
        <w:rPr>
          <w:rFonts w:ascii="Times New Roman" w:hAnsi="Times New Roman"/>
          <w:b w:val="false"/>
          <w:i w:val="false"/>
          <w:color w:val="000000"/>
          <w:sz w:val="22"/>
        </w:rPr>
        <w:t>The court will not vary from the amount of child support that would result from application of the guidelines without a written finding as required by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99.5(2)</w:t>
      </w:r>
      <w:r>
        <w:rPr>
          <w:rFonts w:ascii="Times New Roman" w:hAnsi="Times New Roman"/>
          <w:b w:val="false"/>
          <w:i w:val="false"/>
          <w:color w:val="000000"/>
          <w:sz w:val="22"/>
        </w:rPr>
        <w:t> </w:t>
      </w:r>
      <w:r>
        <w:rPr>
          <w:rFonts w:ascii="Times New Roman" w:hAnsi="Times New Roman"/>
          <w:b w:val="false"/>
          <w:i/>
          <w:color w:val="000000"/>
          <w:sz w:val="22"/>
        </w:rPr>
        <w:t xml:space="preserve">Supporting financial and legal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requesting a deviation from the guidelines must provide supporting documentation. The supporting documentation must include an itemized list identifying the amount and nature of each adjustment requested. Failure to provide supporting documentation for a request for deviation will result in a denial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documents prepared for the court’s approval, such as stipulations and orders for support, will include language to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under the guidelines without allowance for deviations.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reasons for deviating from the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support calculated after allowing for the deviation.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99.5(3)</w:t>
      </w:r>
      <w:r>
        <w:rPr>
          <w:rFonts w:ascii="Times New Roman" w:hAnsi="Times New Roman"/>
          <w:b w:val="false"/>
          <w:i w:val="false"/>
          <w:color w:val="000000"/>
          <w:sz w:val="22"/>
        </w:rPr>
        <w:t> </w:t>
      </w:r>
      <w:r>
        <w:rPr>
          <w:rFonts w:ascii="Times New Roman" w:hAnsi="Times New Roman"/>
          <w:b w:val="false"/>
          <w:i/>
          <w:color w:val="000000"/>
          <w:sz w:val="22"/>
        </w:rPr>
        <w:t xml:space="preserve">Depreciation. </w:t>
      </w:r>
      <w:r>
        <w:rPr>
          <w:rFonts w:ascii="Times New Roman" w:hAnsi="Times New Roman"/>
          <w:b w:val="false"/>
          <w:i w:val="false"/>
          <w:color w:val="000000"/>
          <w:sz w:val="22"/>
        </w:rPr>
        <w:t>A parent may request a deduction for depreciation of machinery, equipment, or other property used to earn income. Straight-line depreciation will be the only type of depreciation that will be allowed as a deduction. Child support services will allow the straight-line depreciation amount as a deduction if the parent provides documentation from a tax preparer verifying the amount of straight-line depreciation being claimed. Straight-line depreciation is computed by deducting the property’s estimated salvage value from the cost of the property, and deducting that figure in equal yearly amounts over the period of the property’s remaining estimated useful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99.5(4)</w:t>
      </w:r>
      <w:r>
        <w:rPr>
          <w:rFonts w:ascii="Times New Roman" w:hAnsi="Times New Roman"/>
          <w:b w:val="false"/>
          <w:i w:val="false"/>
          <w:color w:val="000000"/>
          <w:sz w:val="22"/>
        </w:rPr>
        <w:t> </w:t>
      </w:r>
      <w:r>
        <w:rPr>
          <w:rFonts w:ascii="Times New Roman" w:hAnsi="Times New Roman"/>
          <w:b w:val="false"/>
          <w:i/>
          <w:color w:val="000000"/>
          <w:sz w:val="22"/>
        </w:rPr>
        <w:t xml:space="preserve">Foster care case. </w:t>
      </w:r>
      <w:r>
        <w:rPr>
          <w:rFonts w:ascii="Times New Roman" w:hAnsi="Times New Roman"/>
          <w:b w:val="false"/>
          <w:i w:val="false"/>
          <w:color w:val="000000"/>
          <w:sz w:val="22"/>
        </w:rPr>
        <w:t xml:space="preserve">In a foster care case, child support services may deviate from the guidelines by applying a 30 percent flat rate deduction for parents who provide financial documentation. The flat rate deduction represents expenses under the case permanency plan and financial hardship allowances or other circumstances contemplated in Iowa Code section </w:t>
      </w:r>
      <w:hyperlink r:id="rId10">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Child support services will calculate the support obligation of the parents of children in foster care when the parents have a legal obligation for additional dependents in the home, as follows: The support obligation of each parent will be calculated by allowing all deductions the parent is eligible for under the child support guidelines as provided in rule </w:t>
      </w:r>
      <w:hyperlink r:id="rId11">
        <w:r>
          <w:rPr>
            <w:rStyle w:val="Hyperlink"/>
            <w:rFonts w:ascii="Times New Roman" w:hAnsi="Times New Roman"/>
            <w:b w:val="false"/>
            <w:i w:val="false"/>
            <w:color w:val="000000"/>
            <w:sz w:val="22"/>
          </w:rPr>
          <w:t>441—99.2</w:t>
        </w:r>
      </w:hyperlink>
      <w:r>
        <w:rPr>
          <w:rFonts w:ascii="Times New Roman" w:hAnsi="Times New Roman"/>
          <w:b w:val="false"/>
          <w:i w:val="false"/>
          <w:color w:val="000000"/>
          <w:sz w:val="22"/>
        </w:rPr>
        <w:t>(234,252B) and by using the guidelines schedule corresponding to the sum of the children in the home for whom the parent has a legal obligation and the children in foster care. The calculated support amount will be divided by the total number of children in foster care and in the home to compute the support obligation of the parent for each child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99.5(5)</w:t>
      </w:r>
      <w:r>
        <w:rPr>
          <w:rFonts w:ascii="Times New Roman" w:hAnsi="Times New Roman"/>
          <w:b w:val="false"/>
          <w:i w:val="false"/>
          <w:color w:val="000000"/>
          <w:sz w:val="22"/>
        </w:rPr>
        <w:t> </w:t>
      </w:r>
      <w:r>
        <w:rPr>
          <w:rFonts w:ascii="Times New Roman" w:hAnsi="Times New Roman"/>
          <w:b w:val="false"/>
          <w:i/>
          <w:color w:val="000000"/>
          <w:sz w:val="22"/>
        </w:rPr>
        <w:t xml:space="preserve">Negotiation of accrued support debt. </w:t>
      </w:r>
      <w:r>
        <w:rPr>
          <w:rFonts w:ascii="Times New Roman" w:hAnsi="Times New Roman"/>
          <w:b w:val="false"/>
          <w:i w:val="false"/>
          <w:color w:val="000000"/>
          <w:sz w:val="22"/>
        </w:rPr>
        <w:t>Child Support Services may negotiate with a parent to establish the amount of accrued support debt owed to the department. In negotiating accrued support, the state does not represent the custodial parent. The custodial parent may intervene at any time prior to the filing of the order to contest the amount of the debt or request the entry of a judgment in the parent’s behalf that may otherwise be relinquished through negotiation or entry of a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441—99.6</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1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8965C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598.21(4)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7/12/95, Notice 5/24/95—published 8/2/95, effective 10/1/95]</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7/10/96, Notice 6/5/96—published 7/31/96, effective 10/1/96]</w:t>
      </w:r>
    </w:p>
    <w:p>
      <w:pPr>
        <w:spacing w:before="0" w:after="0"/>
        <w:ind w:left="120"/>
        <w:jc w:val="center"/>
      </w:pPr>
      <w:r>
        <w:rPr>
          <w:rFonts w:ascii="Times New Roman" w:hAnsi="Times New Roman"/>
          <w:b w:val="false"/>
          <w:i w:val="false"/>
          <w:color w:val="000000"/>
          <w:sz w:val="21"/>
        </w:rPr>
        <w:t>[Filed 10/9/96, Notice 8/28/96—published 11/6/96, effective 11/1/97]</w:t>
      </w:r>
    </w:p>
    <w:p>
      <w:pPr>
        <w:spacing w:before="0" w:after="0"/>
        <w:ind w:left="120"/>
        <w:jc w:val="center"/>
      </w:pPr>
      <w:r>
        <w:rPr>
          <w:rFonts w:ascii="Times New Roman" w:hAnsi="Times New Roman"/>
          <w:b w:val="false"/>
          <w:i w:val="false"/>
          <w:color w:val="000000"/>
          <w:sz w:val="21"/>
        </w:rPr>
        <w:t>[Filed 10/15/97, Notice 8/13/97—published 11/5/97, effective 1/1/98]</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6/1/98]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7/13/00, Notice 5/17/00—published 8/9/00, effective 10/1/00]</w:t>
      </w:r>
    </w:p>
    <w:p>
      <w:pPr>
        <w:spacing w:before="0" w:after="0"/>
        <w:ind w:left="120"/>
        <w:jc w:val="center"/>
      </w:pPr>
      <w:r>
        <w:rPr>
          <w:rFonts w:ascii="Times New Roman" w:hAnsi="Times New Roman"/>
          <w:b w:val="false"/>
          <w:i w:val="false"/>
          <w:color w:val="000000"/>
          <w:sz w:val="21"/>
        </w:rPr>
        <w:t>[Filed 1/9/03, Notice 11/13/02—published 2/5/03, effective 4/1/03]</w:t>
      </w:r>
    </w:p>
    <w:p>
      <w:pPr>
        <w:spacing w:before="0" w:after="0"/>
        <w:ind w:left="120"/>
        <w:jc w:val="center"/>
      </w:pPr>
      <w:r>
        <w:rPr>
          <w:rFonts w:ascii="Times New Roman" w:hAnsi="Times New Roman"/>
          <w:b w:val="false"/>
          <w:i w:val="false"/>
          <w:color w:val="000000"/>
          <w:sz w:val="21"/>
        </w:rPr>
        <w:t>[Filed 11/16/05, Notice 9/14/05—published 12/7/05, effective 2/1/06]</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9352B</w:t>
      </w:r>
      <w:r>
        <w:rPr>
          <w:rFonts w:ascii="Times New Roman" w:hAnsi="Times New Roman"/>
          <w:b w:val="false"/>
          <w:i w:val="false"/>
          <w:color w:val="000000"/>
          <w:sz w:val="21"/>
        </w:rPr>
        <w:t xml:space="preserve"> (Notice ARC 9195B, IAB 11/3/10)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1357C</w:t>
      </w:r>
      <w:r>
        <w:rPr>
          <w:rFonts w:ascii="Times New Roman" w:hAnsi="Times New Roman"/>
          <w:b w:val="false"/>
          <w:i w:val="false"/>
          <w:color w:val="000000"/>
          <w:sz w:val="21"/>
        </w:rPr>
        <w:t xml:space="preserve"> (Notice ARC 1228C, IAB 12/11/13)</w:t>
      </w:r>
      <w:r>
        <w:rPr>
          <w:rFonts w:ascii="Times New Roman" w:hAnsi="Times New Roman"/>
          <w:b w:val="false"/>
          <w:i w:val="false"/>
          <w:color w:val="000000"/>
          <w:sz w:val="21"/>
        </w:rPr>
        <w:t>, IAB 3/5/14, effective 5/1/14]</w:t>
      </w:r>
    </w:p>
    <w:p>
      <w:pPr>
        <w:spacing w:before="0" w:after="0"/>
        <w:ind w:left="120"/>
        <w:jc w:val="center"/>
      </w:pPr>
      <w:r>
        <w:rPr>
          <w:rFonts w:ascii="Times New Roman" w:hAnsi="Times New Roman"/>
          <w:b w:val="false"/>
          <w:i w:val="false"/>
          <w:color w:val="000000"/>
          <w:sz w:val="21"/>
        </w:rPr>
        <w:t>[Filed ARC 2813C</w:t>
      </w:r>
      <w:r>
        <w:rPr>
          <w:rFonts w:ascii="Times New Roman" w:hAnsi="Times New Roman"/>
          <w:b w:val="false"/>
          <w:i w:val="false"/>
          <w:color w:val="000000"/>
          <w:sz w:val="21"/>
        </w:rPr>
        <w:t xml:space="preserve"> (Notice ARC 2702C, IAB 8/31/16)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3719C</w:t>
      </w:r>
      <w:r>
        <w:rPr>
          <w:rFonts w:ascii="Times New Roman" w:hAnsi="Times New Roman"/>
          <w:b w:val="false"/>
          <w:i w:val="false"/>
          <w:color w:val="000000"/>
          <w:sz w:val="21"/>
        </w:rPr>
        <w:t xml:space="preserve"> (Notice ARC 3595C,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5892C</w:t>
      </w:r>
      <w:r>
        <w:rPr>
          <w:rFonts w:ascii="Times New Roman" w:hAnsi="Times New Roman"/>
          <w:b w:val="false"/>
          <w:i w:val="false"/>
          <w:color w:val="000000"/>
          <w:sz w:val="21"/>
        </w:rPr>
        <w:t xml:space="preserve"> (Notice ARC 5709C, IAB 6/16/21)</w:t>
      </w:r>
      <w:r>
        <w:rPr>
          <w:rFonts w:ascii="Times New Roman" w:hAnsi="Times New Roman"/>
          <w:b w:val="false"/>
          <w:i w:val="false"/>
          <w:color w:val="000000"/>
          <w:sz w:val="21"/>
        </w:rPr>
        <w:t>, IAB 9/8/21, effective 1/1/22]</w:t>
      </w:r>
    </w:p>
    <w:p>
      <w:pPr>
        <w:spacing w:before="0" w:after="0"/>
        <w:ind w:left="120"/>
        <w:jc w:val="center"/>
      </w:pPr>
      <w:r>
        <w:rPr>
          <w:rFonts w:ascii="Times New Roman" w:hAnsi="Times New Roman"/>
          <w:b w:val="false"/>
          <w:i w:val="false"/>
          <w:color w:val="000000"/>
          <w:sz w:val="21"/>
        </w:rPr>
        <w:t>[Filed ARC 6856C</w:t>
      </w:r>
      <w:r>
        <w:rPr>
          <w:rFonts w:ascii="Times New Roman" w:hAnsi="Times New Roman"/>
          <w:b w:val="false"/>
          <w:i w:val="false"/>
          <w:color w:val="000000"/>
          <w:sz w:val="21"/>
        </w:rPr>
        <w:t xml:space="preserve"> (Notice ARC 6692C,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8965C</w:t>
      </w:r>
      <w:r>
        <w:rPr>
          <w:rFonts w:ascii="Times New Roman" w:hAnsi="Times New Roman"/>
          <w:b w:val="false"/>
          <w:i w:val="false"/>
          <w:color w:val="000000"/>
          <w:sz w:val="21"/>
        </w:rPr>
        <w:t xml:space="preserve"> (Notice ARC 8557C,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9.2.pdf" Type="http://schemas.openxmlformats.org/officeDocument/2006/relationships/hyperlink" Id="rId5"/>
    <Relationship TargetMode="External" Target="https://www.legis.iowa.gov/docs/ico/chapter/252H.pdf" Type="http://schemas.openxmlformats.org/officeDocument/2006/relationships/hyperlink" Id="rId6"/>
    <Relationship TargetMode="External" Target="https://www.legis.iowa.gov/docs/iac/rule/441.41.8.pdf" Type="http://schemas.openxmlformats.org/officeDocument/2006/relationships/hyperlink" Id="rId7"/>
    <Relationship TargetMode="External" Target="https://www.legis.iowa.gov/docs/ico/chapter/252K.pdf" Type="http://schemas.openxmlformats.org/officeDocument/2006/relationships/hyperlink" Id="rId8"/>
    <Relationship TargetMode="External" Target="https://www.legis.iowa.gov/docs/ico/chapter/252E.pdf" Type="http://schemas.openxmlformats.org/officeDocument/2006/relationships/hyperlink" Id="rId9"/>
    <Relationship TargetMode="External" Target="https://www.legis.iowa.gov/docs/ico/chapter/234.39.pdf" Type="http://schemas.openxmlformats.org/officeDocument/2006/relationships/hyperlink" Id="rId10"/>
    <Relationship TargetMode="External" Target="https://www.legis.iowa.gov/docs/iac/rule/441.99.2.pdf" Type="http://schemas.openxmlformats.org/officeDocument/2006/relationships/hyperlink" Id="rId11"/>
    <Relationship TargetMode="External" Target="https://www.legis.iowa.gov/docs/iac/chapter/441.7.pdf" Type="http://schemas.openxmlformats.org/officeDocument/2006/relationships/hyperlink" Id="rId12"/>
    <Relationship TargetMode="External" Target="https://www.legis.iowa.gov/docs/ico/chapter/234.39.pdf" Type="http://schemas.openxmlformats.org/officeDocument/2006/relationships/hyperlink" Id="rId13"/>
    <Relationship TargetMode="External" Target="https://www.legis.iowa.gov/docs/ico/chapter/252B.3.pdf" Type="http://schemas.openxmlformats.org/officeDocument/2006/relationships/hyperlink" Id="rId14"/>
    <Relationship TargetMode="External" Target="https://www.legis.iowa.gov/docs/ico/chapter/252B.5.pdf" Type="http://schemas.openxmlformats.org/officeDocument/2006/relationships/hyperlink" Id="rId15"/>
    <Relationship TargetMode="External" Target="https://www.legis.iowa.gov/docs/ico/chapter/252B.7A.pdf" Type="http://schemas.openxmlformats.org/officeDocument/2006/relationships/hyperlink" Id="rId16"/>
    <Relationship TargetMode="External" Target="https://www.legis.iowa.gov/docs/ico/chapter/598.21.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