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X</w:t>
      </w:r>
    </w:p>
    <w:p>
      <w:pPr>
        <w:pBdr>
          <w:bottom w:space="3"/>
        </w:pBdr>
        <w:spacing w:before="0" w:after="0"/>
        <w:ind w:left="120"/>
        <w:jc w:val="center"/>
      </w:pPr>
      <w:r>
        <w:rPr>
          <w:rFonts w:ascii="Times New Roman" w:hAnsi="Times New Roman"/>
          <w:b w:val="false"/>
          <w:i/>
          <w:color w:val="000000"/>
          <w:sz w:val="16"/>
        </w:rPr>
        <w:t>SUPPORT RECOVERY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w:t>
      </w:r>
    </w:p>
    <w:p>
      <w:pPr>
        <w:spacing w:before="0" w:after="0"/>
        <w:ind w:left="120"/>
        <w:jc w:val="center"/>
      </w:pPr>
      <w:r>
        <w:rPr>
          <w:rFonts w:ascii="Times New Roman" w:hAnsi="Times New Roman"/>
          <w:b w:val="false"/>
          <w:i w:val="false"/>
          <w:color w:val="000000"/>
          <w:sz w:val="21"/>
        </w:rPr>
        <w:t>CHILD SUPPORT PROMOTING OPPORTUNITIES FOR PARENTS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441—94.1</w:t>
      </w:r>
      <w:r>
        <w:rPr>
          <w:rFonts w:ascii="Times New Roman" w:hAnsi="Times New Roman"/>
          <w:b/>
          <w:i w:val="false"/>
          <w:color w:val="000000"/>
          <w:sz w:val="22"/>
        </w:rPr>
        <w:t xml:space="preserve">(252B)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“Assigned support arrearages” </w:t>
      </w:r>
      <w:r>
        <w:rPr>
          <w:rFonts w:ascii="Times New Roman" w:hAnsi="Times New Roman"/>
          <w:b w:val="false"/>
          <w:i w:val="false"/>
          <w:color w:val="000000"/>
          <w:sz w:val="22"/>
        </w:rPr>
        <w:t>means support arrearages for which all rights have been and will remain assigned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provider” </w:t>
      </w:r>
      <w:r>
        <w:rPr>
          <w:rFonts w:ascii="Times New Roman" w:hAnsi="Times New Roman"/>
          <w:b w:val="false"/>
          <w:i w:val="false"/>
          <w:color w:val="000000"/>
          <w:sz w:val="22"/>
        </w:rPr>
        <w:t>means any project approved in whole or in part by child support services and approved by the department to assist parents in overcoming the barriers that interfere with fulfilling obligations to their children. Each project must have a project plan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“Incentives” </w:t>
      </w:r>
      <w:r>
        <w:rPr>
          <w:rFonts w:ascii="Times New Roman" w:hAnsi="Times New Roman"/>
          <w:b w:val="false"/>
          <w:i w:val="false"/>
          <w:color w:val="000000"/>
          <w:sz w:val="22"/>
        </w:rPr>
        <w:t>means satisfaction of support obligations and bypass of select enforcement tools, such as license sanction, administrative levy, and contempt.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 person who receives services or incentives through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“Periodic support payment” </w:t>
      </w:r>
      <w:r>
        <w:rPr>
          <w:rFonts w:ascii="Times New Roman" w:hAnsi="Times New Roman"/>
          <w:b w:val="false"/>
          <w:i w:val="false"/>
          <w:color w:val="000000"/>
          <w:sz w:val="22"/>
        </w:rPr>
        <w:t xml:space="preserve">means the total support payment due in each time period in accordance with the established support obligation. If no current support is due, the periodic support payment is equivalent to the last current support amount as would be ordered under </w:t>
      </w:r>
      <w:hyperlink r:id="rId5">
        <w:r>
          <w:rPr>
            <w:rStyle w:val="Hyperlink"/>
            <w:rFonts w:ascii="Times New Roman" w:hAnsi="Times New Roman"/>
            <w:b w:val="false"/>
            <w:i w:val="false"/>
            <w:color w:val="000000"/>
            <w:sz w:val="22"/>
          </w:rPr>
          <w:t>441—Chapter 98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plan” </w:t>
      </w:r>
      <w:r>
        <w:rPr>
          <w:rFonts w:ascii="Times New Roman" w:hAnsi="Times New Roman"/>
          <w:b w:val="false"/>
          <w:i w:val="false"/>
          <w:color w:val="000000"/>
          <w:sz w:val="22"/>
        </w:rPr>
        <w:t xml:space="preserve">means the written policies, procedures, eligibility criteria and other components as described in subrule </w:t>
      </w:r>
      <w:r>
        <w:rPr>
          <w:rFonts w:ascii="Times New Roman" w:hAnsi="Times New Roman"/>
          <w:b w:val="false"/>
          <w:i w:val="false"/>
          <w:color w:val="000000"/>
          <w:sz w:val="22"/>
        </w:rPr>
        <w:t>94.3(2)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8960C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441—94.2</w:t>
      </w:r>
      <w:r>
        <w:rPr>
          <w:rFonts w:ascii="Times New Roman" w:hAnsi="Times New Roman"/>
          <w:b/>
          <w:i w:val="false"/>
          <w:color w:val="000000"/>
          <w:sz w:val="22"/>
        </w:rPr>
        <w:t xml:space="preserve">(252B) </w:t>
      </w:r>
      <w:r>
        <w:rPr>
          <w:rFonts w:ascii="Times New Roman" w:hAnsi="Times New Roman"/>
          <w:b/>
          <w:i w:val="false"/>
          <w:color w:val="000000"/>
          <w:sz w:val="22"/>
        </w:rPr>
        <w:t xml:space="preserve">Purpose and incentives. </w:t>
      </w:r>
      <w:r>
        <w:rPr>
          <w:rFonts w:ascii="Times New Roman" w:hAnsi="Times New Roman"/>
          <w:b w:val="false"/>
          <w:i w:val="false"/>
          <w:color w:val="000000"/>
          <w:sz w:val="22"/>
        </w:rPr>
        <w:t>Child support services may partner with community providers and resources to offer incentives to participants to assist in overcoming barriers to fulfilling their obligations and  to encourage participants’ completion of the project. The available incentives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94.2(1)</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the assigned support arrearages.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participant will be granted a partial satisfaction of the assigned support arrearages that are and that will remain owed by that participant to the state after that participant’s successful completion of the project and payment of that participant’s periodic support payments. Satisfactions granted under this subrule will apply only to those cases for which periodic support payment is credited.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satisfaction will be an amount equal to a percentage of that participant’s support arrearages, which are and which will remain owed to the state, according to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one-time satisfaction after six consecutive months from the participant’s completion of the project. The amount of satisfaction will be a percentage based on the amount of periodic support paid on all qualifying cases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100 percent of the periodic support is paid, the satisfaction amount will equal 50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99 to 80 percent of the periodic support is paid, the satisfaction amount will equal 40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79 to 60 percent of the periodic support is paid, the satisfaction amount will equal 30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59 to 40 percent of the periodic support is paid, the satisfaction amount will equal 20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39 to 20 percent of the periodic support is paid, the satisfaction amount will equal 10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19 to 0 percent of the periodic support is paid, the satisfaction amount will equal 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one-time satisfaction after 12 consecutive months from the participant’s completion of the project. The amount of satisfaction will be a percentage based on the amount of periodic support paid on all qualifying cases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100 percent of the periodic support is paid, the satisfaction amount will equal 100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99 to 80 percent of the periodic support is paid, the satisfaction amount will equal 80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79 to 60 percent of the periodic support is paid, the satisfaction amount will equal 60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59 to 40 percent of the periodic support is paid, the satisfaction amount will equal 40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39 to 20 percent of the periodic support is paid, the satisfaction amount will equal 20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19 to 0 percent of the periodic support is paid, the satisfaction amount will equal 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participant subject to an income withholding order will be eligible for the satisfaction in this subrule if the sole reason for ineligibility is a disparity between the schedules of the participant’s pay date and the scheduled date the payment is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participant will be eligible for a satisfaction under this subrule if the participant is no longer a participant but has continued to pay the participant’s periodic support payment without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94.2(2)</w:t>
      </w:r>
      <w:r>
        <w:rPr>
          <w:rFonts w:ascii="Times New Roman" w:hAnsi="Times New Roman"/>
          <w:b w:val="false"/>
          <w:i w:val="false"/>
          <w:color w:val="000000"/>
          <w:sz w:val="22"/>
        </w:rPr>
        <w:t> </w:t>
      </w:r>
      <w:r>
        <w:rPr>
          <w:rFonts w:ascii="Times New Roman" w:hAnsi="Times New Roman"/>
          <w:b w:val="false"/>
          <w:i/>
          <w:color w:val="000000"/>
          <w:sz w:val="22"/>
        </w:rPr>
        <w:t xml:space="preserve">Enforcement processes. </w:t>
      </w:r>
      <w:r>
        <w:rPr>
          <w:rFonts w:ascii="Times New Roman" w:hAnsi="Times New Roman"/>
          <w:b w:val="false"/>
          <w:i w:val="false"/>
          <w:color w:val="000000"/>
          <w:sz w:val="22"/>
        </w:rPr>
        <w:t>Child support services may bypass select enforcement tools if the participant is actively in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8960C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441—94.3</w:t>
      </w:r>
      <w:r>
        <w:rPr>
          <w:rFonts w:ascii="Times New Roman" w:hAnsi="Times New Roman"/>
          <w:b/>
          <w:i w:val="false"/>
          <w:color w:val="000000"/>
          <w:sz w:val="22"/>
        </w:rPr>
        <w:t xml:space="preserve">(252B) </w:t>
      </w:r>
      <w:r>
        <w:rPr>
          <w:rFonts w:ascii="Times New Roman" w:hAnsi="Times New Roman"/>
          <w:b/>
          <w:i w:val="false"/>
          <w:color w:val="000000"/>
          <w:sz w:val="22"/>
        </w:rPr>
        <w:t xml:space="preserve">Establishment of designated providers. </w:t>
      </w:r>
      <w:r>
        <w:rPr>
          <w:rFonts w:ascii="Times New Roman" w:hAnsi="Times New Roman"/>
          <w:b w:val="false"/>
          <w:i w:val="false"/>
          <w:color w:val="000000"/>
          <w:sz w:val="22"/>
        </w:rPr>
        <w:t>Child support services may initiate a request for project plans to become designated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w:t>
      </w:r>
      <w:r>
        <w:rPr>
          <w:rFonts w:ascii="Times New Roman" w:hAnsi="Times New Roman"/>
          <w:b w:val="false"/>
          <w:i w:val="false"/>
          <w:color w:val="000000"/>
          <w:sz w:val="22"/>
        </w:rPr>
        <w:t> </w:t>
      </w:r>
      <w:r>
        <w:rPr>
          <w:rFonts w:ascii="Times New Roman" w:hAnsi="Times New Roman"/>
          <w:b w:val="false"/>
          <w:i/>
          <w:color w:val="000000"/>
          <w:sz w:val="22"/>
        </w:rPr>
        <w:t xml:space="preserve">Contents of a request for project plans. </w:t>
      </w:r>
      <w:r>
        <w:rPr>
          <w:rFonts w:ascii="Times New Roman" w:hAnsi="Times New Roman"/>
          <w:b w:val="false"/>
          <w:i w:val="false"/>
          <w:color w:val="000000"/>
          <w:sz w:val="22"/>
        </w:rPr>
        <w:t>The request for project plans will contain the requirements for contents of the project plan and any other parameter for the specific project being advertised. The request will also contain a deadline by which project plans must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w:t>
      </w:r>
      <w:r>
        <w:rPr>
          <w:rFonts w:ascii="Times New Roman" w:hAnsi="Times New Roman"/>
          <w:b w:val="false"/>
          <w:i w:val="false"/>
          <w:color w:val="000000"/>
          <w:sz w:val="22"/>
        </w:rPr>
        <w:t> </w:t>
      </w:r>
      <w:r>
        <w:rPr>
          <w:rFonts w:ascii="Times New Roman" w:hAnsi="Times New Roman"/>
          <w:b w:val="false"/>
          <w:i/>
          <w:color w:val="000000"/>
          <w:sz w:val="22"/>
        </w:rPr>
        <w:t xml:space="preserve">Contents of project plans. </w:t>
      </w:r>
      <w:r>
        <w:rPr>
          <w:rFonts w:ascii="Times New Roman" w:hAnsi="Times New Roman"/>
          <w:b w:val="false"/>
          <w:i w:val="false"/>
          <w:color w:val="000000"/>
          <w:sz w:val="22"/>
        </w:rPr>
        <w:t>Each project will have and maintain a project plan. At a minimum, the project plan will contain or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experience and success at integrating collaborations and services essential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geographic area to be served and community need for projected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projected number of participants to be served and the criteria to be used for the selection and termination of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specific parenting curriculum to be used. The curriculum must be well-established, have a track record of use and be field-tested.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components of the curriculum. The components of the curriculum should include personal development, responsible parenting, parenting skills, financial responsibilities, communication skills, and domestic violence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schedule, location, hours of instruction and format for administering the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the organization and identification of staff responsible for delivering the curriculum. The staff should have experience in group facilitation and be certified trainers in the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clear explanation of how the curriculum and services will be monitored and evaluated, including how the participants will be tracked and what data will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Project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94.3(3)</w:t>
      </w:r>
      <w:r>
        <w:rPr>
          <w:rFonts w:ascii="Times New Roman" w:hAnsi="Times New Roman"/>
          <w:b w:val="false"/>
          <w:i w:val="false"/>
          <w:color w:val="000000"/>
          <w:sz w:val="22"/>
        </w:rPr>
        <w:t> </w:t>
      </w:r>
      <w:r>
        <w:rPr>
          <w:rFonts w:ascii="Times New Roman" w:hAnsi="Times New Roman"/>
          <w:b w:val="false"/>
          <w:i/>
          <w:color w:val="000000"/>
          <w:sz w:val="22"/>
        </w:rPr>
        <w:t xml:space="preserve">Amendments to project plan. </w:t>
      </w:r>
      <w:r>
        <w:rPr>
          <w:rFonts w:ascii="Times New Roman" w:hAnsi="Times New Roman"/>
          <w:b w:val="false"/>
          <w:i w:val="false"/>
          <w:color w:val="000000"/>
          <w:sz w:val="22"/>
        </w:rPr>
        <w:t>Participants may submit proposed amendments to their project plan in writing to the department. The department will have the option, after review, of approving or disapproving all proposed amendments to the project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8960C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441—94.4</w:t>
      </w:r>
      <w:r>
        <w:rPr>
          <w:rFonts w:ascii="Times New Roman" w:hAnsi="Times New Roman"/>
          <w:b/>
          <w:i w:val="false"/>
          <w:color w:val="000000"/>
          <w:sz w:val="22"/>
        </w:rPr>
        <w:t xml:space="preserve">(252B) </w:t>
      </w:r>
      <w:r>
        <w:rPr>
          <w:rFonts w:ascii="Times New Roman" w:hAnsi="Times New Roman"/>
          <w:b/>
          <w:i w:val="false"/>
          <w:color w:val="000000"/>
          <w:sz w:val="22"/>
        </w:rPr>
        <w:t xml:space="preserve">Selection of designated providers. </w:t>
      </w:r>
      <w:r>
        <w:rPr>
          <w:rFonts w:ascii="Times New Roman" w:hAnsi="Times New Roman"/>
          <w:b w:val="false"/>
          <w:i w:val="false"/>
          <w:color w:val="000000"/>
          <w:sz w:val="22"/>
        </w:rPr>
        <w:t>The department will have sole authority to select designated providers. The department will select which of the project plans received on or before the deadline date will be granted the status of designated providers. The selection of designated providers will be based upon the content of the project plan and must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Applicant’s experience.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Geographic area selected and community need for the project.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Participants to be served and criteria to be used to select participants and terminate their participation.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parenting curriculum to be used.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description of the components of the curriculum.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schedule, location, hours of instruction and format for administering the curriculum.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description of the organization and identification of staff.</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 explanation of monitoring and evaluation.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Project duration.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8960C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441—94.5</w:t>
      </w:r>
      <w:r>
        <w:rPr>
          <w:rFonts w:ascii="Times New Roman" w:hAnsi="Times New Roman"/>
          <w:b/>
          <w:i w:val="false"/>
          <w:color w:val="000000"/>
          <w:sz w:val="22"/>
        </w:rPr>
        <w:t xml:space="preserve">(252B) </w:t>
      </w:r>
      <w:r>
        <w:rPr>
          <w:rFonts w:ascii="Times New Roman" w:hAnsi="Times New Roman"/>
          <w:b/>
          <w:i w:val="false"/>
          <w:color w:val="000000"/>
          <w:sz w:val="22"/>
        </w:rPr>
        <w:t xml:space="preserve">Termination of designated providers. </w:t>
      </w:r>
      <w:r>
        <w:rPr>
          <w:rFonts w:ascii="Times New Roman" w:hAnsi="Times New Roman"/>
          <w:b w:val="false"/>
          <w:i w:val="false"/>
          <w:color w:val="000000"/>
          <w:sz w:val="22"/>
        </w:rPr>
        <w:t>The department  may immediately terminate child support services’ participation with a designated provider if the designated provider is not fulfilling the terms of its project plan or the designated provider is not fulfilling the terms for child support services’ participation in the project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8960C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441—94.6</w:t>
      </w:r>
      <w:r>
        <w:rPr>
          <w:rFonts w:ascii="Times New Roman" w:hAnsi="Times New Roman"/>
          <w:b/>
          <w:i w:val="false"/>
          <w:color w:val="000000"/>
          <w:sz w:val="22"/>
        </w:rPr>
        <w:t xml:space="preserve">(252B) </w:t>
      </w:r>
      <w:r>
        <w:rPr>
          <w:rFonts w:ascii="Times New Roman" w:hAnsi="Times New Roman"/>
          <w:b/>
          <w:i w:val="false"/>
          <w:color w:val="000000"/>
          <w:sz w:val="22"/>
        </w:rPr>
        <w:t xml:space="preserve">Reports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94.6(1)</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Designated providers established under these rules must report to child support services at least monthly unless otherwise mandated by the project plan. These reports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Attendance documentation with the names of participants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Signed voluntary consent of participants seeking incentives.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of participants completing the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information as specified in the project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94.6(2)</w:t>
      </w:r>
      <w:r>
        <w:rPr>
          <w:rFonts w:ascii="Times New Roman" w:hAnsi="Times New Roman"/>
          <w:b w:val="false"/>
          <w:i w:val="false"/>
          <w:color w:val="000000"/>
          <w:sz w:val="22"/>
        </w:rPr>
        <w:t> </w:t>
      </w:r>
      <w:r>
        <w:rPr>
          <w:rFonts w:ascii="Times New Roman" w:hAnsi="Times New Roman"/>
          <w:b w:val="false"/>
          <w:i/>
          <w:color w:val="000000"/>
          <w:sz w:val="22"/>
        </w:rPr>
        <w:t xml:space="preserve">Records retention. </w:t>
      </w:r>
      <w:r>
        <w:rPr>
          <w:rFonts w:ascii="Times New Roman" w:hAnsi="Times New Roman"/>
          <w:b w:val="false"/>
          <w:i w:val="false"/>
          <w:color w:val="000000"/>
          <w:sz w:val="22"/>
        </w:rPr>
        <w:t>Designated providers must retain all records as necessary to meet the requirements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8960C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441—94.7</w:t>
      </w:r>
      <w:r>
        <w:rPr>
          <w:rFonts w:ascii="Times New Roman" w:hAnsi="Times New Roman"/>
          <w:b/>
          <w:i w:val="false"/>
          <w:color w:val="000000"/>
          <w:sz w:val="22"/>
        </w:rPr>
        <w:t xml:space="preserve">(252B) </w:t>
      </w:r>
      <w:r>
        <w:rPr>
          <w:rFonts w:ascii="Times New Roman" w:hAnsi="Times New Roman"/>
          <w:b/>
          <w:i w:val="false"/>
          <w:color w:val="000000"/>
          <w:sz w:val="22"/>
        </w:rPr>
        <w:t xml:space="preserve">Receipt of incentives. </w:t>
      </w:r>
      <w:r>
        <w:rPr>
          <w:rFonts w:ascii="Times New Roman" w:hAnsi="Times New Roman"/>
          <w:b w:val="false"/>
          <w:i w:val="false"/>
          <w:color w:val="000000"/>
          <w:sz w:val="22"/>
        </w:rPr>
        <w:t xml:space="preserve">Participants receiving incentives under these rules may continue to receive the incentives after the termination of these rules or after they are no longer participants only under subrule </w:t>
      </w:r>
      <w:r>
        <w:rPr>
          <w:rFonts w:ascii="Times New Roman" w:hAnsi="Times New Roman"/>
          <w:b w:val="false"/>
          <w:i w:val="false"/>
          <w:color w:val="000000"/>
          <w:sz w:val="22"/>
        </w:rPr>
        <w:t>94.2(1)</w:t>
      </w:r>
      <w:r>
        <w:rPr>
          <w:rFonts w:ascii="Times New Roman" w:hAnsi="Times New Roman"/>
          <w:b w:val="false"/>
          <w:i w:val="false"/>
          <w:color w:val="000000"/>
          <w:sz w:val="22"/>
        </w:rPr>
        <w:t xml:space="preserve">. Subrule </w:t>
      </w:r>
      <w:r>
        <w:rPr>
          <w:rFonts w:ascii="Times New Roman" w:hAnsi="Times New Roman"/>
          <w:b w:val="false"/>
          <w:i w:val="false"/>
          <w:color w:val="000000"/>
          <w:sz w:val="22"/>
        </w:rPr>
        <w:t>94.2(1)</w:t>
      </w:r>
      <w:r>
        <w:rPr>
          <w:rFonts w:ascii="Times New Roman" w:hAnsi="Times New Roman"/>
          <w:b w:val="false"/>
          <w:i w:val="false"/>
          <w:color w:val="000000"/>
          <w:sz w:val="22"/>
        </w:rPr>
        <w:t xml:space="preserve"> will apply to a participant or former participant for the full time period allowed in that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8960C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441—94.8</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Child support services actions under this chapter are not subject to administrative appeal under </w:t>
      </w:r>
      <w:hyperlink r:id="rId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8960C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252B.3(5)</w:t>
        </w:r>
      </w:hyperlink>
      <w:r>
        <w:rPr>
          <w:rFonts w:ascii="Times New Roman" w:hAnsi="Times New Roman"/>
          <w:b w:val="false"/>
          <w:i w:val="false"/>
          <w:color w:val="000000"/>
          <w:sz w:val="22"/>
        </w:rPr>
        <w:t xml:space="preserve"> and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8960C</w:t>
      </w:r>
      <w:r>
        <w:rPr>
          <w:rFonts w:ascii="Times New Roman" w:hAnsi="Times New Roman"/>
          <w:b w:val="false"/>
          <w:i w:val="false"/>
          <w:color w:val="000000"/>
          <w:sz w:val="21"/>
        </w:rPr>
        <w:t xml:space="preserve"> (Notice ARC 8548C, IAB 12/25/24)</w:t>
      </w:r>
      <w:r>
        <w:rPr>
          <w:rFonts w:ascii="Times New Roman" w:hAnsi="Times New Roman"/>
          <w:b w:val="false"/>
          <w:i w:val="false"/>
          <w:color w:val="000000"/>
          <w:sz w:val="21"/>
        </w:rPr>
        <w:t>, IAB 2/19/25, effective 4/1/25]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98.pdf" Type="http://schemas.openxmlformats.org/officeDocument/2006/relationships/hyperlink" Id="rId5"/>
    <Relationship TargetMode="External" Target="https://www.legis.iowa.gov/docs/iac/chapter/441.7.pdf" Type="http://schemas.openxmlformats.org/officeDocument/2006/relationships/hyperlink" Id="rId6"/>
    <Relationship TargetMode="External" Target="https://www.legis.iowa.gov/docs/ico/chapter/252B.3.pdf" Type="http://schemas.openxmlformats.org/officeDocument/2006/relationships/hyperlink" Id="rId7"/>
    <Relationship TargetMode="External" Target="https://www.legis.iowa.gov/docs/ico/chapter/17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