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IX</w:t>
      </w:r>
    </w:p>
    <w:p>
      <w:pPr>
        <w:pBdr>
          <w:bottom w:space="3"/>
        </w:pBdr>
        <w:spacing w:before="0" w:after="0"/>
        <w:ind w:left="120"/>
        <w:jc w:val="center"/>
      </w:pPr>
      <w:r>
        <w:rPr>
          <w:rFonts w:ascii="Times New Roman" w:hAnsi="Times New Roman"/>
          <w:b w:val="false"/>
          <w:i/>
          <w:color w:val="000000"/>
          <w:sz w:val="16"/>
        </w:rPr>
        <w:t>WORK INCENTIVE DEMONSTRATION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93</w:t>
      </w:r>
    </w:p>
    <w:p>
      <w:pPr>
        <w:spacing w:before="0" w:after="0"/>
        <w:ind w:left="120"/>
        <w:jc w:val="center"/>
      </w:pPr>
      <w:r>
        <w:rPr>
          <w:rFonts w:ascii="Times New Roman" w:hAnsi="Times New Roman"/>
          <w:b w:val="false"/>
          <w:i w:val="false"/>
          <w:color w:val="000000"/>
          <w:sz w:val="21"/>
        </w:rPr>
        <w:t>PROMISE JOBS PROGRAM</w:t>
      </w:r>
    </w:p>
    <w:p>
      <w:pPr>
        <w:spacing w:before="0" w:after="0"/>
        <w:ind w:left="120"/>
        <w:jc w:val="center"/>
      </w:pPr>
      <w:r>
        <w:rPr>
          <w:rFonts w:ascii="Times New Roman" w:hAnsi="Times New Roman"/>
          <w:b w:val="false"/>
          <w:i w:val="false"/>
          <w:color w:val="000000"/>
          <w:sz w:val="14"/>
        </w:rPr>
        <w:t xml:space="preserve">[Prior to 7/1/89, see </w:t>
      </w:r>
      <w:hyperlink r:id="rId4">
        <w:r>
          <w:rPr>
            <w:rStyle w:val="Hyperlink"/>
            <w:rFonts w:ascii="Times New Roman" w:hAnsi="Times New Roman"/>
            <w:b w:val="false"/>
            <w:i w:val="false"/>
            <w:color w:val="000000"/>
            <w:sz w:val="14"/>
          </w:rPr>
          <w:t>441—Chapters 55</w:t>
        </w:r>
      </w:hyperlink>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00"/>
            <w:sz w:val="14"/>
          </w:rPr>
          <w:t>59</w:t>
        </w:r>
      </w:hyperlink>
      <w:r>
        <w:rPr>
          <w:rFonts w:ascii="Times New Roman" w:hAnsi="Times New Roman"/>
          <w:b w:val="false"/>
          <w:i w:val="false"/>
          <w:color w:val="000000"/>
          <w:sz w:val="14"/>
        </w:rPr>
        <w:t xml:space="preserve"> and </w:t>
      </w:r>
      <w:hyperlink r:id="rId6">
        <w:r>
          <w:rPr>
            <w:rStyle w:val="Hyperlink"/>
            <w:rFonts w:ascii="Times New Roman" w:hAnsi="Times New Roman"/>
            <w:b w:val="false"/>
            <w:i w:val="false"/>
            <w:color w:val="000000"/>
            <w:sz w:val="14"/>
          </w:rPr>
          <w:t>90</w:t>
        </w:r>
      </w:hyperlink>
      <w:r>
        <w:rPr>
          <w:rFonts w:ascii="Times New Roman" w:hAnsi="Times New Roman"/>
          <w:b w:val="false"/>
          <w:i w:val="false"/>
          <w:color w:val="000000"/>
          <w:sz w:val="14"/>
        </w:rPr>
        <w: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7">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441—93.1</w:t>
      </w:r>
      <w:r>
        <w:rPr>
          <w:rFonts w:ascii="Times New Roman" w:hAnsi="Times New Roman"/>
          <w:b/>
          <w:i w:val="false"/>
          <w:color w:val="000000"/>
          <w:sz w:val="22"/>
        </w:rPr>
        <w:t xml:space="preserve">(239B)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means a child for whom assistance is being requested under the family investment program, any parent living in the home with the child, and any nonparental relative as defined in </w:t>
      </w:r>
      <w:hyperlink r:id="rId8">
        <w:r>
          <w:rPr>
            <w:rStyle w:val="Hyperlink"/>
            <w:rFonts w:ascii="Times New Roman" w:hAnsi="Times New Roman"/>
            <w:b w:val="false"/>
            <w:i w:val="false"/>
            <w:color w:val="000000"/>
            <w:sz w:val="22"/>
          </w:rPr>
          <w:t>441—subrule 41.22(3)</w:t>
        </w:r>
      </w:hyperlink>
      <w:r>
        <w:rPr>
          <w:rFonts w:ascii="Times New Roman" w:hAnsi="Times New Roman"/>
          <w:b w:val="false"/>
          <w:i w:val="false"/>
          <w:color w:val="000000"/>
          <w:sz w:val="22"/>
        </w:rPr>
        <w:t xml:space="preserve"> who is requesting assistance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“FaDSS” </w:t>
      </w:r>
      <w:r>
        <w:rPr>
          <w:rFonts w:ascii="Times New Roman" w:hAnsi="Times New Roman"/>
          <w:b w:val="false"/>
          <w:i w:val="false"/>
          <w:color w:val="000000"/>
          <w:sz w:val="22"/>
        </w:rPr>
        <w:t xml:space="preserve">means the family development and self-sufficiency program operated under </w:t>
      </w:r>
      <w:hyperlink r:id="rId9">
        <w:r>
          <w:rPr>
            <w:rStyle w:val="Hyperlink"/>
            <w:rFonts w:ascii="Times New Roman" w:hAnsi="Times New Roman"/>
            <w:b w:val="false"/>
            <w:i w:val="false"/>
            <w:color w:val="000000"/>
            <w:sz w:val="22"/>
          </w:rPr>
          <w:t>441—Chapter 49</w:t>
        </w:r>
      </w:hyperlink>
      <w:r>
        <w:rPr>
          <w:rFonts w:ascii="Times New Roman" w:hAnsi="Times New Roman"/>
          <w:b w:val="false"/>
          <w:i w:val="false"/>
          <w:color w:val="000000"/>
          <w:sz w:val="22"/>
        </w:rPr>
        <w:t>, which provides in-home family development services to families at risk of instability or long-term FIP dependency.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investment agreement”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“FIA” </w:t>
      </w:r>
      <w:r>
        <w:rPr>
          <w:rFonts w:ascii="Times New Roman" w:hAnsi="Times New Roman"/>
          <w:b w:val="false"/>
          <w:i w:val="false"/>
          <w:color w:val="000000"/>
          <w:sz w:val="22"/>
        </w:rPr>
        <w:t xml:space="preserve">means the agreement developed with a participant in accordance with Iowa Code section </w:t>
      </w:r>
      <w:hyperlink r:id="rId10">
        <w:r>
          <w:rPr>
            <w:rStyle w:val="Hyperlink"/>
            <w:rFonts w:ascii="Times New Roman" w:hAnsi="Times New Roman"/>
            <w:b w:val="false"/>
            <w:i w:val="false"/>
            <w:color w:val="000000"/>
            <w:sz w:val="22"/>
          </w:rPr>
          <w:t>239B.8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“FIA-responsible person” </w:t>
      </w:r>
      <w:r>
        <w:rPr>
          <w:rFonts w:ascii="Times New Roman" w:hAnsi="Times New Roman"/>
          <w:b w:val="false"/>
          <w:i w:val="false"/>
          <w:color w:val="000000"/>
          <w:sz w:val="22"/>
        </w:rPr>
        <w:t xml:space="preserve">means any member of the FIP applicant family unless exempt as described in </w:t>
      </w:r>
      <w:hyperlink r:id="rId11">
        <w:r>
          <w:rPr>
            <w:rStyle w:val="Hyperlink"/>
            <w:rFonts w:ascii="Times New Roman" w:hAnsi="Times New Roman"/>
            <w:b w:val="false"/>
            <w:i w:val="false"/>
            <w:color w:val="000000"/>
            <w:sz w:val="22"/>
          </w:rPr>
          <w:t>441—subrule 41.24(2)</w:t>
        </w:r>
      </w:hyperlink>
      <w:r>
        <w:rPr>
          <w:rFonts w:ascii="Times New Roman" w:hAnsi="Times New Roman"/>
          <w:b w:val="false"/>
          <w:i w:val="false"/>
          <w:color w:val="000000"/>
          <w:sz w:val="22"/>
        </w:rPr>
        <w:t xml:space="preserve">. More information is contained in subrule </w:t>
      </w:r>
      <w:hyperlink r:id="rId12">
        <w:r>
          <w:rPr>
            <w:rStyle w:val="Hyperlink"/>
            <w:rFonts w:ascii="Times New Roman" w:hAnsi="Times New Roman"/>
            <w:b w:val="false"/>
            <w:i w:val="false"/>
            <w:color w:val="000000"/>
            <w:sz w:val="22"/>
          </w:rPr>
          <w:t>93.4(2)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“FIP” </w:t>
      </w:r>
      <w:r>
        <w:rPr>
          <w:rFonts w:ascii="Times New Roman" w:hAnsi="Times New Roman"/>
          <w:b w:val="false"/>
          <w:i w:val="false"/>
          <w:color w:val="000000"/>
          <w:sz w:val="22"/>
        </w:rPr>
        <w:t xml:space="preserve">means the family investment program authorized in Iowa Code chapter </w:t>
      </w:r>
      <w:hyperlink r:id="rId13">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“Limited benefit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“LBP” </w:t>
      </w:r>
      <w:r>
        <w:rPr>
          <w:rFonts w:ascii="Times New Roman" w:hAnsi="Times New Roman"/>
          <w:b w:val="false"/>
          <w:i w:val="false"/>
          <w:color w:val="000000"/>
          <w:sz w:val="22"/>
        </w:rPr>
        <w:t xml:space="preserve">means a period of time in which a participant or member of a participant’s family is either ineligible for any assistance under the FIP or eligible for reduced assistance in accordance with Iowa Code section </w:t>
      </w:r>
      <w:hyperlink r:id="rId14">
        <w:r>
          <w:rPr>
            <w:rStyle w:val="Hyperlink"/>
            <w:rFonts w:ascii="Times New Roman" w:hAnsi="Times New Roman"/>
            <w:b w:val="false"/>
            <w:i w:val="false"/>
            <w:color w:val="000000"/>
            <w:sz w:val="22"/>
          </w:rPr>
          <w:t>239B.9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“Needy specified relative” </w:t>
      </w:r>
      <w:r>
        <w:rPr>
          <w:rFonts w:ascii="Times New Roman" w:hAnsi="Times New Roman"/>
          <w:b w:val="false"/>
          <w:i w:val="false"/>
          <w:color w:val="000000"/>
          <w:sz w:val="22"/>
        </w:rPr>
        <w:t xml:space="preserve">means a nonparental specified relative as defined in </w:t>
      </w:r>
      <w:hyperlink r:id="rId15">
        <w:r>
          <w:rPr>
            <w:rStyle w:val="Hyperlink"/>
            <w:rFonts w:ascii="Times New Roman" w:hAnsi="Times New Roman"/>
            <w:b w:val="false"/>
            <w:i w:val="false"/>
            <w:color w:val="000000"/>
            <w:sz w:val="22"/>
          </w:rPr>
          <w:t>441—subrule 41.22(3)</w:t>
        </w:r>
      </w:hyperlink>
      <w:r>
        <w:rPr>
          <w:rFonts w:ascii="Times New Roman" w:hAnsi="Times New Roman"/>
          <w:b w:val="false"/>
          <w:i w:val="false"/>
          <w:color w:val="000000"/>
          <w:sz w:val="22"/>
        </w:rPr>
        <w:t xml:space="preserve"> who meets all the eligibility requirements to be included in the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for purposes of the PROMISE JOBS program means a person who has signed an FIA and is approved to receive FIP benefits, a parent or relative living in the home of a child approved to receive FIP benefits, or a person reconsidering a subsequent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“PROMISE JOBS program” </w:t>
      </w:r>
      <w:r>
        <w:rPr>
          <w:rFonts w:ascii="Times New Roman" w:hAnsi="Times New Roman"/>
          <w:b w:val="false"/>
          <w:i w:val="false"/>
          <w:color w:val="000000"/>
          <w:sz w:val="22"/>
        </w:rPr>
        <w:t xml:space="preserve">means the promoting independence and self-sufficiency through employment, job opportunities, and basic skills program created in Iowa Code section </w:t>
      </w:r>
      <w:hyperlink r:id="rId16">
        <w:r>
          <w:rPr>
            <w:rStyle w:val="Hyperlink"/>
            <w:rFonts w:ascii="Times New Roman" w:hAnsi="Times New Roman"/>
            <w:b w:val="false"/>
            <w:i w:val="false"/>
            <w:color w:val="000000"/>
            <w:sz w:val="22"/>
          </w:rPr>
          <w:t>239B.17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“TANF” </w:t>
      </w:r>
      <w:r>
        <w:rPr>
          <w:rFonts w:ascii="Times New Roman" w:hAnsi="Times New Roman"/>
          <w:b w:val="false"/>
          <w:i w:val="false"/>
          <w:color w:val="000000"/>
          <w:sz w:val="22"/>
        </w:rPr>
        <w:t>means Title I Block Grants for Temporary Assistance for Needy Families (PL 109-171) (reauthorized 2006 and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441—93.2</w:t>
      </w:r>
      <w:r>
        <w:rPr>
          <w:rFonts w:ascii="Times New Roman" w:hAnsi="Times New Roman"/>
          <w:b/>
          <w:i w:val="false"/>
          <w:color w:val="000000"/>
          <w:sz w:val="22"/>
        </w:rPr>
        <w:t xml:space="preserve">(239B) </w:t>
      </w:r>
      <w:r>
        <w:rPr>
          <w:rFonts w:ascii="Times New Roman" w:hAnsi="Times New Roman"/>
          <w:b/>
          <w:i w:val="false"/>
          <w:color w:val="000000"/>
          <w:sz w:val="22"/>
        </w:rPr>
        <w:t xml:space="preserve">Program administration. </w:t>
      </w:r>
      <w:r>
        <w:rPr>
          <w:rFonts w:ascii="Times New Roman" w:hAnsi="Times New Roman"/>
          <w:b w:val="false"/>
          <w:i w:val="false"/>
          <w:color w:val="000000"/>
          <w:sz w:val="22"/>
        </w:rPr>
        <w:t>The department will administer an employment and training program known as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93.2(1)</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service. </w:t>
      </w:r>
      <w:r>
        <w:rPr>
          <w:rFonts w:ascii="Times New Roman" w:hAnsi="Times New Roman"/>
          <w:b w:val="false"/>
          <w:i w:val="false"/>
          <w:color w:val="000000"/>
          <w:sz w:val="22"/>
        </w:rPr>
        <w:t xml:space="preserve">PROMISE JOBS services shall include but are not limited to those listed in paragraph </w:t>
      </w:r>
      <w:r>
        <w:rPr>
          <w:rFonts w:ascii="Times New Roman" w:hAnsi="Times New Roman"/>
          <w:b w:val="false"/>
          <w:i w:val="false"/>
          <w:color w:val="000000"/>
          <w:sz w:val="22"/>
        </w:rPr>
        <w:t>93.4(4)</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be available statewide. If the department determines that sufficient funds are not available to offer services on location in each county, the department will prioritize the availability of services to those counties having the largest FIP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Because of state and federal budgetary limitations, federal mandatory work requirements, requirements for minimum participation rates, and other TANF requirements imposed on the PROMISE JOBS program, the department will have the administrative authority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 agency and geographical breakdowns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Designate specific groups for priority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Designate specific PROMISE JOBS components or supportive service levels for a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93.2(2)</w:t>
      </w:r>
      <w:r>
        <w:rPr>
          <w:rFonts w:ascii="Times New Roman" w:hAnsi="Times New Roman"/>
          <w:b w:val="false"/>
          <w:i w:val="false"/>
          <w:color w:val="000000"/>
          <w:sz w:val="22"/>
        </w:rPr>
        <w:t> </w:t>
      </w:r>
      <w:r>
        <w:rPr>
          <w:rFonts w:ascii="Times New Roman" w:hAnsi="Times New Roman"/>
          <w:b w:val="false"/>
          <w:i/>
          <w:color w:val="000000"/>
          <w:sz w:val="22"/>
        </w:rPr>
        <w:t xml:space="preserve">Contracts with provider agencies. </w:t>
      </w:r>
      <w:r>
        <w:rPr>
          <w:rFonts w:ascii="Times New Roman" w:hAnsi="Times New Roman"/>
          <w:b w:val="false"/>
          <w:i w:val="false"/>
          <w:color w:val="000000"/>
          <w:sz w:val="22"/>
        </w:rPr>
        <w:t>The department may contract with the department of workforce development, the department of economic development, or other appropriate entity to provide PROMISE JOBS services and case management of those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441—93.3</w:t>
      </w:r>
      <w:r>
        <w:rPr>
          <w:rFonts w:ascii="Times New Roman" w:hAnsi="Times New Roman"/>
          <w:b/>
          <w:i w:val="false"/>
          <w:color w:val="000000"/>
          <w:sz w:val="22"/>
        </w:rPr>
        <w:t xml:space="preserve">(239B) </w:t>
      </w:r>
      <w:r>
        <w:rPr>
          <w:rFonts w:ascii="Times New Roman" w:hAnsi="Times New Roman"/>
          <w:b/>
          <w:i w:val="false"/>
          <w:color w:val="000000"/>
          <w:sz w:val="22"/>
        </w:rPr>
        <w:t xml:space="preserve">Registration and referral.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93.3(1)</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PROMISE JOBS. </w:t>
      </w:r>
      <w:r>
        <w:rPr>
          <w:rFonts w:ascii="Times New Roman" w:hAnsi="Times New Roman"/>
          <w:b w:val="false"/>
          <w:i w:val="false"/>
          <w:color w:val="000000"/>
          <w:sz w:val="22"/>
        </w:rPr>
        <w:t xml:space="preserve">Unless the department determines a person is exempt as specified in </w:t>
      </w:r>
      <w:hyperlink r:id="rId17">
        <w:r>
          <w:rPr>
            <w:rStyle w:val="Hyperlink"/>
            <w:rFonts w:ascii="Times New Roman" w:hAnsi="Times New Roman"/>
            <w:b w:val="false"/>
            <w:i w:val="false"/>
            <w:color w:val="000000"/>
            <w:sz w:val="22"/>
          </w:rPr>
          <w:t>441—subrule 41.24(2)</w:t>
        </w:r>
      </w:hyperlink>
      <w:r>
        <w:rPr>
          <w:rFonts w:ascii="Times New Roman" w:hAnsi="Times New Roman"/>
          <w:b w:val="false"/>
          <w:i w:val="false"/>
          <w:color w:val="000000"/>
          <w:sz w:val="22"/>
        </w:rPr>
        <w:t xml:space="preserve">, an application for FIP assistance constitutes a registration for the PROMISE JOBS program and acceptance of the requirement to enter into an FIA for all members of the FIP case and all other persons responsible for the FIA as specified in rule </w:t>
      </w:r>
      <w:hyperlink r:id="rId18">
        <w:r>
          <w:rPr>
            <w:rStyle w:val="Hyperlink"/>
            <w:rFonts w:ascii="Times New Roman" w:hAnsi="Times New Roman"/>
            <w:b w:val="false"/>
            <w:i w:val="false"/>
            <w:color w:val="000000"/>
            <w:sz w:val="22"/>
          </w:rPr>
          <w:t>441—41.24</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93.3(2)</w:t>
      </w:r>
      <w:r>
        <w:rPr>
          <w:rFonts w:ascii="Times New Roman" w:hAnsi="Times New Roman"/>
          <w:b w:val="false"/>
          <w:i w:val="false"/>
          <w:color w:val="000000"/>
          <w:sz w:val="22"/>
        </w:rPr>
        <w:t> </w:t>
      </w:r>
      <w:r>
        <w:rPr>
          <w:rFonts w:ascii="Times New Roman" w:hAnsi="Times New Roman"/>
          <w:b w:val="false"/>
          <w:i/>
          <w:color w:val="000000"/>
          <w:sz w:val="22"/>
        </w:rPr>
        <w:t xml:space="preserve">Referral. </w:t>
      </w:r>
      <w:r>
        <w:rPr>
          <w:rFonts w:ascii="Times New Roman" w:hAnsi="Times New Roman"/>
          <w:b w:val="false"/>
          <w:i w:val="false"/>
          <w:color w:val="000000"/>
          <w:sz w:val="22"/>
        </w:rPr>
        <w:t xml:space="preserve">The department will refer all FIA-responsible persons from FIP applicant and participant households to PROMISE JOBS pursuant to </w:t>
      </w:r>
      <w:hyperlink r:id="rId19">
        <w:r>
          <w:rPr>
            <w:rStyle w:val="Hyperlink"/>
            <w:rFonts w:ascii="Times New Roman" w:hAnsi="Times New Roman"/>
            <w:b w:val="false"/>
            <w:i w:val="false"/>
            <w:color w:val="000000"/>
            <w:sz w:val="22"/>
          </w:rPr>
          <w:t>441—subrule 41.24(4)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93.3(3)</w:t>
      </w:r>
      <w:r>
        <w:rPr>
          <w:rFonts w:ascii="Times New Roman" w:hAnsi="Times New Roman"/>
          <w:b w:val="false"/>
          <w:i w:val="false"/>
          <w:color w:val="000000"/>
          <w:sz w:val="22"/>
        </w:rPr>
        <w:t> </w:t>
      </w:r>
      <w:r>
        <w:rPr>
          <w:rFonts w:ascii="Times New Roman" w:hAnsi="Times New Roman"/>
          <w:b w:val="false"/>
          <w:i/>
          <w:color w:val="000000"/>
          <w:sz w:val="22"/>
        </w:rPr>
        <w:t xml:space="preserve">Initial appointment.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FIP applicants. </w:t>
      </w:r>
      <w:r>
        <w:rPr>
          <w:rFonts w:ascii="Times New Roman" w:hAnsi="Times New Roman"/>
          <w:b w:val="false"/>
          <w:i w:val="false"/>
          <w:color w:val="000000"/>
          <w:sz w:val="22"/>
        </w:rPr>
        <w:t xml:space="preserve">FIP applicants, including those who are in an LBP, will be offered an appointment with the PROMISE JOBS provider agency for orientation, assessment, and FIA development at the earliest available time. The provider agency shall make sufficient appointment times available to allow the applicant to be scheduled no later than ten calendar days after the date of the notice that FIA responsibility has begun as required by rule </w:t>
      </w:r>
      <w:hyperlink r:id="rId20">
        <w:r>
          <w:rPr>
            <w:rStyle w:val="Hyperlink"/>
            <w:rFonts w:ascii="Times New Roman" w:hAnsi="Times New Roman"/>
            <w:b w:val="false"/>
            <w:i w:val="false"/>
            <w:color w:val="000000"/>
            <w:sz w:val="22"/>
          </w:rPr>
          <w:t>441—93.4</w:t>
        </w:r>
      </w:hyperlink>
      <w:r>
        <w:rPr>
          <w:rFonts w:ascii="Times New Roman" w:hAnsi="Times New Roman"/>
          <w:b w:val="false"/>
          <w:i w:val="false"/>
          <w:color w:val="000000"/>
          <w:sz w:val="22"/>
        </w:rPr>
        <w:t xml:space="preserve">(239B), 441—paragraphs </w:t>
      </w:r>
      <w:hyperlink r:id="rId21">
        <w:r>
          <w:rPr>
            <w:rStyle w:val="Hyperlink"/>
            <w:rFonts w:ascii="Times New Roman" w:hAnsi="Times New Roman"/>
            <w:b w:val="false"/>
            <w:i w:val="false"/>
            <w:color w:val="000000"/>
            <w:sz w:val="22"/>
          </w:rPr>
          <w:t>41.24(1)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441—paragraph 41.24(10)</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Exempt status change. </w:t>
      </w:r>
      <w:r>
        <w:rPr>
          <w:rFonts w:ascii="Times New Roman" w:hAnsi="Times New Roman"/>
          <w:b w:val="false"/>
          <w:i w:val="false"/>
          <w:color w:val="000000"/>
          <w:sz w:val="22"/>
        </w:rPr>
        <w:t xml:space="preserve">Persons who become FIA-responsible while receiving FIP shall initiate PROMISE JOBS orientation and FIA development by contacting the appropriate PROMISE JOBS office to schedule an appointment within ten calendar days of the mailing date of the letter explaining that exempt status has been lost and FIA responsibility has begun as required by </w:t>
      </w:r>
      <w:hyperlink r:id="rId23">
        <w:r>
          <w:rPr>
            <w:rStyle w:val="Hyperlink"/>
            <w:rFonts w:ascii="Times New Roman" w:hAnsi="Times New Roman"/>
            <w:b w:val="false"/>
            <w:i w:val="false"/>
            <w:color w:val="000000"/>
            <w:sz w:val="22"/>
          </w:rPr>
          <w:t>441—subrule 41.24(5)</w:t>
        </w:r>
      </w:hyperlink>
      <w:r>
        <w:rPr>
          <w:rFonts w:ascii="Times New Roman" w:hAnsi="Times New Roman"/>
          <w:b w:val="false"/>
          <w:i w:val="false"/>
          <w:color w:val="000000"/>
          <w:sz w:val="22"/>
        </w:rPr>
        <w:t xml:space="preserve">. If the person fails to schedule an appointment or fails to appear for an appointment, PROMISE JOBS shall send one written reminder letter that informs the person that those who do not develop an FIA shall enter into an LBP. If the person fails to schedule an appointment within ten calendar days of the written reminder letter or fails to appear for an appointment scheduled after the written reminder letter is sent, the person shall enter into an LBP as described in </w:t>
      </w:r>
      <w:hyperlink r:id="rId24">
        <w:r>
          <w:rPr>
            <w:rStyle w:val="Hyperlink"/>
            <w:rFonts w:ascii="Times New Roman" w:hAnsi="Times New Roman"/>
            <w:b w:val="false"/>
            <w:i w:val="false"/>
            <w:color w:val="000000"/>
            <w:sz w:val="22"/>
          </w:rPr>
          <w:t>441—paragraph 41.24(8)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93.3(4)</w:t>
      </w:r>
      <w:r>
        <w:rPr>
          <w:rFonts w:ascii="Times New Roman" w:hAnsi="Times New Roman"/>
          <w:b w:val="false"/>
          <w:i w:val="false"/>
          <w:color w:val="000000"/>
          <w:sz w:val="22"/>
        </w:rPr>
        <w:t> </w:t>
      </w:r>
      <w:r>
        <w:rPr>
          <w:rFonts w:ascii="Times New Roman" w:hAnsi="Times New Roman"/>
          <w:b w:val="false"/>
          <w:i/>
          <w:color w:val="000000"/>
          <w:sz w:val="22"/>
        </w:rPr>
        <w:t xml:space="preserve">Orientation. </w:t>
      </w:r>
      <w:r>
        <w:rPr>
          <w:rFonts w:ascii="Times New Roman" w:hAnsi="Times New Roman"/>
          <w:b w:val="false"/>
          <w:i w:val="false"/>
          <w:color w:val="000000"/>
          <w:sz w:val="22"/>
        </w:rPr>
        <w:t>Every person referred to PROMISE JOBS shall receive orientation services. PROMISE JOBS workers shall provide FIA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orientation, each applicant shall receive a full explanation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advantages of employment under the family investment program (FIP), including information on earned income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available under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Participant rights and responsibilities under the FIA and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LBP as described in </w:t>
      </w:r>
      <w:hyperlink r:id="rId25">
        <w:r>
          <w:rPr>
            <w:rStyle w:val="Hyperlink"/>
            <w:rFonts w:ascii="Times New Roman" w:hAnsi="Times New Roman"/>
            <w:b w:val="false"/>
            <w:i w:val="false"/>
            <w:color w:val="000000"/>
            <w:sz w:val="22"/>
          </w:rPr>
          <w:t>441—subrule 41.24(8)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availability of family planning counseling services in the area and the financial implications of newly born children on the participant’s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applicant shall receive a form prescribed by the department, confirming that information described in paragraph </w:t>
      </w:r>
      <w:r>
        <w:rPr>
          <w:rFonts w:ascii="Times New Roman" w:hAnsi="Times New Roman"/>
          <w:b w:val="false"/>
          <w:i w:val="false"/>
          <w:color w:val="000000"/>
          <w:sz w:val="22"/>
        </w:rPr>
        <w:t>93.3(4)</w:t>
      </w:r>
      <w:r>
        <w:rPr>
          <w:rFonts w:ascii="Times New Roman" w:hAnsi="Times New Roman"/>
          <w:b w:val="false"/>
          <w:i/>
          <w:color w:val="000000"/>
          <w:sz w:val="22"/>
        </w:rPr>
        <w:t>“a”</w:t>
      </w:r>
      <w:r>
        <w:rPr>
          <w:rFonts w:ascii="Times New Roman" w:hAnsi="Times New Roman"/>
          <w:b w:val="false"/>
          <w:i w:val="false"/>
          <w:color w:val="000000"/>
          <w:sz w:val="22"/>
        </w:rPr>
        <w:t xml:space="preserve">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93.3(5)</w:t>
      </w:r>
      <w:r>
        <w:rPr>
          <w:rFonts w:ascii="Times New Roman" w:hAnsi="Times New Roman"/>
          <w:b w:val="false"/>
          <w:i w:val="false"/>
          <w:color w:val="000000"/>
          <w:sz w:val="22"/>
        </w:rPr>
        <w:t> </w:t>
      </w:r>
      <w:r>
        <w:rPr>
          <w:rFonts w:ascii="Times New Roman" w:hAnsi="Times New Roman"/>
          <w:b w:val="false"/>
          <w:i/>
          <w:color w:val="000000"/>
          <w:sz w:val="22"/>
        </w:rPr>
        <w:t xml:space="preserve">Initial meeting. </w:t>
      </w:r>
      <w:r>
        <w:rPr>
          <w:rFonts w:ascii="Times New Roman" w:hAnsi="Times New Roman"/>
          <w:b w:val="false"/>
          <w:i w:val="false"/>
          <w:color w:val="000000"/>
          <w:sz w:val="22"/>
        </w:rPr>
        <w:t>The PROMISE JOBS worker shall meet with each referred person, or with the family if another parent or a child is also referred to PROMISE JOBS,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Determine participation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 expenses and a schedule for supportive payments,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Discuss child care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93.3(6)</w:t>
      </w:r>
      <w:r>
        <w:rPr>
          <w:rFonts w:ascii="Times New Roman" w:hAnsi="Times New Roman"/>
          <w:b w:val="false"/>
          <w:i w:val="false"/>
          <w:color w:val="000000"/>
          <w:sz w:val="22"/>
        </w:rPr>
        <w:t> </w:t>
      </w:r>
      <w:r>
        <w:rPr>
          <w:rFonts w:ascii="Times New Roman" w:hAnsi="Times New Roman"/>
          <w:b w:val="false"/>
          <w:i/>
          <w:color w:val="000000"/>
          <w:sz w:val="22"/>
        </w:rPr>
        <w:t xml:space="preserve">Workforce development registration. </w:t>
      </w:r>
      <w:r>
        <w:rPr>
          <w:rFonts w:ascii="Times New Roman" w:hAnsi="Times New Roman"/>
          <w:b w:val="false"/>
          <w:i w:val="false"/>
          <w:color w:val="000000"/>
          <w:sz w:val="22"/>
        </w:rPr>
        <w:t>Each applicant is required to register for work with the department of workforce development, upon request by the PROMISE JOBS worker.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441—93.4</w:t>
      </w:r>
      <w:r>
        <w:rPr>
          <w:rFonts w:ascii="Times New Roman" w:hAnsi="Times New Roman"/>
          <w:b/>
          <w:i w:val="false"/>
          <w:color w:val="000000"/>
          <w:sz w:val="22"/>
        </w:rPr>
        <w:t xml:space="preserve">(239B) </w:t>
      </w:r>
      <w:r>
        <w:rPr>
          <w:rFonts w:ascii="Times New Roman" w:hAnsi="Times New Roman"/>
          <w:b/>
          <w:i w:val="false"/>
          <w:color w:val="000000"/>
          <w:sz w:val="22"/>
        </w:rPr>
        <w:t xml:space="preserve">FIA. </w:t>
      </w:r>
      <w:r>
        <w:rPr>
          <w:rFonts w:ascii="Times New Roman" w:hAnsi="Times New Roman"/>
          <w:b w:val="false"/>
          <w:i w:val="false"/>
          <w:color w:val="000000"/>
          <w:sz w:val="22"/>
        </w:rPr>
        <w:t xml:space="preserve">The FIA is the condition of and basis for PROMISE JOBS services and is an eligibility requirement for the FIP as specified in rule </w:t>
      </w:r>
      <w:hyperlink r:id="rId26">
        <w:r>
          <w:rPr>
            <w:rStyle w:val="Hyperlink"/>
            <w:rFonts w:ascii="Times New Roman" w:hAnsi="Times New Roman"/>
            <w:b w:val="false"/>
            <w:i w:val="false"/>
            <w:color w:val="000000"/>
            <w:sz w:val="22"/>
          </w:rPr>
          <w:t>441—41.24</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93.4(1)</w:t>
      </w: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An initial FIA shall be developed during the orientation and assessment process through discussion between the FIA-responsible person and the PROMISE JOBS worker. For the FIA to be considered completed, an FIA shall be signed by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FIA-responsible person or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family members who are referred to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PROMISE JOBS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PROMISE JOBS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93.4(2)</w:t>
      </w:r>
      <w:r>
        <w:rPr>
          <w:rFonts w:ascii="Times New Roman" w:hAnsi="Times New Roman"/>
          <w:b w:val="false"/>
          <w:i w:val="false"/>
          <w:color w:val="000000"/>
          <w:sz w:val="22"/>
        </w:rPr>
        <w:t> </w:t>
      </w:r>
      <w:r>
        <w:rPr>
          <w:rFonts w:ascii="Times New Roman" w:hAnsi="Times New Roman"/>
          <w:b w:val="false"/>
          <w:i/>
          <w:color w:val="000000"/>
          <w:sz w:val="22"/>
        </w:rPr>
        <w:t xml:space="preserve">FIA-responsible persons. </w:t>
      </w:r>
      <w:r>
        <w:rPr>
          <w:rFonts w:ascii="Times New Roman" w:hAnsi="Times New Roman"/>
          <w:b w:val="false"/>
          <w:i w:val="false"/>
          <w:color w:val="000000"/>
          <w:sz w:val="22"/>
        </w:rPr>
        <w:t xml:space="preserve">All members of the FIP applicant family shall develop and sign an FIA unless exempt as described in </w:t>
      </w:r>
      <w:hyperlink r:id="rId27">
        <w:r>
          <w:rPr>
            <w:rStyle w:val="Hyperlink"/>
            <w:rFonts w:ascii="Times New Roman" w:hAnsi="Times New Roman"/>
            <w:b w:val="false"/>
            <w:i w:val="false"/>
            <w:color w:val="000000"/>
            <w:sz w:val="22"/>
          </w:rPr>
          <w:t>441—subrule 41.24(2)</w:t>
        </w:r>
      </w:hyperlink>
      <w:r>
        <w:rPr>
          <w:rFonts w:ascii="Times New Roman" w:hAnsi="Times New Roman"/>
          <w:b w:val="false"/>
          <w:i w:val="false"/>
          <w:color w:val="000000"/>
          <w:sz w:val="22"/>
        </w:rPr>
        <w:t>. When an FIA-responsible person is incompetent or incapacitated, someone acting responsibly on that person’s behalf may participate in the interview. Responsibility for carrying out the steps of the FIA ends at the point that FIP assistance is not provided to the participant or when a participant becomes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Parents. </w:t>
      </w:r>
      <w:r>
        <w:rPr>
          <w:rFonts w:ascii="Times New Roman" w:hAnsi="Times New Roman"/>
          <w:b w:val="false"/>
          <w:i w:val="false"/>
          <w:color w:val="000000"/>
          <w:sz w:val="22"/>
        </w:rPr>
        <w:t xml:space="preserve">All parents who are not exempt from PROMISE JOBS shall be responsible for signing and carrying out the activities of the FIA. Parents of any age are exempt only if they are receiving Supplemental Security Income (SSI) or they are not U.S. citizens and are not qualified aliens as defined in rule </w:t>
      </w:r>
      <w:hyperlink r:id="rId28">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 xml:space="preserve">(239B). When the FIP-eligible group includes a minor parent living with one or both parents or a needy specified relative who receives FIP as described in </w:t>
      </w:r>
      <w:hyperlink r:id="rId29">
        <w:r>
          <w:rPr>
            <w:rStyle w:val="Hyperlink"/>
            <w:rFonts w:ascii="Times New Roman" w:hAnsi="Times New Roman"/>
            <w:b w:val="false"/>
            <w:i w:val="false"/>
            <w:color w:val="000000"/>
            <w:sz w:val="22"/>
          </w:rPr>
          <w:t>441—subparagraph 41.28(2)</w:t>
        </w:r>
      </w:hyperlink>
      <w:r>
        <w:rPr>
          <w:rFonts w:ascii="Times New Roman" w:hAnsi="Times New Roman"/>
          <w:b w:val="false"/>
          <w:i/>
          <w:color w:val="000000"/>
          <w:sz w:val="22"/>
        </w:rPr>
        <w:t>“b”</w:t>
      </w:r>
      <w:r>
        <w:rPr>
          <w:rFonts w:ascii="Times New Roman" w:hAnsi="Times New Roman"/>
          <w:b w:val="false"/>
          <w:i w:val="false"/>
          <w:color w:val="000000"/>
          <w:sz w:val="22"/>
        </w:rPr>
        <w:t>(2) and none is exempt from PROMISE JOBS participation, each parent or needy specified relative is responsible for a separate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Teens. </w:t>
      </w:r>
      <w:r>
        <w:rPr>
          <w:rFonts w:ascii="Times New Roman" w:hAnsi="Times New Roman"/>
          <w:b w:val="false"/>
          <w:i w:val="false"/>
          <w:color w:val="000000"/>
          <w:sz w:val="22"/>
        </w:rPr>
        <w:t>Participants aged 16 to the participants’ nineteenth birthday shall be responsible for signing and carrying out the activities of the FIA unless they are receiving SSI or they attend school full-time.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FIP-eligible group includes one or both parents or a needy specified relative and a child or children and none is exempt from PROMISE JOBS participation, all shall be asked to sign one FIA with the family and to carry out the activities of that FIA rather than signing separate FIAs.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FIP-eligible group includes one or both parents or a needy specified relative who is exempt from PROMISE JOBS participation and a child or children who are not exempt, each child is responsible for completing a separate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minor nonparental specified relative who is not exempt and whose needs are included in the FIP grant shall be responsible for signing and carrying out the activities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adults. </w:t>
      </w:r>
      <w:r>
        <w:rPr>
          <w:rFonts w:ascii="Times New Roman" w:hAnsi="Times New Roman"/>
          <w:b w:val="false"/>
          <w:i w:val="false"/>
          <w:color w:val="000000"/>
          <w:sz w:val="22"/>
        </w:rPr>
        <w:t>All other adults who are not exempt and whose needs are included in the FIP grant shall be responsible for signing and carrying out the activities of the FIA.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93.4(3)</w:t>
      </w:r>
      <w:r>
        <w:rPr>
          <w:rFonts w:ascii="Times New Roman" w:hAnsi="Times New Roman"/>
          <w:b w:val="false"/>
          <w:i w:val="false"/>
          <w:color w:val="000000"/>
          <w:sz w:val="22"/>
        </w:rPr>
        <w:t> </w:t>
      </w:r>
      <w:r>
        <w:rPr>
          <w:rFonts w:ascii="Times New Roman" w:hAnsi="Times New Roman"/>
          <w:b w:val="false"/>
          <w:i/>
          <w:color w:val="000000"/>
          <w:sz w:val="22"/>
        </w:rPr>
        <w:t xml:space="preserve">FIA content. </w:t>
      </w:r>
      <w:r>
        <w:rPr>
          <w:rFonts w:ascii="Times New Roman" w:hAnsi="Times New Roman"/>
          <w:b w:val="false"/>
          <w:i w:val="false"/>
          <w:color w:val="000000"/>
          <w:sz w:val="22"/>
        </w:rPr>
        <w:t>The FIA shall include the goals of the family for achieving self-sufficiency and shall establish a time frame with a specific ending date, during which the family expects to become self-sufficient and after which FIP benefits will be terminated. For individuals and families with acknowledged barriers, one or more incremental FIAs may be written.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FIAs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Outline the expectations of the PROMISE JOBS program and of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Clearly establish interim goals and FIA activities necessary to reach long-term goals and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barriers to participation so that the FIA may include a plan, appropriate referrals, and supportive services necessary to eliminate or manage the barriers;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Stipulate specific services to be provided by the PROMISE JOBS program, including child care assistance, transportation assistance, family development services, and other supportive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Include the participant’s responsibility to provide verification of hours of participation, and how and when the verification will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a participant’s response to the option of referral for family planning counseling as described in subrule </w:t>
      </w:r>
      <w:r>
        <w:rPr>
          <w:rFonts w:ascii="Times New Roman" w:hAnsi="Times New Roman"/>
          <w:b w:val="false"/>
          <w:i w:val="false"/>
          <w:color w:val="000000"/>
          <w:sz w:val="22"/>
        </w:rPr>
        <w:t>93.9(3)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Plans from other agencies. The FIA may incorporate a self-sufficiency plan that the family has developed with another agency or person,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participant shall authorize PROMISE JOBS to obtain the self-sufficiency plan and to arrange coordination with the manager of the self-sufficiency plan by signing a release of information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self-sufficiency plan may be included in the participant’s FIA if the self-sufficiency plan meets the requirements of this chapter and is deemed by the PROMISE JOBS worker to be appropriate to the family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93.4(4)</w:t>
      </w:r>
      <w:r>
        <w:rPr>
          <w:rFonts w:ascii="Times New Roman" w:hAnsi="Times New Roman"/>
          <w:b w:val="false"/>
          <w:i w:val="false"/>
          <w:color w:val="000000"/>
          <w:sz w:val="22"/>
        </w:rPr>
        <w:t> </w:t>
      </w:r>
      <w:r>
        <w:rPr>
          <w:rFonts w:ascii="Times New Roman" w:hAnsi="Times New Roman"/>
          <w:b w:val="false"/>
          <w:i/>
          <w:color w:val="000000"/>
          <w:sz w:val="22"/>
        </w:rPr>
        <w:t xml:space="preserve">Participation requirements. </w:t>
      </w:r>
      <w:r>
        <w:rPr>
          <w:rFonts w:ascii="Times New Roman" w:hAnsi="Times New Roman"/>
          <w:b w:val="false"/>
          <w:i w:val="false"/>
          <w:color w:val="000000"/>
          <w:sz w:val="22"/>
        </w:rPr>
        <w:t>The FIA shall require the FIA-responsible persons and family members who are referred to PROMISE JOBS to choose participation in one or more activities as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Goals. </w:t>
      </w:r>
      <w:r>
        <w:rPr>
          <w:rFonts w:ascii="Times New Roman" w:hAnsi="Times New Roman"/>
          <w:b w:val="false"/>
          <w:i w:val="false"/>
          <w:color w:val="000000"/>
          <w:sz w:val="22"/>
        </w:rPr>
        <w:t>It is expected that employment leading to economic self-sufficiency is the eventual goal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maximum extent possible, the FIA shall reflect the goals of the family, subject to program rules; funding; the capability, experience, and aptitudes of family members; and the potential market for the job skills currently possessed or to be developed.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goal for all participants is to be involved in PROMISE JOBS activities on a full-time basis unless problems or barriers prohibit this level of involvement. “Full-time” is considered an average of at least 30 hours per week. Exceptions to full-time involvement are identified in rule </w:t>
      </w:r>
      <w:hyperlink r:id="rId30">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and subrule </w:t>
      </w:r>
      <w:r>
        <w:rPr>
          <w:rFonts w:ascii="Times New Roman" w:hAnsi="Times New Roman"/>
          <w:b w:val="false"/>
          <w:i w:val="false"/>
          <w:color w:val="000000"/>
          <w:sz w:val="22"/>
        </w:rPr>
        <w:t>93.4(5)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r>
        <w:rPr>
          <w:rFonts w:ascii="Times New Roman" w:hAnsi="Times New Roman"/>
          <w:b w:val="false"/>
          <w:i w:val="false"/>
          <w:color w:val="000000"/>
          <w:sz w:val="22"/>
        </w:rPr>
        <w:t xml:space="preserve">Except as specified in </w:t>
      </w:r>
      <w:hyperlink r:id="rId31">
        <w:r>
          <w:rPr>
            <w:rStyle w:val="Hyperlink"/>
            <w:rFonts w:ascii="Times New Roman" w:hAnsi="Times New Roman"/>
            <w:b w:val="false"/>
            <w:i w:val="false"/>
            <w:color w:val="000000"/>
            <w:sz w:val="22"/>
          </w:rPr>
          <w:t>441—paragraph 93.4(4)</w:t>
        </w:r>
      </w:hyperlink>
      <w:r>
        <w:rPr>
          <w:rFonts w:ascii="Times New Roman" w:hAnsi="Times New Roman"/>
          <w:b w:val="false"/>
          <w:i/>
          <w:color w:val="000000"/>
          <w:sz w:val="22"/>
        </w:rPr>
        <w:t>“c,”</w:t>
      </w:r>
      <w:r>
        <w:rPr>
          <w:rFonts w:ascii="Times New Roman" w:hAnsi="Times New Roman"/>
          <w:b w:val="false"/>
          <w:i w:val="false"/>
          <w:color w:val="000000"/>
          <w:sz w:val="22"/>
        </w:rPr>
        <w:t xml:space="preserve"> PROMISE JOBS activities may include but are not limited to any combination of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Orientation as described in subrule </w:t>
      </w:r>
      <w:r>
        <w:rPr>
          <w:rFonts w:ascii="Times New Roman" w:hAnsi="Times New Roman"/>
          <w:b w:val="false"/>
          <w:i w:val="false"/>
          <w:color w:val="000000"/>
          <w:sz w:val="22"/>
        </w:rPr>
        <w:t>93.3(4)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 as described in rule </w:t>
      </w:r>
      <w:hyperlink r:id="rId32">
        <w:r>
          <w:rPr>
            <w:rStyle w:val="Hyperlink"/>
            <w:rFonts w:ascii="Times New Roman" w:hAnsi="Times New Roman"/>
            <w:b w:val="false"/>
            <w:i w:val="false"/>
            <w:color w:val="000000"/>
            <w:sz w:val="22"/>
          </w:rPr>
          <w:t>441—93.5</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Job readiness and job search activities, including job readiness skills training and other activities that prepare a participant to search for or obtain employment, individual and structured job search, unplanned job opportunities, mental health treatment, substance use disorder treatment, or other rehabilitative activities, as described in rule </w:t>
      </w:r>
      <w:hyperlink r:id="rId33">
        <w:r>
          <w:rPr>
            <w:rStyle w:val="Hyperlink"/>
            <w:rFonts w:ascii="Times New Roman" w:hAnsi="Times New Roman"/>
            <w:b w:val="false"/>
            <w:i w:val="false"/>
            <w:color w:val="000000"/>
            <w:sz w:val="22"/>
          </w:rPr>
          <w:t>441—93.6</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Work activities, including part-time or full-time employment, self-employment, on-the-job training, work experience placement, or unpaid community service as described in </w:t>
      </w:r>
      <w:hyperlink r:id="rId34">
        <w:r>
          <w:rPr>
            <w:rStyle w:val="Hyperlink"/>
            <w:rFonts w:ascii="Times New Roman" w:hAnsi="Times New Roman"/>
            <w:b w:val="false"/>
            <w:i w:val="false"/>
            <w:color w:val="000000"/>
            <w:sz w:val="22"/>
          </w:rPr>
          <w:t>441—93.7</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Educational activities, including high school completion, high school equivalency diploma (HSED) certification, adult basic education (ABE), English as a second language (ESL) training, vocational training, or postsecondary training up to and including a baccalaureate degree as described in </w:t>
      </w:r>
      <w:hyperlink r:id="rId35">
        <w:r>
          <w:rPr>
            <w:rStyle w:val="Hyperlink"/>
            <w:rFonts w:ascii="Times New Roman" w:hAnsi="Times New Roman"/>
            <w:b w:val="false"/>
            <w:i w:val="false"/>
            <w:color w:val="000000"/>
            <w:sz w:val="22"/>
          </w:rPr>
          <w:t>441—93.8</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Parenting skills training as described in subrule </w:t>
      </w:r>
      <w:r>
        <w:rPr>
          <w:rFonts w:ascii="Times New Roman" w:hAnsi="Times New Roman"/>
          <w:b w:val="false"/>
          <w:i w:val="false"/>
          <w:color w:val="000000"/>
          <w:sz w:val="22"/>
        </w:rPr>
        <w:t>93.9(1)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Participation in the FaDSS program or other family development programs as described in subrule </w:t>
      </w:r>
      <w:r>
        <w:rPr>
          <w:rFonts w:ascii="Times New Roman" w:hAnsi="Times New Roman"/>
          <w:b w:val="false"/>
          <w:i w:val="false"/>
          <w:color w:val="000000"/>
          <w:sz w:val="22"/>
        </w:rPr>
        <w:t>93.9(2)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Referral for family planning counseling as described in subrule </w:t>
      </w:r>
      <w:r>
        <w:rPr>
          <w:rFonts w:ascii="Times New Roman" w:hAnsi="Times New Roman"/>
          <w:b w:val="false"/>
          <w:i w:val="false"/>
          <w:color w:val="000000"/>
          <w:sz w:val="22"/>
        </w:rPr>
        <w:t>93.9(3)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 violence option as described in subparagraph </w:t>
      </w:r>
      <w:hyperlink r:id="rId36">
        <w:r>
          <w:rPr>
            <w:rStyle w:val="Hyperlink"/>
            <w:rFonts w:ascii="Times New Roman" w:hAnsi="Times New Roman"/>
            <w:b w:val="false"/>
            <w:i w:val="false"/>
            <w:color w:val="000000"/>
            <w:sz w:val="22"/>
          </w:rPr>
          <w:t>93.4(5)</w:t>
        </w:r>
      </w:hyperlink>
      <w:r>
        <w:rPr>
          <w:rFonts w:ascii="Times New Roman" w:hAnsi="Times New Roman"/>
          <w:b w:val="false"/>
          <w:i/>
          <w:color w:val="000000"/>
          <w:sz w:val="22"/>
        </w:rPr>
        <w:t>“b”</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Services provided by other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FIA activities for participants aged 16 to 19. </w:t>
      </w:r>
      <w:r>
        <w:rPr>
          <w:rFonts w:ascii="Times New Roman" w:hAnsi="Times New Roman"/>
          <w:b w:val="false"/>
          <w:i w:val="false"/>
          <w:color w:val="000000"/>
          <w:sz w:val="22"/>
        </w:rPr>
        <w:t>Development of FIA activities shall follow these guidelines for participants aged 16 to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Participants aged 16 to 19 who are not parents and who have not completed high school shall be strongly encouraged to participate in educational activities to obtain a high school diploma or the equivalent. A high school education is recognized as important to achieving self-sufficiency. Participants shall be given information on the earning power of people with a high school education compared to those who do not so that participants are able to make an informed choice. If high school or high school equivalency completion is not included in a teenager’s FIA, other FIA activities shall be required. High school or high school equivalency completion shall be proposed and reconsidered at the next FIA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Parents under the age of 18 who are not married and who have not completed high school shall be expected to use enrollment or continued attendance in high school or involvement in a high school equivalency program as a first step in the FIA, except when the parent is deemed incapable of participating in these activities by the local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Parents aged 19 and younger shall include parenting skills training as described in subrule </w:t>
      </w:r>
      <w:r>
        <w:rPr>
          <w:rFonts w:ascii="Times New Roman" w:hAnsi="Times New Roman"/>
          <w:b w:val="false"/>
          <w:i w:val="false"/>
          <w:color w:val="000000"/>
          <w:sz w:val="22"/>
        </w:rPr>
        <w:t>93.9(1)</w:t>
      </w:r>
      <w:r>
        <w:rPr>
          <w:rFonts w:ascii="Times New Roman" w:hAnsi="Times New Roman"/>
          <w:b w:val="false"/>
          <w:i w:val="false"/>
          <w:color w:val="000000"/>
          <w:sz w:val="22"/>
        </w:rPr>
        <w:t xml:space="preserve"> in their FIA, or the case file shall include documentation that this requirement has been fulfilled.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Parents under the age of 18 who are not married and who do not live with a parent or legal guardian shall include FaDSS, as described in </w:t>
      </w:r>
      <w:hyperlink r:id="rId37">
        <w:r>
          <w:rPr>
            <w:rStyle w:val="Hyperlink"/>
            <w:rFonts w:ascii="Times New Roman" w:hAnsi="Times New Roman"/>
            <w:b w:val="false"/>
            <w:i w:val="false"/>
            <w:color w:val="000000"/>
            <w:sz w:val="22"/>
          </w:rPr>
          <w:t>441—Chapter 49</w:t>
        </w:r>
      </w:hyperlink>
      <w:r>
        <w:rPr>
          <w:rFonts w:ascii="Times New Roman" w:hAnsi="Times New Roman"/>
          <w:b w:val="false"/>
          <w:i w:val="false"/>
          <w:color w:val="000000"/>
          <w:sz w:val="22"/>
        </w:rPr>
        <w:t xml:space="preserve">, or other family development services as described in subrule </w:t>
      </w:r>
      <w:r>
        <w:rPr>
          <w:rFonts w:ascii="Times New Roman" w:hAnsi="Times New Roman"/>
          <w:b w:val="false"/>
          <w:i w:val="false"/>
          <w:color w:val="000000"/>
          <w:sz w:val="22"/>
        </w:rPr>
        <w:t>93.9(2)</w:t>
      </w:r>
      <w:r>
        <w:rPr>
          <w:rFonts w:ascii="Times New Roman" w:hAnsi="Times New Roman"/>
          <w:b w:val="false"/>
          <w:i w:val="false"/>
          <w:color w:val="000000"/>
          <w:sz w:val="22"/>
        </w:rPr>
        <w:t xml:space="preserve"> in the FIA. The FaDSS or other family development services shall continue after the parent reaches the age of 18 only when the participant and the family development worker believe that the services are needed for the family to reach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FIA activities for participants convicted of a drug-related felony after August 22, 1996. </w:t>
      </w:r>
      <w:r>
        <w:rPr>
          <w:rFonts w:ascii="Times New Roman" w:hAnsi="Times New Roman"/>
          <w:b w:val="false"/>
          <w:i w:val="false"/>
          <w:color w:val="000000"/>
          <w:sz w:val="22"/>
        </w:rPr>
        <w:t>A participant convicted of a drug-related felony after August 22, 1996, shall include drug rehabilitation activities in the participant’s FIA to verify that the participant does not illegally possess, use, or distribute a controlled substance except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participant successfully completed any applicable drug rehabilitation and court-ordered probation or parole resulting from the drug felony conviction,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participant is currently on probation or parole and successfully completed all drug rehabilitation requirements resulting from the drug felony conviction, whether court-ordered or required by probation or parole.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Waiting lists. </w:t>
      </w:r>
      <w:r>
        <w:rPr>
          <w:rFonts w:ascii="Times New Roman" w:hAnsi="Times New Roman"/>
          <w:b w:val="false"/>
          <w:i w:val="false"/>
          <w:color w:val="000000"/>
          <w:sz w:val="22"/>
        </w:rPr>
        <w:t>The department of health and human services reserves the authority to prioritize services to FIP applicants and participants in the order that best fits the needs of FIP applicants and recipients and PROMISE JOBS program participants. Participants who are placed on a waiting list for a PROMISE JOBS component shall include other appropriate activities in the FIA while waiting unless family circumstances indicate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shall be removed from these waiting lists and placed in components at the discretion of state-level PROMISE JOBS administrators in order to help participants achieve self-sufficiency in the shortest possible time, meet budgetary limitations, enable participants to make maximum use of other programs, fulfill the federal minimum participation rate requirements, and meet other TANF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who were enrolled in approved postsecondary training at the time of FIP cancellation shall not be placed on a postsecondary training waiting list if the participant is still satisfactorily participating in approvable training at the time that FIP eligibility is regained.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Unavailability of funding. </w:t>
      </w:r>
      <w:r>
        <w:rPr>
          <w:rFonts w:ascii="Times New Roman" w:hAnsi="Times New Roman"/>
          <w:b w:val="false"/>
          <w:i w:val="false"/>
          <w:color w:val="000000"/>
          <w:sz w:val="22"/>
        </w:rPr>
        <w:t>If funding for the PROMISE JOBS activities included in a participant’s FIA or required supportive payments are not available, the participant’s FIA shall be renegotiated to include different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93.4(5)</w:t>
      </w:r>
      <w:r>
        <w:rPr>
          <w:rFonts w:ascii="Times New Roman" w:hAnsi="Times New Roman"/>
          <w:b w:val="false"/>
          <w:i w:val="false"/>
          <w:color w:val="000000"/>
          <w:sz w:val="22"/>
        </w:rPr>
        <w:t> </w:t>
      </w:r>
      <w:r>
        <w:rPr>
          <w:rFonts w:ascii="Times New Roman" w:hAnsi="Times New Roman"/>
          <w:b w:val="false"/>
          <w:i/>
          <w:color w:val="000000"/>
          <w:sz w:val="22"/>
        </w:rPr>
        <w:t xml:space="preserve">Barriers to participation. </w:t>
      </w:r>
      <w:r>
        <w:rPr>
          <w:rFonts w:ascii="Times New Roman" w:hAnsi="Times New Roman"/>
          <w:b w:val="false"/>
          <w:i w:val="false"/>
          <w:color w:val="000000"/>
          <w:sz w:val="22"/>
        </w:rPr>
        <w:t>Problems with participation of a permanent or long-term nature shall be considered barriers to participation and shall be identified in the FIA as issues to be resolved or managed so that maximum participation can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Barriers defined. </w:t>
      </w:r>
      <w:r>
        <w:rPr>
          <w:rFonts w:ascii="Times New Roman" w:hAnsi="Times New Roman"/>
          <w:b w:val="false"/>
          <w:i w:val="false"/>
          <w:color w:val="000000"/>
          <w:sz w:val="22"/>
        </w:rPr>
        <w:t>Barriers to participation include anything identified by an FIA-responsible person that prevents them from fully participating in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Inclusion in FIA.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barriers are identified by the applicant during initial assessment, removal or management of the barrier shall be part of the FIA from the beginning.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barriers are revealed by the participant or are identified by problems that develop after the FIA is signed, the FIA shall be renegotiated and amended to provide for removal or management of the barriers.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limited instances where special-needs care for a child or adult is not available, it may be most  practical for the participant to develop the FIA to identify providing the care as part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Victims of domestic violence may include in their FIA the family violence option, which is a plan to address or attempt to prevent domestic violence. The family violence option may allow for a temporary waiver from participation in PROMISE JOBS activities when appropriate for the participant or  participant’s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PROMISE JOBS worker shall review the need for inclusion of a barrier to participation in the FIA at least once every six months to determine if the barrier continues to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Cooperation with removing or managing barriers.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An FIA-responsible applicant who chooses not to cooperate in removing or managing barriers to participation identified during FIA development shall be denied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Participants. A participant who chooses not to cooperate in removing or managing identified barriers to participation shall be considered to have chosen the LBP. If the participant claims a cognitive or physical disability or mental illness that is expected to last for more than 12 consecutive months, the participant is required to apply for social security disability and supplemental security income benefits. When the participant refuses to apply for those benefits, the FIP household is ineligible for FIP as described at </w:t>
      </w:r>
      <w:hyperlink r:id="rId38">
        <w:r>
          <w:rPr>
            <w:rStyle w:val="Hyperlink"/>
            <w:rFonts w:ascii="Times New Roman" w:hAnsi="Times New Roman"/>
            <w:b w:val="false"/>
            <w:i w:val="false"/>
            <w:color w:val="000000"/>
            <w:sz w:val="22"/>
          </w:rPr>
          <w:t>441—subrule 41.27(1)</w:t>
        </w:r>
      </w:hyperlink>
      <w:r>
        <w:rPr>
          <w:rFonts w:ascii="Times New Roman" w:hAnsi="Times New Roman"/>
          <w:b w:val="false"/>
          <w:i w:val="false"/>
          <w:color w:val="000000"/>
          <w:sz w:val="22"/>
        </w:rPr>
        <w:t>, and the LBP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93.4(6)</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complete an FIA.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FIP applicants. </w:t>
      </w:r>
      <w:r>
        <w:rPr>
          <w:rFonts w:ascii="Times New Roman" w:hAnsi="Times New Roman"/>
          <w:b w:val="false"/>
          <w:i w:val="false"/>
          <w:color w:val="000000"/>
          <w:sz w:val="22"/>
        </w:rPr>
        <w:t xml:space="preserve">An applicant’s failure to develop or sign an FIA will result in denial of the family’s application for FIP assistance as described in 441—paragraphs </w:t>
      </w:r>
      <w:hyperlink r:id="rId39">
        <w:r>
          <w:rPr>
            <w:rStyle w:val="Hyperlink"/>
            <w:rFonts w:ascii="Times New Roman" w:hAnsi="Times New Roman"/>
            <w:b w:val="false"/>
            <w:i w:val="false"/>
            <w:color w:val="000000"/>
            <w:sz w:val="22"/>
          </w:rPr>
          <w:t>41.24(4)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FIP participants. </w:t>
      </w:r>
      <w:r>
        <w:rPr>
          <w:rFonts w:ascii="Times New Roman" w:hAnsi="Times New Roman"/>
          <w:b w:val="false"/>
          <w:i w:val="false"/>
          <w:color w:val="000000"/>
          <w:sz w:val="22"/>
        </w:rPr>
        <w:t xml:space="preserve">FIP participants who choose not to enter into an FIA or who choose not to continue its activities after signing an FIA shall enter into the LBP as described in </w:t>
      </w:r>
      <w:hyperlink r:id="rId40">
        <w:r>
          <w:rPr>
            <w:rStyle w:val="Hyperlink"/>
            <w:rFonts w:ascii="Times New Roman" w:hAnsi="Times New Roman"/>
            <w:b w:val="false"/>
            <w:i w:val="false"/>
            <w:color w:val="000000"/>
            <w:sz w:val="22"/>
          </w:rPr>
          <w:t>441—subrule 41.24(8)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93.4(7)</w:t>
      </w:r>
      <w:r>
        <w:rPr>
          <w:rFonts w:ascii="Times New Roman" w:hAnsi="Times New Roman"/>
          <w:b w:val="false"/>
          <w:i w:val="false"/>
          <w:color w:val="000000"/>
          <w:sz w:val="22"/>
        </w:rPr>
        <w:t> </w:t>
      </w:r>
      <w:r>
        <w:rPr>
          <w:rFonts w:ascii="Times New Roman" w:hAnsi="Times New Roman"/>
          <w:b w:val="false"/>
          <w:i/>
          <w:color w:val="000000"/>
          <w:sz w:val="22"/>
        </w:rPr>
        <w:t xml:space="preserve">Progress reviews. </w:t>
      </w:r>
      <w:r>
        <w:rPr>
          <w:rFonts w:ascii="Times New Roman" w:hAnsi="Times New Roman"/>
          <w:b w:val="false"/>
          <w:i w:val="false"/>
          <w:color w:val="000000"/>
          <w:sz w:val="22"/>
        </w:rPr>
        <w:t>The PROMISE JOBS worker shall review all FIAs at least once every six months with input from at least one family member. FIA goals and, if appropriate, the needs for child care, transportation, and other supports shall be reviewed for continued appropriateness.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93.4(8)</w:t>
      </w:r>
      <w:r>
        <w:rPr>
          <w:rFonts w:ascii="Times New Roman" w:hAnsi="Times New Roman"/>
          <w:b w:val="false"/>
          <w:i w:val="false"/>
          <w:color w:val="000000"/>
          <w:sz w:val="22"/>
        </w:rPr>
        <w:t> </w:t>
      </w:r>
      <w:r>
        <w:rPr>
          <w:rFonts w:ascii="Times New Roman" w:hAnsi="Times New Roman"/>
          <w:b w:val="false"/>
          <w:i/>
          <w:color w:val="000000"/>
          <w:sz w:val="22"/>
        </w:rPr>
        <w:t xml:space="preserve">Renegotiation.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FIA shall be renegotiated to reflect a new plan for self-sufficiency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participant has participated satisfactorily in the current FIA activities but is not self-sufficient by the end date specified in the FIA;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demonstrates effort in carrying out the steps of the FIA but is unable to participate satisfactorily in the current FIA activities due to a barrier as described in subrule </w:t>
      </w:r>
      <w:r>
        <w:rPr>
          <w:rFonts w:ascii="Times New Roman" w:hAnsi="Times New Roman"/>
          <w:b w:val="false"/>
          <w:i w:val="false"/>
          <w:color w:val="000000"/>
          <w:sz w:val="22"/>
        </w:rPr>
        <w:t>93.4(5)</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participant’s circumstances change to such an extent that the current FIA activities are no longer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Participants who choose not to cooperate in the renegotiation process when requested by PROMISE JOBS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41">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42">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93.4(9)</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When a participant who has signed an FIA loses FIP eligibility and has not become exempt from PROMISE JOBS at the time of FIP reapplication, the contents of the original FIA and the participant’s responsibility for carrying out the steps of that FIA may be reinstated when the steps of the FIA fit the family’s current circumstances. The FIA shall be renegotiated and amended if needed to accommodate changed family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441—93.5</w:t>
      </w:r>
      <w:r>
        <w:rPr>
          <w:rFonts w:ascii="Times New Roman" w:hAnsi="Times New Roman"/>
          <w:b/>
          <w:i w:val="false"/>
          <w:color w:val="000000"/>
          <w:sz w:val="22"/>
        </w:rPr>
        <w:t xml:space="preserve">(239B) </w:t>
      </w:r>
      <w:r>
        <w:rPr>
          <w:rFonts w:ascii="Times New Roman" w:hAnsi="Times New Roman"/>
          <w:b/>
          <w:i w:val="false"/>
          <w:color w:val="000000"/>
          <w:sz w:val="22"/>
        </w:rPr>
        <w:t xml:space="preserve">Assessment. </w:t>
      </w:r>
      <w:r>
        <w:rPr>
          <w:rFonts w:ascii="Times New Roman" w:hAnsi="Times New Roman"/>
          <w:b w:val="false"/>
          <w:i w:val="false"/>
          <w:color w:val="000000"/>
          <w:sz w:val="22"/>
        </w:rPr>
        <w:t>The purpose of assessment is to provide an evaluation of the FIP applicant or participant family that furnishes a basis for the PROMISE JOBS worker to determine: (1) family members’ employability and educational potential, so that participants can make well-informed choices; and (2) the services that will be needed for the family to achieve self-sufficiency, so that the worker can provide appropriate guidance.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All persons referred to PROMISE JOBS shall complete an initial assessment, which includes a form prescribed by the department and shall review, at a minimum, the family’s basic needs as determined by the department. This initial assessment shall be used to develop the initial FIA. The PROMISE JOBS worker shall meet individually with FIA-responsible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93.5(2)</w:t>
      </w:r>
      <w:r>
        <w:rPr>
          <w:rFonts w:ascii="Times New Roman" w:hAnsi="Times New Roman"/>
          <w:b w:val="false"/>
          <w:i w:val="false"/>
          <w:color w:val="000000"/>
          <w:sz w:val="22"/>
        </w:rPr>
        <w:t> </w:t>
      </w:r>
      <w:r>
        <w:rPr>
          <w:rFonts w:ascii="Times New Roman" w:hAnsi="Times New Roman"/>
          <w:b w:val="false"/>
          <w:i/>
          <w:color w:val="000000"/>
          <w:sz w:val="22"/>
        </w:rPr>
        <w:t xml:space="preserve">Additional assessments. </w:t>
      </w:r>
      <w:r>
        <w:rPr>
          <w:rFonts w:ascii="Times New Roman" w:hAnsi="Times New Roman"/>
          <w:b w:val="false"/>
          <w:i w:val="false"/>
          <w:color w:val="000000"/>
          <w:sz w:val="22"/>
        </w:rPr>
        <w:t>Additional assessments may include but are not limited to literacy and aptitude testing, educational level and basic skills assessment, evaluation of job interests or job skills, occupation-specific assessment or testing, or an evaluation of past pertinent information. An additional assessment may be used by mutual agreement between the PROMISE JOBS worker and the participant as a tool and to help explore possible FIA development. For a specific additional assessment to be required, completion of the assessment must be specified in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on applicants. </w:t>
      </w:r>
      <w:r>
        <w:rPr>
          <w:rFonts w:ascii="Times New Roman" w:hAnsi="Times New Roman"/>
          <w:b w:val="false"/>
          <w:i w:val="false"/>
          <w:color w:val="000000"/>
          <w:sz w:val="22"/>
        </w:rPr>
        <w:t>If information identified during the initial assessment indicates that further information is needed to help the participant and PROMISE JOBS worker identify appropriate FIA activities and level of involvement, the applicant shall complete additional assessments as determined by the PROMISE JOBS worker. Completion of this assessment may be the first step in the initial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Medical examination. </w:t>
      </w:r>
      <w:r>
        <w:rPr>
          <w:rFonts w:ascii="Times New Roman" w:hAnsi="Times New Roman"/>
          <w:b w:val="false"/>
          <w:i w:val="false"/>
          <w:color w:val="000000"/>
          <w:sz w:val="22"/>
        </w:rPr>
        <w:t>The PROMISE JOBS worker may require a person to complete a medical examination before including a particular PROMISE JOBS activity in the FIA when a participant specifies or exhibits any condition that might jeopardize successful participation in the program. The worker shall ask the health practitioner to indicate to the best of the practitioner’s knowledge whether the person is capable of completing the FIA activity or continuing with appropriate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Rehabilitation assessments. </w:t>
      </w:r>
      <w:r>
        <w:rPr>
          <w:rFonts w:ascii="Times New Roman" w:hAnsi="Times New Roman"/>
          <w:b w:val="false"/>
          <w:i w:val="false"/>
          <w:color w:val="000000"/>
          <w:sz w:val="22"/>
        </w:rPr>
        <w:t>At any time during the assessment process or as more information is revealed, a referral may be made for professional assessments in physical health, mental health, substance use disorder, or other rehabilitative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on participants. </w:t>
      </w:r>
      <w:r>
        <w:rPr>
          <w:rFonts w:ascii="Times New Roman" w:hAnsi="Times New Roman"/>
          <w:b w:val="false"/>
          <w:i w:val="false"/>
          <w:color w:val="000000"/>
          <w:sz w:val="22"/>
        </w:rPr>
        <w:t>Assessments may be completed or redone at any time throughout the development and duration of the FIA if the information is needed to help the participant and the PROMISE JOBS worker make decisions concerning the type or level of the participant’s involvement in PROMISE JOBS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93.5(3)</w:t>
      </w:r>
      <w:r>
        <w:rPr>
          <w:rFonts w:ascii="Times New Roman" w:hAnsi="Times New Roman"/>
          <w:b w:val="false"/>
          <w:i w:val="false"/>
          <w:color w:val="000000"/>
          <w:sz w:val="22"/>
        </w:rPr>
        <w:t> </w:t>
      </w:r>
      <w:r>
        <w:rPr>
          <w:rFonts w:ascii="Times New Roman" w:hAnsi="Times New Roman"/>
          <w:b w:val="false"/>
          <w:i/>
          <w:color w:val="000000"/>
          <w:sz w:val="22"/>
        </w:rPr>
        <w:t xml:space="preserve">Postsecondary educational evaluation. </w:t>
      </w:r>
      <w:r>
        <w:rPr>
          <w:rFonts w:ascii="Times New Roman" w:hAnsi="Times New Roman"/>
          <w:b w:val="false"/>
          <w:i w:val="false"/>
          <w:color w:val="000000"/>
          <w:sz w:val="22"/>
        </w:rPr>
        <w:t>Participants who wish to include postsecondary education in their FIA shall complete an educational evaluation to determine the likelihood of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for education resulting in a vocational certificate or certificate of completion. </w:t>
      </w:r>
      <w:r>
        <w:rPr>
          <w:rFonts w:ascii="Times New Roman" w:hAnsi="Times New Roman"/>
          <w:b w:val="false"/>
          <w:i w:val="false"/>
          <w:color w:val="000000"/>
          <w:sz w:val="22"/>
        </w:rPr>
        <w:t>Vocational certificate or certification of completion training programs offer short-term training in a specific vocational area. The PROMISE JOBS worker shall determine the likelihood of success using the following types of tools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review of information from past training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Past job performance in comparable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Basic skills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Career-specific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specific standardized test,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key historical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 for education resulting in an associate or baccalaureate degree. </w:t>
      </w:r>
      <w:r>
        <w:rPr>
          <w:rFonts w:ascii="Times New Roman" w:hAnsi="Times New Roman"/>
          <w:b w:val="false"/>
          <w:i w:val="false"/>
          <w:color w:val="000000"/>
          <w:sz w:val="22"/>
        </w:rPr>
        <w:t>The PROMISE JOBS worker shall determine the likelihood of academic success through an educational evaluation. The evaluation may include use of the following types of tools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Standardized assessments in reading comprehension, math, and writing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Occupation-specific skills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Interest inventories;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or past grades;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pertinent historical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Documenting educational evaluation results. </w:t>
      </w:r>
      <w:r>
        <w:rPr>
          <w:rFonts w:ascii="Times New Roman" w:hAnsi="Times New Roman"/>
          <w:b w:val="false"/>
          <w:i w:val="false"/>
          <w:color w:val="000000"/>
          <w:sz w:val="22"/>
        </w:rPr>
        <w:t>When a participant has requested education to be included in the FIA, the PROMISE JOBS worker shall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What formal assessments were completed, if any, and what the results were;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What other information was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How the evaluation information was used by the PROMISE JOBS worker in either approving or denying the inclusion of education in the participant’s FIA;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request is approved or denied. If the request is denied, PROMISE JOBS shall issue a Notice of Decision: Services to the participant as required in paragraph </w:t>
      </w:r>
      <w:r>
        <w:rPr>
          <w:rFonts w:ascii="Times New Roman" w:hAnsi="Times New Roman"/>
          <w:b w:val="false"/>
          <w:i w:val="false"/>
          <w:color w:val="000000"/>
          <w:sz w:val="22"/>
        </w:rPr>
        <w:t>93.10(1)</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93.5(4)</w:t>
      </w:r>
      <w:r>
        <w:rPr>
          <w:rFonts w:ascii="Times New Roman" w:hAnsi="Times New Roman"/>
          <w:b w:val="false"/>
          <w:i w:val="false"/>
          <w:color w:val="000000"/>
          <w:sz w:val="22"/>
        </w:rPr>
        <w:t> </w:t>
      </w:r>
      <w:r>
        <w:rPr>
          <w:rFonts w:ascii="Times New Roman" w:hAnsi="Times New Roman"/>
          <w:b w:val="false"/>
          <w:i/>
          <w:color w:val="000000"/>
          <w:sz w:val="22"/>
        </w:rPr>
        <w:t xml:space="preserve">Substituting or supplementing an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Substituting assessment information. </w:t>
      </w:r>
      <w:r>
        <w:rPr>
          <w:rFonts w:ascii="Times New Roman" w:hAnsi="Times New Roman"/>
          <w:b w:val="false"/>
          <w:i w:val="false"/>
          <w:color w:val="000000"/>
          <w:sz w:val="22"/>
        </w:rPr>
        <w:t>If the FIA-responsible person’s mental status, physical status, and life situation have not changed significantly, comparable assessment information completed with another agency or person within the past two years may be used instead of performing new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Examples of agencies or persons that may complete comparable assessment information include but are not limited to the department of workforce development, Head Start, public housing authorities, child welfare workers, vocational rehabilitation services, an educational institution or testing service, or family development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FIA-responsible person may authorize PROMISE JOBS to obtain these assessment results by signing a release of information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Supplementing assessment information. </w:t>
      </w:r>
      <w:r>
        <w:rPr>
          <w:rFonts w:ascii="Times New Roman" w:hAnsi="Times New Roman"/>
          <w:b w:val="false"/>
          <w:i w:val="false"/>
          <w:color w:val="000000"/>
          <w:sz w:val="22"/>
        </w:rPr>
        <w:t>In order to ensure that the FIA activities do not conflict with any case plans that have already been established for the family, the FIA-responsible person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Supplement assessment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communication between the PROMISE JOBS worker and other agencies or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 of key historical information. </w:t>
      </w:r>
      <w:r>
        <w:rPr>
          <w:rFonts w:ascii="Times New Roman" w:hAnsi="Times New Roman"/>
          <w:b w:val="false"/>
          <w:i w:val="false"/>
          <w:color w:val="000000"/>
          <w:sz w:val="22"/>
        </w:rPr>
        <w:t>When key historical information, such as a review of the participant’s job history or past training outcomes, relays a clear picture of the participant’s skills and abilities, a formal, standardized educational assessment may not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participant is currently enrolled in or has been enrolled in comparable training or an academic program in the past two years, the evaluation of the participant’s performance, including grades received, may be substituted for a formal, standardized educational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using historical information as an indicator of future success, changes in the participant’s mental status, physical status, life circumstances, and motivation shall be given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93.5(5)</w:t>
      </w:r>
      <w:r>
        <w:rPr>
          <w:rFonts w:ascii="Times New Roman" w:hAnsi="Times New Roman"/>
          <w:b w:val="false"/>
          <w:i w:val="false"/>
          <w:color w:val="000000"/>
          <w:sz w:val="22"/>
        </w:rPr>
        <w:t> </w:t>
      </w:r>
      <w:r>
        <w:rPr>
          <w:rFonts w:ascii="Times New Roman" w:hAnsi="Times New Roman"/>
          <w:b w:val="false"/>
          <w:i/>
          <w:color w:val="000000"/>
          <w:sz w:val="22"/>
        </w:rPr>
        <w:t xml:space="preserve">Assessment after FIP cancellation or LBP. </w:t>
      </w:r>
      <w:r>
        <w:rPr>
          <w:rFonts w:ascii="Times New Roman" w:hAnsi="Times New Roman"/>
          <w:b w:val="false"/>
          <w:i w:val="false"/>
          <w:color w:val="000000"/>
          <w:sz w:val="22"/>
        </w:rPr>
        <w:t>FIP participants who previously participated in either a basic or additional assessment and then were canceled from FIP or entered an LBP may be required to complete an assessment again when the PROMISE JOBS worker determines that updated information is needed for development or amendment of the FIA.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93.5(6)</w:t>
      </w:r>
      <w:r>
        <w:rPr>
          <w:rFonts w:ascii="Times New Roman" w:hAnsi="Times New Roman"/>
          <w:b w:val="false"/>
          <w:i w:val="false"/>
          <w:color w:val="000000"/>
          <w:sz w:val="22"/>
        </w:rPr>
        <w:t> </w:t>
      </w:r>
      <w:r>
        <w:rPr>
          <w:rFonts w:ascii="Times New Roman" w:hAnsi="Times New Roman"/>
          <w:b w:val="false"/>
          <w:i/>
          <w:color w:val="000000"/>
          <w:sz w:val="22"/>
        </w:rPr>
        <w:t xml:space="preserve">Participants with FaDSS services only. </w:t>
      </w:r>
      <w:r>
        <w:rPr>
          <w:rFonts w:ascii="Times New Roman" w:hAnsi="Times New Roman"/>
          <w:b w:val="false"/>
          <w:i w:val="false"/>
          <w:color w:val="000000"/>
          <w:sz w:val="22"/>
        </w:rPr>
        <w:t>For participants with FaDSS services as the only activity in their FIA, the PROMISE JOBS worker shall use information provided by the FaDSS worker to help assess when a participant is ready to participate in other PROMISE JOBS activities. The PROMISE JOBS worker may require additional assessments to be completed if more information is needed to decide the type or level of the participant’s involvement in other PROMISE JOBS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93.5(7)</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The participant shall provide documentation of participation in assessments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 Persons who miss any portion of a scheduled assessment may be required to make up the missed portion, based on worker judgment and participant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93.5(8)</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Except for assessment activities that occur on the same day as orientation, persons participating in assessment activities are eligible for child care assistance and transportation payments needed to allow the scheduled participation as described in rule </w:t>
      </w:r>
      <w:hyperlink r:id="rId43">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make-up sessions are required, the participant shall not receive an additional transportation payment, but necessary child care assistance shall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93.5(9)</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complete assessment. </w:t>
      </w:r>
      <w:r>
        <w:rPr>
          <w:rFonts w:ascii="Times New Roman" w:hAnsi="Times New Roman"/>
          <w:b w:val="false"/>
          <w:i w:val="false"/>
          <w:color w:val="000000"/>
          <w:sz w:val="22"/>
        </w:rPr>
        <w:t xml:space="preserve">Participants who do not complete assessments that are written into their FIA shall be considered to have chosen the LBP unless they have good cause.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44">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45">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441—93.6</w:t>
      </w:r>
      <w:r>
        <w:rPr>
          <w:rFonts w:ascii="Times New Roman" w:hAnsi="Times New Roman"/>
          <w:b/>
          <w:i w:val="false"/>
          <w:color w:val="000000"/>
          <w:sz w:val="22"/>
        </w:rPr>
        <w:t xml:space="preserve">(239B) </w:t>
      </w:r>
      <w:r>
        <w:rPr>
          <w:rFonts w:ascii="Times New Roman" w:hAnsi="Times New Roman"/>
          <w:b/>
          <w:i w:val="false"/>
          <w:color w:val="000000"/>
          <w:sz w:val="22"/>
        </w:rPr>
        <w:t xml:space="preserve">Job readiness and job search activities. </w:t>
      </w:r>
      <w:r>
        <w:rPr>
          <w:rFonts w:ascii="Times New Roman" w:hAnsi="Times New Roman"/>
          <w:b w:val="false"/>
          <w:i w:val="false"/>
          <w:color w:val="000000"/>
          <w:sz w:val="22"/>
        </w:rPr>
        <w:t>Job readiness and job search activities include job readiness skills training and other activities that prepare a participant to search for or obtain employment, individual and structured job search, unplanned job opportunities, substance use disorder treatment, mental health treatment, and other rehabilitation activities. The participant and the PROMISE JOBS worker shall incorporate into the FIA the job readiness and job search activities that are appropriate for the goals, work history, skill level, and life circumstances of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93.6(1)</w:t>
      </w:r>
      <w:r>
        <w:rPr>
          <w:rFonts w:ascii="Times New Roman" w:hAnsi="Times New Roman"/>
          <w:b w:val="false"/>
          <w:i w:val="false"/>
          <w:color w:val="000000"/>
          <w:sz w:val="22"/>
        </w:rPr>
        <w:t> </w:t>
      </w:r>
      <w:r>
        <w:rPr>
          <w:rFonts w:ascii="Times New Roman" w:hAnsi="Times New Roman"/>
          <w:b w:val="false"/>
          <w:i/>
          <w:color w:val="000000"/>
          <w:sz w:val="22"/>
        </w:rPr>
        <w:t xml:space="preserve">Job readiness. </w:t>
      </w:r>
      <w:r>
        <w:rPr>
          <w:rFonts w:ascii="Times New Roman" w:hAnsi="Times New Roman"/>
          <w:b w:val="false"/>
          <w:i w:val="false"/>
          <w:color w:val="000000"/>
          <w:sz w:val="22"/>
        </w:rPr>
        <w:t>Job readiness prepares participants to search for or obtain employment. Job readiness consists of job readiness skills training and other activities completed outside of a training session that prepare a participant to search for or obtain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Delivery of job readiness skills training. </w:t>
      </w:r>
      <w:r>
        <w:rPr>
          <w:rFonts w:ascii="Times New Roman" w:hAnsi="Times New Roman"/>
          <w:b w:val="false"/>
          <w:i w:val="false"/>
          <w:color w:val="000000"/>
          <w:sz w:val="22"/>
        </w:rPr>
        <w:t>Job readiness skills training is provided in scheduled sessions consisting of up to 30 hours of structured activity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 Job readiness skills training. </w:t>
      </w:r>
      <w:r>
        <w:rPr>
          <w:rFonts w:ascii="Times New Roman" w:hAnsi="Times New Roman"/>
          <w:b w:val="false"/>
          <w:i w:val="false"/>
          <w:color w:val="000000"/>
          <w:sz w:val="22"/>
        </w:rPr>
        <w:t>Job readiness skills training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Interests and skills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Self-esteem building and motivational exercises;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Identifying and eliminating employment barriers;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Résumé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Completing job applications and follow-up letters;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Obtaining interviews and communication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Interviewing skills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Goal attainment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Soft skills and life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Job market trends and finding job leads;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Self-marketing and positive attitude building;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Job retention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job readiness activities. </w:t>
      </w:r>
      <w:r>
        <w:rPr>
          <w:rFonts w:ascii="Times New Roman" w:hAnsi="Times New Roman"/>
          <w:b w:val="false"/>
          <w:i w:val="false"/>
          <w:color w:val="000000"/>
          <w:sz w:val="22"/>
        </w:rPr>
        <w:t>Job readiness may include activities that prepare the participant to search for or obtain employment and are completed outside of a training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Attendance. </w:t>
      </w:r>
      <w:r>
        <w:rPr>
          <w:rFonts w:ascii="Times New Roman" w:hAnsi="Times New Roman"/>
          <w:b w:val="false"/>
          <w:i w:val="false"/>
          <w:color w:val="000000"/>
          <w:sz w:val="22"/>
        </w:rPr>
        <w:t xml:space="preserve">Attendance is required when a participant is scheduled for job readiness skills training or other job readiness activities unless the participant has good cause as described in rule </w:t>
      </w:r>
      <w:hyperlink r:id="rId46">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or a barrier as described in subrule </w:t>
      </w:r>
      <w:r>
        <w:rPr>
          <w:rFonts w:ascii="Times New Roman" w:hAnsi="Times New Roman"/>
          <w:b w:val="false"/>
          <w:i w:val="false"/>
          <w:color w:val="000000"/>
          <w:sz w:val="22"/>
        </w:rPr>
        <w:t>93.4(5)</w:t>
      </w:r>
      <w:r>
        <w:rPr>
          <w:rFonts w:ascii="Times New Roman" w:hAnsi="Times New Roman"/>
          <w:b w:val="false"/>
          <w:i w:val="false"/>
          <w:color w:val="000000"/>
          <w:sz w:val="22"/>
        </w:rPr>
        <w:t>. Participants who miss any portion of job readiness skills training may be required to either make up the missed portion of the sessions or to retake the entire week of training based on practical worker judgment and participant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Child care assistance and transportation payments shall be provided as described in rule </w:t>
      </w:r>
      <w:hyperlink r:id="rId47">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needed to participate in job readiness skills training or other job readiness activities. The transportation payment shall be paid before the first scheduled day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Participants who must repeat or make up any portion of job readiness skills training because of absence due to reasons as described in rule </w:t>
      </w:r>
      <w:hyperlink r:id="rId48">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shall receive an additional transportation payment as described in subrule </w:t>
      </w:r>
      <w:r>
        <w:rPr>
          <w:rFonts w:ascii="Times New Roman" w:hAnsi="Times New Roman"/>
          <w:b w:val="false"/>
          <w:i w:val="false"/>
          <w:color w:val="000000"/>
          <w:sz w:val="22"/>
        </w:rPr>
        <w:t>93.11(3)</w:t>
      </w:r>
      <w:r>
        <w:rPr>
          <w:rFonts w:ascii="Times New Roman" w:hAnsi="Times New Roman"/>
          <w:b w:val="false"/>
          <w:i w:val="false"/>
          <w:color w:val="000000"/>
          <w:sz w:val="22"/>
        </w:rPr>
        <w:t xml:space="preserve"> for each day that must be repeated and child care assistance. This rule applies only when the participant will have transportation costs that exceed the participant’s original payment because of repeating or making up a portion of job readiness skills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Participants who must repeat or make up any portion of job readiness skills training as a result of absences due to reasons other than those described at rule </w:t>
      </w:r>
      <w:hyperlink r:id="rId49">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not receive an additional transportation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Documenting job readiness skills training or other job readiness participation. </w:t>
      </w:r>
      <w:r>
        <w:rPr>
          <w:rFonts w:ascii="Times New Roman" w:hAnsi="Times New Roman"/>
          <w:b w:val="false"/>
          <w:i w:val="false"/>
          <w:color w:val="000000"/>
          <w:sz w:val="22"/>
        </w:rPr>
        <w:t xml:space="preserve">Hours of participation in job readiness skills training or other job readiness activities shall be documented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in job readiness skills training activities. </w:t>
      </w:r>
      <w:r>
        <w:rPr>
          <w:rFonts w:ascii="Times New Roman" w:hAnsi="Times New Roman"/>
          <w:b w:val="false"/>
          <w:i w:val="false"/>
          <w:color w:val="000000"/>
          <w:sz w:val="22"/>
        </w:rPr>
        <w:t xml:space="preserve">Participants who without good cause do not appear for scheduled job readiness skills training activities as stated in the FIA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50">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51">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93.6(2)</w:t>
      </w:r>
      <w:r>
        <w:rPr>
          <w:rFonts w:ascii="Times New Roman" w:hAnsi="Times New Roman"/>
          <w:b w:val="false"/>
          <w:i w:val="false"/>
          <w:color w:val="000000"/>
          <w:sz w:val="22"/>
        </w:rPr>
        <w:t> </w:t>
      </w:r>
      <w:r>
        <w:rPr>
          <w:rFonts w:ascii="Times New Roman" w:hAnsi="Times New Roman"/>
          <w:b w:val="false"/>
          <w:i/>
          <w:color w:val="000000"/>
          <w:sz w:val="22"/>
        </w:rPr>
        <w:t xml:space="preserve">Individual job search. </w:t>
      </w:r>
      <w:r>
        <w:rPr>
          <w:rFonts w:ascii="Times New Roman" w:hAnsi="Times New Roman"/>
          <w:b w:val="false"/>
          <w:i w:val="false"/>
          <w:color w:val="000000"/>
          <w:sz w:val="22"/>
        </w:rPr>
        <w:t>Individual job search shall be available to all participants, particularly those who have recent ties with the workforce, have successfully removed or reduced barriers to work, have completed job readiness skills training, or have completed education or training activities and are now ready to work. Participants are not required to participate in individual job search full-time. Individual job search may be combined with other FIA activities to reach full-time equivalency. Hours of participation in individual job search shall be determined according to the participant’s individual circumstances and be at a level that will reasonably allow the participant to successfully find full-time employment. If after three calendar months the participant still has not found employment, the worker shall review the participant’s situation for possible barriers to employment or possible need for training to increase the participant’s employability. Job search may continue if appropriate, but linking with other activities should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Job search plan. </w:t>
      </w:r>
      <w:r>
        <w:rPr>
          <w:rFonts w:ascii="Times New Roman" w:hAnsi="Times New Roman"/>
          <w:b w:val="false"/>
          <w:i w:val="false"/>
          <w:color w:val="000000"/>
          <w:sz w:val="22"/>
        </w:rPr>
        <w:t>A written job search plan using a form prescribed by the department shall be developed with input from the PROMISE JOBS participant and the PROMISE JOBS worker. A copy shall be provided to the participant. The plan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a designated period for job search not to exceed five weeks ending on a Friday within the same calendar month and the specific methods for finding job openings.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number of hours to be committed for each week of the designated period so as to provide the most effective use of transportation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due dates for providing documentation of job search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Contain information as specific as possible about areas of employment interest, employers to be contacted, and other pertinent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Child care assistance and transportation payments shall be provided as described in rule </w:t>
      </w:r>
      <w:hyperlink r:id="rId52">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 xml:space="preserve">(239B) when needed for participation in an individual job search. The transportation payment shall be paid in full prior to the start of each designated period of the individual job search. Transportation payments for any missed days of job search activity shall be subject to transportation overpayment policies as described in subrule </w:t>
      </w:r>
      <w:r>
        <w:rPr>
          <w:rFonts w:ascii="Times New Roman" w:hAnsi="Times New Roman"/>
          <w:b w:val="false"/>
          <w:i w:val="false"/>
          <w:color w:val="000000"/>
          <w:sz w:val="22"/>
        </w:rPr>
        <w:t>93.11(3)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Documenting job search participation. </w:t>
      </w:r>
      <w:r>
        <w:rPr>
          <w:rFonts w:ascii="Times New Roman" w:hAnsi="Times New Roman"/>
          <w:b w:val="false"/>
          <w:i w:val="false"/>
          <w:color w:val="000000"/>
          <w:sz w:val="22"/>
        </w:rPr>
        <w:t xml:space="preserve">The participant shall document the actual hours spent on job contacts and other job search activities. Participant documentation shall be provided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in individual job search. </w:t>
      </w:r>
      <w:r>
        <w:rPr>
          <w:rFonts w:ascii="Times New Roman" w:hAnsi="Times New Roman"/>
          <w:b w:val="false"/>
          <w:i w:val="false"/>
          <w:color w:val="000000"/>
          <w:sz w:val="22"/>
        </w:rPr>
        <w:t xml:space="preserve">Participants who without good cause do not participate in the steps of the job search plan described at paragraph </w:t>
      </w:r>
      <w:r>
        <w:rPr>
          <w:rFonts w:ascii="Times New Roman" w:hAnsi="Times New Roman"/>
          <w:b w:val="false"/>
          <w:i w:val="false"/>
          <w:color w:val="000000"/>
          <w:sz w:val="22"/>
        </w:rPr>
        <w:t>93.6(2)</w:t>
      </w:r>
      <w:r>
        <w:rPr>
          <w:rFonts w:ascii="Times New Roman" w:hAnsi="Times New Roman"/>
          <w:b w:val="false"/>
          <w:i/>
          <w:color w:val="000000"/>
          <w:sz w:val="22"/>
        </w:rPr>
        <w:t>“a”</w:t>
      </w:r>
      <w:r>
        <w:rPr>
          <w:rFonts w:ascii="Times New Roman" w:hAnsi="Times New Roman"/>
          <w:b w:val="false"/>
          <w:i w:val="false"/>
          <w:color w:val="000000"/>
          <w:sz w:val="22"/>
        </w:rPr>
        <w:t xml:space="preserve">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53">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54">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93.6(3)</w:t>
      </w:r>
      <w:r>
        <w:rPr>
          <w:rFonts w:ascii="Times New Roman" w:hAnsi="Times New Roman"/>
          <w:b w:val="false"/>
          <w:i w:val="false"/>
          <w:color w:val="000000"/>
          <w:sz w:val="22"/>
        </w:rPr>
        <w:t> </w:t>
      </w:r>
      <w:r>
        <w:rPr>
          <w:rFonts w:ascii="Times New Roman" w:hAnsi="Times New Roman"/>
          <w:b w:val="false"/>
          <w:i/>
          <w:color w:val="000000"/>
          <w:sz w:val="22"/>
        </w:rPr>
        <w:t xml:space="preserve">Unplanned job opportunity. </w:t>
      </w:r>
      <w:r>
        <w:rPr>
          <w:rFonts w:ascii="Times New Roman" w:hAnsi="Times New Roman"/>
          <w:b w:val="false"/>
          <w:i w:val="false"/>
          <w:color w:val="000000"/>
          <w:sz w:val="22"/>
        </w:rPr>
        <w:t>PROMISE JOBS participants who have an unplanned opportunity to interview or apply for a job shall be encouraged to take advantage of the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Child care assistance and transportation payments needed to make an unplanned job contact shall be provided as described in rule </w:t>
      </w:r>
      <w:hyperlink r:id="rId55">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participant has a signed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job contact requires transportation to complete an application or to attend an interview,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provides documentation as described in paragraph </w:t>
      </w:r>
      <w:r>
        <w:rPr>
          <w:rFonts w:ascii="Times New Roman" w:hAnsi="Times New Roman"/>
          <w:b w:val="false"/>
          <w:i w:val="false"/>
          <w:color w:val="000000"/>
          <w:sz w:val="22"/>
        </w:rPr>
        <w:t>93.6(3)</w:t>
      </w:r>
      <w:r>
        <w:rPr>
          <w:rFonts w:ascii="Times New Roman" w:hAnsi="Times New Roman"/>
          <w:b w:val="false"/>
          <w:i/>
          <w:color w:val="000000"/>
          <w:sz w:val="22"/>
        </w:rPr>
        <w:t>“b.”</w:t>
      </w:r>
      <w:r>
        <w:rPr>
          <w:rFonts w:ascii="Times New Roman" w:hAnsi="Times New Roman"/>
          <w:b w:val="false"/>
          <w:i w:val="false"/>
          <w:color w:val="000000"/>
          <w:sz w:val="22"/>
        </w:rPr>
        <w:t xml:space="preserve"> Payment shall be issued after documentation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The participant shall provide documentation of the actual time spent making the specific job contact. Documentation shall be provided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LBP. </w:t>
      </w:r>
      <w:r>
        <w:rPr>
          <w:rFonts w:ascii="Times New Roman" w:hAnsi="Times New Roman"/>
          <w:b w:val="false"/>
          <w:i w:val="false"/>
          <w:color w:val="000000"/>
          <w:sz w:val="22"/>
        </w:rPr>
        <w:t>An LBP does not apply when a participant fails to complete a job contact that is not part of a structured or individual job search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93.6(4)</w:t>
      </w:r>
      <w:r>
        <w:rPr>
          <w:rFonts w:ascii="Times New Roman" w:hAnsi="Times New Roman"/>
          <w:b w:val="false"/>
          <w:i w:val="false"/>
          <w:color w:val="000000"/>
          <w:sz w:val="22"/>
        </w:rPr>
        <w:t> </w:t>
      </w:r>
      <w:r>
        <w:rPr>
          <w:rFonts w:ascii="Times New Roman" w:hAnsi="Times New Roman"/>
          <w:b w:val="false"/>
          <w:i/>
          <w:color w:val="000000"/>
          <w:sz w:val="22"/>
        </w:rPr>
        <w:t xml:space="preserve">Structured job search. </w:t>
      </w:r>
      <w:r>
        <w:rPr>
          <w:rFonts w:ascii="Times New Roman" w:hAnsi="Times New Roman"/>
          <w:b w:val="false"/>
          <w:i w:val="false"/>
          <w:color w:val="000000"/>
          <w:sz w:val="22"/>
        </w:rPr>
        <w:t>Structured job search is designed with scheduled activities and required hours of participation to reflect proven job search techniques and the employment environment of the PROMISE JOBS service area. A PROMISE JOBS worker is available to monitor the participant’s progress in the participant’s job search and to provide assistance and support. Structured job search provides up to 30 hours of scheduled activity. Hours of participation in structured job search shall be determined according to the participant’s individual circumstance and may be full-time or at a level that will reasonably allow the participant to successfully find full-time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Attendance. </w:t>
      </w:r>
      <w:r>
        <w:rPr>
          <w:rFonts w:ascii="Times New Roman" w:hAnsi="Times New Roman"/>
          <w:b w:val="false"/>
          <w:i w:val="false"/>
          <w:color w:val="000000"/>
          <w:sz w:val="22"/>
        </w:rPr>
        <w:t>Participants are scheduled to appear daily at the PROMISE JOBS site to access resources for job leads. Participants who miss any portion of scheduled structured job search may be required to either make up the missed portion of the session or to retake the entire week of training based on practical worker judgment and participant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Participants who obtain employment averaging 30 hours or more per week may discontinue structured job 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Participants who obtain employment averaging 20 hours or more per week, but less than 30 hours per week, may discontinue structured job search if part-time employment was the FIA goal or the scheduled job search hours conflict with the scheduled hours of employment. The participant may be required to participate in other FIA activities during the hours that do not conflict with employment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Participants who obtain employment averaging less than 20 hours per week shall continue structured job search unless the scheduled job search hours conflict with the scheduled hours of employment. The participant may be required to participate in other FIA activities during the hours that do not conflict with employment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Job search plan. </w:t>
      </w:r>
      <w:r>
        <w:rPr>
          <w:rFonts w:ascii="Times New Roman" w:hAnsi="Times New Roman"/>
          <w:b w:val="false"/>
          <w:i w:val="false"/>
          <w:color w:val="000000"/>
          <w:sz w:val="22"/>
        </w:rPr>
        <w:t>A written job search plan using a form prescribed by the department shall be developed with input from the PROMISE JOBS participant and the PROMISE JOBS worker. A copy shall be provided to the participant.  The plan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a designated period for job search and the specific methods for finding job openings.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number of hours to be committed for the designated period so as to provide the most effective use of transportation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the due date for providing documentation of job search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Contain information as specific as possible about areas of employment interests, employers to be contacted, and other pertinent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Child care assistance and transportation payments shall be provided as described in rule </w:t>
      </w:r>
      <w:hyperlink r:id="rId56">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needed to participate in structured job 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The PROMISE JOBS worker shall verify and document each participant’s monthly hours of actual participation in structured job search. Participant documentation shall be provided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in structured job search. </w:t>
      </w:r>
      <w:r>
        <w:rPr>
          <w:rFonts w:ascii="Times New Roman" w:hAnsi="Times New Roman"/>
          <w:b w:val="false"/>
          <w:i w:val="false"/>
          <w:color w:val="000000"/>
          <w:sz w:val="22"/>
        </w:rPr>
        <w:t xml:space="preserve">Participants who without good cause do not complete structured job search as identified in their FIA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57">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58">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93.6(5)</w:t>
      </w:r>
      <w:r>
        <w:rPr>
          <w:rFonts w:ascii="Times New Roman" w:hAnsi="Times New Roman"/>
          <w:b w:val="false"/>
          <w:i w:val="false"/>
          <w:color w:val="000000"/>
          <w:sz w:val="22"/>
        </w:rPr>
        <w:t> </w:t>
      </w:r>
      <w:r>
        <w:rPr>
          <w:rFonts w:ascii="Times New Roman" w:hAnsi="Times New Roman"/>
          <w:b w:val="false"/>
          <w:i/>
          <w:color w:val="000000"/>
          <w:sz w:val="22"/>
        </w:rPr>
        <w:t xml:space="preserve">Substance use disorder treatment, mental health treatment, and other rehabilitative activities. </w:t>
      </w:r>
      <w:r>
        <w:rPr>
          <w:rFonts w:ascii="Times New Roman" w:hAnsi="Times New Roman"/>
          <w:b w:val="false"/>
          <w:i w:val="false"/>
          <w:color w:val="000000"/>
          <w:sz w:val="22"/>
        </w:rPr>
        <w:t>Substance use disorder or mental health treatment or other rehabilitative activities are available when needed for a participant to be successful in participating in other FIA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Treatment determination. </w:t>
      </w:r>
      <w:r>
        <w:rPr>
          <w:rFonts w:ascii="Times New Roman" w:hAnsi="Times New Roman"/>
          <w:b w:val="false"/>
          <w:i w:val="false"/>
          <w:color w:val="000000"/>
          <w:sz w:val="22"/>
        </w:rPr>
        <w:t>The need for treatment or rehabilitative activities must be determined by a qualified medical professional, substance use disorder professional, or mental health professional. The qualified professional must document that treatment or rehabilitative activities are needed for the participant to obtain or retain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Child care assistance and transportation payments shall be provided as described in rule </w:t>
      </w:r>
      <w:hyperlink r:id="rId59">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needed to participate in substance use disorder treatment, mental health treatment, or other rehabilitative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The service provider shall verify actual hours of participation in treatment. Documentation of participation shall be provided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in treatment or other rehabilitative activities. </w:t>
      </w:r>
      <w:r>
        <w:rPr>
          <w:rFonts w:ascii="Times New Roman" w:hAnsi="Times New Roman"/>
          <w:b w:val="false"/>
          <w:i w:val="false"/>
          <w:color w:val="000000"/>
          <w:sz w:val="22"/>
        </w:rPr>
        <w:t xml:space="preserve">Participants who without good cause do not participate in substance use disorder treatment, mental health treatment, or other rehabilitative activities as specified in their FIA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60">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61">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441—93.7</w:t>
      </w:r>
      <w:r>
        <w:rPr>
          <w:rFonts w:ascii="Times New Roman" w:hAnsi="Times New Roman"/>
          <w:b/>
          <w:i w:val="false"/>
          <w:color w:val="000000"/>
          <w:sz w:val="22"/>
        </w:rPr>
        <w:t xml:space="preserve">(239B) </w:t>
      </w:r>
      <w:r>
        <w:rPr>
          <w:rFonts w:ascii="Times New Roman" w:hAnsi="Times New Roman"/>
          <w:b/>
          <w:i w:val="false"/>
          <w:color w:val="000000"/>
          <w:sz w:val="22"/>
        </w:rPr>
        <w:t xml:space="preserve">Work activities. </w:t>
      </w:r>
      <w:r>
        <w:rPr>
          <w:rFonts w:ascii="Times New Roman" w:hAnsi="Times New Roman"/>
          <w:b w:val="false"/>
          <w:i w:val="false"/>
          <w:color w:val="000000"/>
          <w:sz w:val="22"/>
        </w:rPr>
        <w:t>Work activities include full-time employment, part-time employment, self-employment, on-the-job training, work experience placement, and unpaid community service. The participant and the PROMISE JOBS worker shall incorporate into the FIA employment activities that are appropriate for the work history, skill level, and life circumstances of the participant. If the FIA activity is so hazardous that safety glasses, hard hats, or other safety equipment is needed, participation shall not be arranged or approved unless these safety precautions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93.7(1)</w:t>
      </w:r>
      <w:r>
        <w:rPr>
          <w:rFonts w:ascii="Times New Roman" w:hAnsi="Times New Roman"/>
          <w:b w:val="false"/>
          <w:i w:val="false"/>
          <w:color w:val="000000"/>
          <w:sz w:val="22"/>
        </w:rPr>
        <w:t> </w:t>
      </w:r>
      <w:r>
        <w:rPr>
          <w:rFonts w:ascii="Times New Roman" w:hAnsi="Times New Roman"/>
          <w:b w:val="false"/>
          <w:i/>
          <w:color w:val="000000"/>
          <w:sz w:val="22"/>
        </w:rPr>
        <w:t xml:space="preserve">Full-time or part-time employment. </w:t>
      </w:r>
      <w:r>
        <w:rPr>
          <w:rFonts w:ascii="Times New Roman" w:hAnsi="Times New Roman"/>
          <w:b w:val="false"/>
          <w:i w:val="false"/>
          <w:color w:val="000000"/>
          <w:sz w:val="22"/>
        </w:rPr>
        <w:t xml:space="preserve">FIAs may include full-time employment or part-time employment. Employment that does not lead to economic self-sufficiency may be included in the FIA only if the employment situation leads to better employment opportunities through building work skills and work history. More information about additional policies applicable to self-employment is contained in subrule </w:t>
      </w:r>
      <w:r>
        <w:rPr>
          <w:rFonts w:ascii="Times New Roman" w:hAnsi="Times New Roman"/>
          <w:b w:val="false"/>
          <w:i w:val="false"/>
          <w:color w:val="000000"/>
          <w:sz w:val="22"/>
        </w:rPr>
        <w:t>93.7(2)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Full-time employment. </w:t>
      </w:r>
      <w:r>
        <w:rPr>
          <w:rFonts w:ascii="Times New Roman" w:hAnsi="Times New Roman"/>
          <w:b w:val="false"/>
          <w:i w:val="false"/>
          <w:color w:val="000000"/>
          <w:sz w:val="22"/>
        </w:rPr>
        <w:t>The goal for all participants is to participate in full-time employment. “Full-time employment” is defined as being employed an average of 30 or more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who have not achieved self-sufficiency through full-time employment before the end date of the FIA may have the FIA extended.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choose not to enter into the renegotiation process to extend the FIA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62">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63">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Part-time employment. </w:t>
      </w:r>
      <w:r>
        <w:rPr>
          <w:rFonts w:ascii="Times New Roman" w:hAnsi="Times New Roman"/>
          <w:b w:val="false"/>
          <w:i w:val="false"/>
          <w:color w:val="000000"/>
          <w:sz w:val="22"/>
        </w:rPr>
        <w:t xml:space="preserve">Part-time employment is defined as being employed an average of less than 30 hours per week. An FIA that includes part-time employment shall also include participation in other PROMISE JOBS activities, including additional part-time employment, unless barriers to participation exist as defined in rule </w:t>
      </w:r>
      <w:hyperlink r:id="rId64">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and subrule </w:t>
      </w:r>
      <w:r>
        <w:rPr>
          <w:rFonts w:ascii="Times New Roman" w:hAnsi="Times New Roman"/>
          <w:b w:val="false"/>
          <w:i w:val="false"/>
          <w:color w:val="000000"/>
          <w:sz w:val="22"/>
        </w:rPr>
        <w:t>93.4(5)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Transportation expenses are not paid through PROMISE JOBS but are covered by FIP earned income deductions. Child care assistance shall be provided as described in rule </w:t>
      </w:r>
      <w:hyperlink r:id="rId65">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needed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employment hours. </w:t>
      </w:r>
      <w:r>
        <w:rPr>
          <w:rFonts w:ascii="Times New Roman" w:hAnsi="Times New Roman"/>
          <w:b w:val="false"/>
          <w:i w:val="false"/>
          <w:color w:val="000000"/>
          <w:sz w:val="22"/>
        </w:rPr>
        <w:t xml:space="preserve">Participants must provide verification of employment hours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provide verification. </w:t>
      </w:r>
      <w:r>
        <w:rPr>
          <w:rFonts w:ascii="Times New Roman" w:hAnsi="Times New Roman"/>
          <w:b w:val="false"/>
          <w:i w:val="false"/>
          <w:color w:val="000000"/>
          <w:sz w:val="22"/>
        </w:rPr>
        <w:t>Failure to provide verification of work hours after receiving a written reminder letter will result in an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employment. </w:t>
      </w:r>
      <w:r>
        <w:rPr>
          <w:rFonts w:ascii="Times New Roman" w:hAnsi="Times New Roman"/>
          <w:b w:val="false"/>
          <w:i w:val="false"/>
          <w:color w:val="000000"/>
          <w:sz w:val="22"/>
        </w:rPr>
        <w:t xml:space="preserve">A participant who without good cause does not maintain employment as identified in the FIA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66">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67">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93.7(2)</w:t>
      </w:r>
      <w:r>
        <w:rPr>
          <w:rFonts w:ascii="Times New Roman" w:hAnsi="Times New Roman"/>
          <w:b w:val="false"/>
          <w:i w:val="false"/>
          <w:color w:val="000000"/>
          <w:sz w:val="22"/>
        </w:rPr>
        <w:t> </w:t>
      </w:r>
      <w:r>
        <w:rPr>
          <w:rFonts w:ascii="Times New Roman" w:hAnsi="Times New Roman"/>
          <w:b w:val="false"/>
          <w:i/>
          <w:color w:val="000000"/>
          <w:sz w:val="22"/>
        </w:rPr>
        <w:t xml:space="preserve">Self-employment.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Calculation of hours. </w:t>
      </w:r>
      <w:r>
        <w:rPr>
          <w:rFonts w:ascii="Times New Roman" w:hAnsi="Times New Roman"/>
          <w:b w:val="false"/>
          <w:i w:val="false"/>
          <w:color w:val="000000"/>
          <w:sz w:val="22"/>
        </w:rPr>
        <w:t>Hours of participation for persons who are self-employed shall be calculated using actual gross income less business expenses divided by the federal minimum wage. PROMISE JOBS shall use the same income as used for FIP eligibility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Participants with self-employment income that equates to 30 or more hours per week are considered to be working full-time.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Participants with self-employment income that equates to less than 30 hours per week are considered to be working part-time.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of participation. </w:t>
      </w:r>
      <w:r>
        <w:rPr>
          <w:rFonts w:ascii="Times New Roman" w:hAnsi="Times New Roman"/>
          <w:b w:val="false"/>
          <w:i w:val="false"/>
          <w:color w:val="000000"/>
          <w:sz w:val="22"/>
        </w:rPr>
        <w:t>The PROMISE JOBS worker shall review calculated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income changes,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once every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Progress toward self-sufficiency. </w:t>
      </w:r>
      <w:r>
        <w:rPr>
          <w:rFonts w:ascii="Times New Roman" w:hAnsi="Times New Roman"/>
          <w:b w:val="false"/>
          <w:i w:val="false"/>
          <w:color w:val="000000"/>
          <w:sz w:val="22"/>
        </w:rPr>
        <w:t>At the participant’s FIA review, the participant’s progress is determined by noting incremental increases in income and calculated work hours. In order to maintain self-employment as the only FIA activity, participants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Reach full-time employment as defined in subparagraph </w:t>
      </w:r>
      <w:r>
        <w:rPr>
          <w:rFonts w:ascii="Times New Roman" w:hAnsi="Times New Roman"/>
          <w:b w:val="false"/>
          <w:i w:val="false"/>
          <w:color w:val="000000"/>
          <w:sz w:val="22"/>
        </w:rPr>
        <w:t>93.7(2)</w:t>
      </w:r>
      <w:r>
        <w:rPr>
          <w:rFonts w:ascii="Times New Roman" w:hAnsi="Times New Roman"/>
          <w:b w:val="false"/>
          <w:i/>
          <w:color w:val="000000"/>
          <w:sz w:val="22"/>
        </w:rPr>
        <w:t>“a”</w:t>
      </w:r>
      <w:r>
        <w:rPr>
          <w:rFonts w:ascii="Times New Roman" w:hAnsi="Times New Roman"/>
          <w:b w:val="false"/>
          <w:i w:val="false"/>
          <w:color w:val="000000"/>
          <w:sz w:val="22"/>
        </w:rPr>
        <w:t>(1),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Show progress toward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Requiring other FIA activities. </w:t>
      </w:r>
      <w:r>
        <w:rPr>
          <w:rFonts w:ascii="Times New Roman" w:hAnsi="Times New Roman"/>
          <w:b w:val="false"/>
          <w:i w:val="false"/>
          <w:color w:val="000000"/>
          <w:sz w:val="22"/>
        </w:rPr>
        <w:t xml:space="preserve">When a participant has been self-employed for more than 12 months and has not shown progress toward self-sufficiency, the FIA shall include the part-time self-employment in combination with participation in other PROMISE JOBS activities unless barriers to participation exist as defined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 </w:t>
      </w:r>
      <w:hyperlink r:id="rId68">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other activities could include additional part-time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determination that a participant has not shown progress toward self-sufficiency is made after the initial FIA is developed, the FIA shall be renegotiated to include the other PROMISE JOBS activities. Participants who choose not to enter into the FIA renegotiation process shall enter into an LBP as described in </w:t>
      </w:r>
      <w:hyperlink r:id="rId69">
        <w:r>
          <w:rPr>
            <w:rStyle w:val="Hyperlink"/>
            <w:rFonts w:ascii="Times New Roman" w:hAnsi="Times New Roman"/>
            <w:b w:val="false"/>
            <w:i w:val="false"/>
            <w:color w:val="000000"/>
            <w:sz w:val="22"/>
          </w:rPr>
          <w:t>441—subrule 41.24(8)</w:t>
        </w:r>
      </w:hyperlink>
      <w:r>
        <w:rPr>
          <w:rFonts w:ascii="Times New Roman" w:hAnsi="Times New Roman"/>
          <w:b w:val="false"/>
          <w:i w:val="false"/>
          <w:color w:val="000000"/>
          <w:sz w:val="22"/>
        </w:rPr>
        <w:t xml:space="preserve">. Procedures in subrule </w:t>
      </w:r>
      <w:hyperlink r:id="rId70">
        <w:r>
          <w:rPr>
            <w:rStyle w:val="Hyperlink"/>
            <w:rFonts w:ascii="Times New Roman" w:hAnsi="Times New Roman"/>
            <w:b w:val="false"/>
            <w:i w:val="false"/>
            <w:color w:val="000000"/>
            <w:sz w:val="22"/>
          </w:rPr>
          <w:t>93.4(5)</w:t>
        </w:r>
      </w:hyperlink>
      <w:r>
        <w:rPr>
          <w:rFonts w:ascii="Times New Roman" w:hAnsi="Times New Roman"/>
          <w:b w:val="false"/>
          <w:i w:val="false"/>
          <w:color w:val="000000"/>
          <w:sz w:val="22"/>
        </w:rPr>
        <w:t xml:space="preserve"> and rules </w:t>
      </w:r>
      <w:hyperlink r:id="rId71">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72">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allowed. </w:t>
      </w:r>
      <w:r>
        <w:rPr>
          <w:rFonts w:ascii="Times New Roman" w:hAnsi="Times New Roman"/>
          <w:b w:val="false"/>
          <w:i w:val="false"/>
          <w:color w:val="000000"/>
          <w:sz w:val="22"/>
        </w:rPr>
        <w:t xml:space="preserve">Transportation expenses are not paid through PROMISE JOBS but are covered by FIP earned income deductions. Child care assistance shall be provided as described in subrule </w:t>
      </w:r>
      <w:r>
        <w:rPr>
          <w:rFonts w:ascii="Times New Roman" w:hAnsi="Times New Roman"/>
          <w:b w:val="false"/>
          <w:i w:val="false"/>
          <w:color w:val="000000"/>
          <w:sz w:val="22"/>
        </w:rPr>
        <w:t>93.11(2)</w:t>
      </w:r>
      <w:r>
        <w:rPr>
          <w:rFonts w:ascii="Times New Roman" w:hAnsi="Times New Roman"/>
          <w:b w:val="false"/>
          <w:i w:val="false"/>
          <w:color w:val="000000"/>
          <w:sz w:val="22"/>
        </w:rPr>
        <w:t xml:space="preserve"> when needed for participation in self-employment.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not allowed. </w:t>
      </w:r>
      <w:r>
        <w:rPr>
          <w:rFonts w:ascii="Times New Roman" w:hAnsi="Times New Roman"/>
          <w:b w:val="false"/>
          <w:i w:val="false"/>
          <w:color w:val="000000"/>
          <w:sz w:val="22"/>
        </w:rPr>
        <w:t>Funds may not be used to purchase supplies to enable a participant to begin a private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Hours of participation in self-employment shall be calculated as specified in paragraph </w:t>
      </w:r>
      <w:r>
        <w:rPr>
          <w:rFonts w:ascii="Times New Roman" w:hAnsi="Times New Roman"/>
          <w:b w:val="false"/>
          <w:i w:val="false"/>
          <w:color w:val="000000"/>
          <w:sz w:val="22"/>
        </w:rPr>
        <w:t>93.7(2)</w:t>
      </w:r>
      <w:r>
        <w:rPr>
          <w:rFonts w:ascii="Times New Roman" w:hAnsi="Times New Roman"/>
          <w:b w:val="false"/>
          <w:i/>
          <w:color w:val="000000"/>
          <w:sz w:val="22"/>
        </w:rPr>
        <w:t>“a”</w:t>
      </w:r>
      <w:r>
        <w:rPr>
          <w:rFonts w:ascii="Times New Roman" w:hAnsi="Times New Roman"/>
          <w:b w:val="false"/>
          <w:i w:val="false"/>
          <w:color w:val="000000"/>
          <w:sz w:val="22"/>
        </w:rPr>
        <w:t xml:space="preserve"> and documented in the case file. Participant documentation shall be provided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employment. </w:t>
      </w:r>
      <w:r>
        <w:rPr>
          <w:rFonts w:ascii="Times New Roman" w:hAnsi="Times New Roman"/>
          <w:b w:val="false"/>
          <w:i w:val="false"/>
          <w:color w:val="000000"/>
          <w:sz w:val="22"/>
        </w:rPr>
        <w:t xml:space="preserve">Participants who without good cause do not maintain employment as identified in their FIA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73">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74">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93.7(3)</w:t>
      </w:r>
      <w:r>
        <w:rPr>
          <w:rFonts w:ascii="Times New Roman" w:hAnsi="Times New Roman"/>
          <w:b w:val="false"/>
          <w:i w:val="false"/>
          <w:color w:val="000000"/>
          <w:sz w:val="22"/>
        </w:rPr>
        <w:t> </w:t>
      </w:r>
      <w:r>
        <w:rPr>
          <w:rFonts w:ascii="Times New Roman" w:hAnsi="Times New Roman"/>
          <w:b w:val="false"/>
          <w:i/>
          <w:color w:val="000000"/>
          <w:sz w:val="22"/>
        </w:rPr>
        <w:t xml:space="preserve">On-the-job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“On-the-job training” is defined as training in the public or private sector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given to a paid employee while the employee is engaged in productive work,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knowledge and skills essential to the full and adequate performance of the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w:t>
      </w:r>
      <w:r>
        <w:rPr>
          <w:rFonts w:ascii="Times New Roman" w:hAnsi="Times New Roman"/>
          <w:b w:val="false"/>
          <w:i w:val="false"/>
          <w:color w:val="000000"/>
          <w:sz w:val="22"/>
        </w:rPr>
        <w:t xml:space="preserve">Transportation for on-the-job training is treated in the same manner as transportation for employment. Expenses are not paid through PROMISE JOBS but are covered by FIP earned income deductions. Child care assistance shall be provided as described in subrule </w:t>
      </w:r>
      <w:r>
        <w:rPr>
          <w:rFonts w:ascii="Times New Roman" w:hAnsi="Times New Roman"/>
          <w:b w:val="false"/>
          <w:i w:val="false"/>
          <w:color w:val="000000"/>
          <w:sz w:val="22"/>
        </w:rPr>
        <w:t>93.11(2)</w:t>
      </w:r>
      <w:r>
        <w:rPr>
          <w:rFonts w:ascii="Times New Roman" w:hAnsi="Times New Roman"/>
          <w:b w:val="false"/>
          <w:i w:val="false"/>
          <w:color w:val="000000"/>
          <w:sz w:val="22"/>
        </w:rPr>
        <w:t xml:space="preserve"> when needed for participation in on-the-job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Documentation of participation shall be provided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in on-the-job training. </w:t>
      </w:r>
      <w:r>
        <w:rPr>
          <w:rFonts w:ascii="Times New Roman" w:hAnsi="Times New Roman"/>
          <w:b w:val="false"/>
          <w:i w:val="false"/>
          <w:color w:val="000000"/>
          <w:sz w:val="22"/>
        </w:rPr>
        <w:t xml:space="preserve">Participants who without good cause do not participate in on-the-job training as identified in their FIA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75">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76">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93.7(4)</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program. </w:t>
      </w:r>
      <w:r>
        <w:rPr>
          <w:rFonts w:ascii="Times New Roman" w:hAnsi="Times New Roman"/>
          <w:b w:val="false"/>
          <w:i w:val="false"/>
          <w:color w:val="000000"/>
          <w:sz w:val="22"/>
        </w:rPr>
        <w:t>Work experience sites shall provide participants with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Sponsors. </w:t>
      </w:r>
      <w:r>
        <w:rPr>
          <w:rFonts w:ascii="Times New Roman" w:hAnsi="Times New Roman"/>
          <w:b w:val="false"/>
          <w:i w:val="false"/>
          <w:color w:val="000000"/>
          <w:sz w:val="22"/>
        </w:rPr>
        <w:t>Employers who participate in the work experience program are referred to as sponsors. Work experience sponsors may be public sector, private sector, community-based, faith-based, or nonprofit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Participants may be placed at work sites with religious institutions only when the work performed is nonsectarian and not in support of sectarian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Participants may not be used to replace regular employees in the performance of nonsectarian work for the purpose of enabling regular employees to engage in sectarian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work experience program sponsor shall provide to the PROMISE JOBS service provider a copy of the sponsor’s safety rules before participants are referred for work-site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Positions. </w:t>
      </w:r>
      <w:r>
        <w:rPr>
          <w:rFonts w:ascii="Times New Roman" w:hAnsi="Times New Roman"/>
          <w:b w:val="false"/>
          <w:i w:val="false"/>
          <w:color w:val="000000"/>
          <w:sz w:val="22"/>
        </w:rPr>
        <w:t>To request a work experience placement, the sponsor shall complete a form prescribed by the department for each type of position the sponsor wishes to fill. The request shall include a complete job description that specifies all tasks to be performed by the participant. PROMISE JOBS has final authority to determine suitability of any work experience position offered by a sponsor. Work experience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Must contain the same job description and performance requirements that would exist if the sponsor were hiring an employee for the same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not be related to political, electoral, or partisan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Shall not be developed in response to or in any way be associated with the existence of a strike, lockout, or other bona fide labor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Shall not violate any existing labor agreement between employees and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Shall comply with applicable state and federal health and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Shall not be used by sponsors to displace current employees or to infringe on the promotional opportunities of current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Shall not be used in place of hiring staff for established vacant positions;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Shall not result in placement of a participant in a position when any other person is on layoff from the same or an equivalent position in the same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Participant selection. </w:t>
      </w:r>
      <w:r>
        <w:rPr>
          <w:rFonts w:ascii="Times New Roman" w:hAnsi="Times New Roman"/>
          <w:b w:val="false"/>
          <w:i w:val="false"/>
          <w:color w:val="000000"/>
          <w:sz w:val="22"/>
        </w:rPr>
        <w:t>A participant’s vocational skills and interests shall be matched as closely as possible with the job description and skills required by the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Participant responsibility. Participants shall interview for and accept positions offered by work experience sponsors. Participants shall present a form prescribed by the department to the sponsor at the interview. The form shall be completed by the sponsor and returned to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Sponsor responsibility. Although sponsors are expected to accept work experience referrals made by PROMISE JOBS, sponsors may refuse any referrals they deem inappropriate for the available position. Sponsors shall not discriminate against any program participant because of race, color, religion, sex, age, creed, physical or mental disability, political affiliation, or national origin. Sponsors who refuse a referral must notify PROMISE JOBS in writing of the reason for the refusal.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Hours of participation. </w:t>
      </w:r>
      <w:r>
        <w:rPr>
          <w:rFonts w:ascii="Times New Roman" w:hAnsi="Times New Roman"/>
          <w:b w:val="false"/>
          <w:i w:val="false"/>
          <w:color w:val="000000"/>
          <w:sz w:val="22"/>
        </w:rPr>
        <w:t>When a participant is involved in work experience that is subject to the Fair Labor Standards Act (FLSA) as amended to August 1, 2024, the participant cannot be required to work more hours than the amount of the monthly FIP grant divided by federal or state minimum wage, whichever is higher. Exception: To determine the maximum hours that can be required of a single-parent family on FIP with a child under the age of six, add the value of the family’s Supplemental Nutrition Assistance Program (SNAP) benefits to the FIP grant amount before dividing by the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participant cannot be required to work more hours than those calculated under paragraph </w:t>
      </w:r>
      <w:r>
        <w:rPr>
          <w:rFonts w:ascii="Times New Roman" w:hAnsi="Times New Roman"/>
          <w:b w:val="false"/>
          <w:i w:val="false"/>
          <w:color w:val="000000"/>
          <w:sz w:val="22"/>
        </w:rPr>
        <w:t>93.7(4)</w:t>
      </w:r>
      <w:r>
        <w:rPr>
          <w:rFonts w:ascii="Times New Roman" w:hAnsi="Times New Roman"/>
          <w:b w:val="false"/>
          <w:i/>
          <w:color w:val="000000"/>
          <w:sz w:val="22"/>
        </w:rPr>
        <w:t>“d.”</w:t>
      </w:r>
      <w:r>
        <w:rPr>
          <w:rFonts w:ascii="Times New Roman" w:hAnsi="Times New Roman"/>
          <w:b w:val="false"/>
          <w:i w:val="false"/>
          <w:color w:val="000000"/>
          <w:sz w:val="22"/>
        </w:rPr>
        <w:t xml:space="preserve"> Only hours up to or less than that calculation can be included in the participant’s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two or more members of the same household participate in work experience, the total required hours of participation of the household cannot exceed the hours calculated according to paragraph </w:t>
      </w:r>
      <w:r>
        <w:rPr>
          <w:rFonts w:ascii="Times New Roman" w:hAnsi="Times New Roman"/>
          <w:b w:val="false"/>
          <w:i w:val="false"/>
          <w:color w:val="000000"/>
          <w:sz w:val="22"/>
        </w:rPr>
        <w:t>93.7(4)</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work experience assignment shall not exceed six months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Participant performance evaluations.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Monthly evaluations. Sponsors shall complete a monthly evaluation of the participant’s performance using a form prescribed by the department and provide a copy to PROMISE JOBS and to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Final evaluations. Sponsors shall complete a form prescribed by the department at the time of termination for each work experience participant. When termination occurs at the sponsor’s request, the sponsor shall specify the reason for termination and identify those areas of unsatisfactory performance. For participants who leave to accept regular employment or reach their work experience placement time limit, the sponsor’s evaluation shall indicate whether or not a positive job reference would be provided if the participant requested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for work experience placements.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care and transportation. Child care assistance and transportation payments shall be provided as described in rule </w:t>
      </w:r>
      <w:hyperlink r:id="rId77">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needed for participation in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Required clothing and equipment. The sponsor will provide a documented list of clothing and equipment required by the work experience site. A participant may receive a one-time supportive expense payment per work-site assignment for clothing or equipment that is documented by the sponsor and that cannot be obtained from the sponsor or other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Workers’ compensation. The department will provide workers’ compensation coverage for all PROMISE JOBS work experience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Documentation of participation shall be provided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Completion of work experience. </w:t>
      </w:r>
      <w:r>
        <w:rPr>
          <w:rFonts w:ascii="Times New Roman" w:hAnsi="Times New Roman"/>
          <w:b w:val="false"/>
          <w:i w:val="false"/>
          <w:color w:val="000000"/>
          <w:sz w:val="22"/>
        </w:rPr>
        <w:t>Persons who complete a work experience assignment may move to another activity as provided under the FIA, be assigned to a different work site, or be reassigned to the same work site, whichever is appropriate under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in work experience. </w:t>
      </w:r>
      <w:r>
        <w:rPr>
          <w:rFonts w:ascii="Times New Roman" w:hAnsi="Times New Roman"/>
          <w:b w:val="false"/>
          <w:i w:val="false"/>
          <w:color w:val="000000"/>
          <w:sz w:val="22"/>
        </w:rPr>
        <w:t xml:space="preserve">A participant who without good cause does not participate in work experience as identified in the FIA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78">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79">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93.7(5)</w:t>
      </w:r>
      <w:r>
        <w:rPr>
          <w:rFonts w:ascii="Times New Roman" w:hAnsi="Times New Roman"/>
          <w:b w:val="false"/>
          <w:i w:val="false"/>
          <w:color w:val="000000"/>
          <w:sz w:val="22"/>
        </w:rPr>
        <w:t> </w:t>
      </w:r>
      <w:r>
        <w:rPr>
          <w:rFonts w:ascii="Times New Roman" w:hAnsi="Times New Roman"/>
          <w:b w:val="false"/>
          <w:i/>
          <w:color w:val="000000"/>
          <w:sz w:val="22"/>
        </w:rPr>
        <w:t xml:space="preserve">Unpaid community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Work sites. </w:t>
      </w:r>
      <w:r>
        <w:rPr>
          <w:rFonts w:ascii="Times New Roman" w:hAnsi="Times New Roman"/>
          <w:b w:val="false"/>
          <w:i w:val="false"/>
          <w:color w:val="000000"/>
          <w:sz w:val="22"/>
        </w:rPr>
        <w:t>Unpaid community service work sites shall be public or private nonprofit organizations. The PROMISE JOBS provider agencies shall provide community service work sites a written explanation of the following placement criteria.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Shall comply with applicable state and federal health and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not be related to political, electoral or partisan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Shall not be developed in response to or in any way associated with the existence of a strike, lockout, or other bona fide labor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Shall not violate any existing labor agreement between employees and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Shall not be used to displace current employees or to infringe on their promotional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Shall not be used in place of hiring staff for established vacant positions;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Shall not result in placement of a participant in a position when any other person is on layoff from the same or an equivalent position in the same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Locating the work site. </w:t>
      </w:r>
      <w:r>
        <w:rPr>
          <w:rFonts w:ascii="Times New Roman" w:hAnsi="Times New Roman"/>
          <w:b w:val="false"/>
          <w:i w:val="false"/>
          <w:color w:val="000000"/>
          <w:sz w:val="22"/>
        </w:rPr>
        <w:t>When a participant and the PROMISE JOBS worker agree that an unpaid community service placement is appropriate, PROMISE JOBS shall assist the participant in identifying potential work sites. The participant is responsible for locating and making arrangements with the work site. Formal interviews are not required to establish the relationship between the participant and the work-site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Length of assignment and weekly hours. </w:t>
      </w:r>
      <w:r>
        <w:rPr>
          <w:rFonts w:ascii="Times New Roman" w:hAnsi="Times New Roman"/>
          <w:b w:val="false"/>
          <w:i w:val="false"/>
          <w:color w:val="000000"/>
          <w:sz w:val="22"/>
        </w:rPr>
        <w:t>The length of the work-site assignment and the weekly hours of participation shall be determined through agreement among the work-site organization, the participant, and the PROMISE JOBS worker. When a participant is involved in community service that is subject to the FLSA as amended to August 1, 2024, the participant cannot be required to work more hours than the amount of the participant’s monthly FIP grant divided by federal or state minimum wage, whichever is higher. Only hours up to or less than the maximum calculated may be included in the participant’s FIA. Exceptions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participant who is a single parent with a child under the age of six, the maximum hours that can be required are determined by adding the value of the participant’s SNAP to the FIP grant amount before dividing by the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Participants who are court-ordered to do community service shall work the number of hours required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w:t>
      </w:r>
      <w:r>
        <w:rPr>
          <w:rFonts w:ascii="Times New Roman" w:hAnsi="Times New Roman"/>
          <w:b w:val="false"/>
          <w:i w:val="false"/>
          <w:color w:val="000000"/>
          <w:sz w:val="22"/>
        </w:rPr>
        <w:t xml:space="preserve">Child care assistance and a transportation payment for each month of participation or part thereof shall be paid as described in rule </w:t>
      </w:r>
      <w:hyperlink r:id="rId80">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needed for participation in unpaid community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Documenting participation. </w:t>
      </w:r>
      <w:r>
        <w:rPr>
          <w:rFonts w:ascii="Times New Roman" w:hAnsi="Times New Roman"/>
          <w:b w:val="false"/>
          <w:i w:val="false"/>
          <w:color w:val="000000"/>
          <w:sz w:val="22"/>
        </w:rPr>
        <w:t xml:space="preserve">Documentation of participation shall be provided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complete unpaid community service. </w:t>
      </w:r>
      <w:r>
        <w:rPr>
          <w:rFonts w:ascii="Times New Roman" w:hAnsi="Times New Roman"/>
          <w:b w:val="false"/>
          <w:i w:val="false"/>
          <w:color w:val="000000"/>
          <w:sz w:val="22"/>
        </w:rPr>
        <w:t xml:space="preserve">Participants who without good cause do not participate in unpaid community service as specified in their FIA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81">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82">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441—93.8</w:t>
      </w:r>
      <w:r>
        <w:rPr>
          <w:rFonts w:ascii="Times New Roman" w:hAnsi="Times New Roman"/>
          <w:b/>
          <w:i w:val="false"/>
          <w:color w:val="000000"/>
          <w:sz w:val="22"/>
        </w:rPr>
        <w:t xml:space="preserve">(239B) </w:t>
      </w:r>
      <w:r>
        <w:rPr>
          <w:rFonts w:ascii="Times New Roman" w:hAnsi="Times New Roman"/>
          <w:b/>
          <w:i w:val="false"/>
          <w:color w:val="000000"/>
          <w:sz w:val="22"/>
        </w:rPr>
        <w:t xml:space="preserve">Education and training activities. </w:t>
      </w:r>
      <w:r>
        <w:rPr>
          <w:rFonts w:ascii="Times New Roman" w:hAnsi="Times New Roman"/>
          <w:b w:val="false"/>
          <w:i w:val="false"/>
          <w:color w:val="000000"/>
          <w:sz w:val="22"/>
        </w:rPr>
        <w:t>Education refers to any academic or vocational course of study that enables a participant to complete high school, improves a participant’s ability to read and speak English, or prepares a participant for a specific professional or vocational area of employment. Though employment leading to economic self-sufficiency is the eventual goal of all FIAs, it is recognized that education increases a person’s chance of finding employment, particularly employment that leads to economic self-sufficiency. Any participant who requests participation in educational activities shall be evaluated to determine the likelihood of success. If the request is approved, a training plan shall be developed and included in the participant’s FIA.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93.8(1)</w:t>
      </w:r>
      <w:r>
        <w:rPr>
          <w:rFonts w:ascii="Times New Roman" w:hAnsi="Times New Roman"/>
          <w:b w:val="false"/>
          <w:i w:val="false"/>
          <w:color w:val="000000"/>
          <w:sz w:val="22"/>
        </w:rPr>
        <w:t> </w:t>
      </w:r>
      <w:r>
        <w:rPr>
          <w:rFonts w:ascii="Times New Roman" w:hAnsi="Times New Roman"/>
          <w:b w:val="false"/>
          <w:i/>
          <w:color w:val="000000"/>
          <w:sz w:val="22"/>
        </w:rPr>
        <w:t xml:space="preserve">Participant requirements. </w:t>
      </w:r>
      <w:r>
        <w:rPr>
          <w:rFonts w:ascii="Times New Roman" w:hAnsi="Times New Roman"/>
          <w:b w:val="false"/>
          <w:i w:val="false"/>
          <w:color w:val="000000"/>
          <w:sz w:val="22"/>
        </w:rPr>
        <w:t xml:space="preserve">The decision to include education in an FIA shall take into account the results of the educational evaluation pursuant to paragraph </w:t>
      </w:r>
      <w:r>
        <w:rPr>
          <w:rFonts w:ascii="Times New Roman" w:hAnsi="Times New Roman"/>
          <w:b w:val="false"/>
          <w:i w:val="false"/>
          <w:color w:val="000000"/>
          <w:sz w:val="22"/>
        </w:rPr>
        <w:t>93.8(1)</w:t>
      </w:r>
      <w:r>
        <w:rPr>
          <w:rFonts w:ascii="Times New Roman" w:hAnsi="Times New Roman"/>
          <w:b w:val="false"/>
          <w:i/>
          <w:color w:val="000000"/>
          <w:sz w:val="22"/>
        </w:rPr>
        <w:t>“b”</w:t>
      </w:r>
      <w:r>
        <w:rPr>
          <w:rFonts w:ascii="Times New Roman" w:hAnsi="Times New Roman"/>
          <w:b w:val="false"/>
          <w:i w:val="false"/>
          <w:color w:val="000000"/>
          <w:sz w:val="22"/>
        </w:rPr>
        <w:t xml:space="preserve"> and the current educational level of the participant. Prior academic or vocational training is not, in itself, a reason for denial or approval of educational services. All family members who are approved for education shall be eligible for all program benefits, even when two or more family members are simultaneously participating and even if participation is at the same educational facility and in the same program. For education to be approved for inclusion in an FIA, the following requirements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Vocational goal. </w:t>
      </w:r>
      <w:r>
        <w:rPr>
          <w:rFonts w:ascii="Times New Roman" w:hAnsi="Times New Roman"/>
          <w:b w:val="false"/>
          <w:i w:val="false"/>
          <w:color w:val="000000"/>
          <w:sz w:val="22"/>
        </w:rPr>
        <w:t>For a participant enrolled in postsecondary education, the education must lead to a specific vocational goal. A degree in general studies or programs not leading to specific occupational outcomes cannot be included in a participant’s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r>
        <w:rPr>
          <w:rFonts w:ascii="Times New Roman" w:hAnsi="Times New Roman"/>
          <w:b w:val="false"/>
          <w:i w:val="false"/>
          <w:color w:val="000000"/>
          <w:sz w:val="22"/>
        </w:rPr>
        <w:t>93.8(1)</w:t>
      </w:r>
      <w:r>
        <w:rPr>
          <w:rFonts w:ascii="Times New Roman" w:hAnsi="Times New Roman"/>
          <w:b w:val="false"/>
          <w:i/>
          <w:color w:val="000000"/>
          <w:sz w:val="22"/>
        </w:rPr>
        <w:t>“a”</w:t>
      </w:r>
      <w:r>
        <w:rPr>
          <w:rFonts w:ascii="Times New Roman" w:hAnsi="Times New Roman"/>
          <w:b w:val="false"/>
          <w:i w:val="false"/>
          <w:color w:val="000000"/>
          <w:sz w:val="22"/>
        </w:rPr>
        <w:t>(2), a vocational goal must be in an occupational field for which available labor market information or emerging business trends in the participant’s local area indicate employment potential. These trends or statistics must be provided by a legitimate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to support employment potential in the participant’s local area is not required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participant has a documented job offer in the field before entering the training;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is willing to relocate after training to an area where there is employment potential. Documentation for the new location shall meet the requirements in subparagraph </w:t>
      </w:r>
      <w:r>
        <w:rPr>
          <w:rFonts w:ascii="Times New Roman" w:hAnsi="Times New Roman"/>
          <w:b w:val="false"/>
          <w:i w:val="false"/>
          <w:color w:val="000000"/>
          <w:sz w:val="22"/>
        </w:rPr>
        <w:t>93.8(1)</w:t>
      </w:r>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participants attending high school or high school equivalency activities, adult basic education or English as a second language, the vocational goal is to improve employability by successfully completing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Educational evaluation. </w:t>
      </w:r>
      <w:r>
        <w:rPr>
          <w:rFonts w:ascii="Times New Roman" w:hAnsi="Times New Roman"/>
          <w:b w:val="false"/>
          <w:i w:val="false"/>
          <w:color w:val="000000"/>
          <w:sz w:val="22"/>
        </w:rPr>
        <w:t xml:space="preserve">An educational evaluation shall be completed according to subrule </w:t>
      </w:r>
      <w:r>
        <w:rPr>
          <w:rFonts w:ascii="Times New Roman" w:hAnsi="Times New Roman"/>
          <w:b w:val="false"/>
          <w:i w:val="false"/>
          <w:color w:val="000000"/>
          <w:sz w:val="22"/>
        </w:rPr>
        <w:t>93.5(3)</w:t>
      </w:r>
      <w:r>
        <w:rPr>
          <w:rFonts w:ascii="Times New Roman" w:hAnsi="Times New Roman"/>
          <w:b w:val="false"/>
          <w:i w:val="false"/>
          <w:color w:val="000000"/>
          <w:sz w:val="22"/>
        </w:rPr>
        <w:t xml:space="preserve"> before postsecondary education is included as an FIA activity. A participant under the age of 19 does not need to complete an educational evaluation in order to have high school completion included in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participant who chooses to enter educational activities before obtaining approval is not eligible to receive supports as described in subrule </w:t>
      </w:r>
      <w:hyperlink r:id="rId83">
        <w:r>
          <w:rPr>
            <w:rStyle w:val="Hyperlink"/>
            <w:rFonts w:ascii="Times New Roman" w:hAnsi="Times New Roman"/>
            <w:b w:val="false"/>
            <w:i w:val="false"/>
            <w:color w:val="000000"/>
            <w:sz w:val="22"/>
          </w:rPr>
          <w:t>93.8(6)</w:t>
        </w:r>
      </w:hyperlink>
      <w:r>
        <w:rPr>
          <w:rFonts w:ascii="Times New Roman" w:hAnsi="Times New Roman"/>
          <w:b w:val="false"/>
          <w:i w:val="false"/>
          <w:color w:val="000000"/>
          <w:sz w:val="22"/>
        </w:rPr>
        <w:t>, cannot use that activity to meet the FIA participation obligation, and shall be expected to participate in other FIA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participant who is already involved in education at the time of FIP application or enters education before approval must meet the requirements in this rule before the educational activities can be included in the FIA. Once approved, the current educational activity may then be included in the participant’s FIA, and the participant will be eligible to receive supports as described in subrule </w:t>
      </w:r>
      <w:r>
        <w:rPr>
          <w:rFonts w:ascii="Times New Roman" w:hAnsi="Times New Roman"/>
          <w:b w:val="false"/>
          <w:i w:val="false"/>
          <w:color w:val="000000"/>
          <w:sz w:val="22"/>
        </w:rPr>
        <w:t>93.8(6)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93.8(2)</w:t>
      </w:r>
      <w:r>
        <w:rPr>
          <w:rFonts w:ascii="Times New Roman" w:hAnsi="Times New Roman"/>
          <w:b w:val="false"/>
          <w:i w:val="false"/>
          <w:color w:val="000000"/>
          <w:sz w:val="22"/>
        </w:rPr>
        <w:t> </w:t>
      </w:r>
      <w:r>
        <w:rPr>
          <w:rFonts w:ascii="Times New Roman" w:hAnsi="Times New Roman"/>
          <w:b w:val="false"/>
          <w:i/>
          <w:color w:val="000000"/>
          <w:sz w:val="22"/>
        </w:rPr>
        <w:t xml:space="preserve">Provider requirements. </w:t>
      </w:r>
      <w:r>
        <w:rPr>
          <w:rFonts w:ascii="Times New Roman" w:hAnsi="Times New Roman"/>
          <w:b w:val="false"/>
          <w:i w:val="false"/>
          <w:color w:val="000000"/>
          <w:sz w:val="22"/>
        </w:rPr>
        <w:t>Both public and private agencies may provide educational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Type of provider. </w:t>
      </w:r>
      <w:r>
        <w:rPr>
          <w:rFonts w:ascii="Times New Roman" w:hAnsi="Times New Roman"/>
          <w:b w:val="false"/>
          <w:i w:val="false"/>
          <w:color w:val="000000"/>
          <w:sz w:val="22"/>
        </w:rPr>
        <w:t>Education may be included in the FIA if obtained from a provider that is approved or registered with the state or is accredited by an appropriate accrediting agency. Training provided by a community action program, church, or other agency may be included in the FIA only if PROMISE JOBS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training is adequate and leads to the completion of the participant’s vocational goal;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training provider possesses appropriate and up-to-date equipment; has qualified instructors, adequate facilities, a complete curriculum, acceptable evaluation methods, and a good job-placement history; and demonstrates expenses of training that are reasonable and comparable to the costs of similar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and attendance. </w:t>
      </w:r>
      <w:r>
        <w:rPr>
          <w:rFonts w:ascii="Times New Roman" w:hAnsi="Times New Roman"/>
          <w:b w:val="false"/>
          <w:i w:val="false"/>
          <w:color w:val="000000"/>
          <w:sz w:val="22"/>
        </w:rPr>
        <w:t xml:space="preserve">The provider must verify the participant’s actual hours of attendance in an educational activity with a form prescribed by the department pursuant to subrule </w:t>
      </w:r>
      <w:r>
        <w:rPr>
          <w:rFonts w:ascii="Times New Roman" w:hAnsi="Times New Roman"/>
          <w:b w:val="false"/>
          <w:i w:val="false"/>
          <w:color w:val="000000"/>
          <w:sz w:val="22"/>
        </w:rPr>
        <w:t>93.10(2)</w:t>
      </w:r>
      <w:r>
        <w:rPr>
          <w:rFonts w:ascii="Times New Roman" w:hAnsi="Times New Roman"/>
          <w:b w:val="false"/>
          <w:i w:val="false"/>
          <w:color w:val="000000"/>
          <w:sz w:val="22"/>
        </w:rPr>
        <w:t xml:space="preserve">. If the educational activity is structured in such a way that verification cannot be obtained or the educational provider is unwilling to provide time and attendance verification, the educational activity cannot be included in the participant’s FIA. Exceptions apply for online or distance learning as described in paragraph </w:t>
      </w:r>
      <w:r>
        <w:rPr>
          <w:rFonts w:ascii="Times New Roman" w:hAnsi="Times New Roman"/>
          <w:b w:val="false"/>
          <w:i w:val="false"/>
          <w:color w:val="000000"/>
          <w:sz w:val="22"/>
        </w:rPr>
        <w:t>93.10(2)</w:t>
      </w:r>
      <w:r>
        <w:rPr>
          <w:rFonts w:ascii="Times New Roman" w:hAnsi="Times New Roman"/>
          <w:b w:val="false"/>
          <w:i/>
          <w:color w:val="000000"/>
          <w:sz w:val="22"/>
        </w:rPr>
        <w:t>“f”</w:t>
      </w:r>
      <w:r>
        <w:rPr>
          <w:rFonts w:ascii="Times New Roman" w:hAnsi="Times New Roman"/>
          <w:b w:val="false"/>
          <w:i w:val="false"/>
          <w:color w:val="000000"/>
          <w:sz w:val="22"/>
        </w:rPr>
        <w:t xml:space="preserve"> and for participants under age 20 as described in subparagraph </w:t>
      </w:r>
      <w:r>
        <w:rPr>
          <w:rFonts w:ascii="Times New Roman" w:hAnsi="Times New Roman"/>
          <w:b w:val="false"/>
          <w:i w:val="false"/>
          <w:color w:val="000000"/>
          <w:sz w:val="22"/>
        </w:rPr>
        <w:t>93.10(2)</w:t>
      </w:r>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93.8(3)</w:t>
      </w:r>
      <w:r>
        <w:rPr>
          <w:rFonts w:ascii="Times New Roman" w:hAnsi="Times New Roman"/>
          <w:b w:val="false"/>
          <w:i w:val="false"/>
          <w:color w:val="000000"/>
          <w:sz w:val="22"/>
        </w:rPr>
        <w:t> </w:t>
      </w:r>
      <w:r>
        <w:rPr>
          <w:rFonts w:ascii="Times New Roman" w:hAnsi="Times New Roman"/>
          <w:b w:val="false"/>
          <w:i/>
          <w:color w:val="000000"/>
          <w:sz w:val="22"/>
        </w:rPr>
        <w:t xml:space="preserve">Approvable activities. </w:t>
      </w:r>
      <w:r>
        <w:rPr>
          <w:rFonts w:ascii="Times New Roman" w:hAnsi="Times New Roman"/>
          <w:b w:val="false"/>
          <w:i w:val="false"/>
          <w:color w:val="000000"/>
          <w:sz w:val="22"/>
        </w:rPr>
        <w:t>Training plans shall include only training activities that can be considered as meeting the FIA obligations for participation. The following activities may be included in a training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Adult basic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units when needed for the participant to be recertified or retrained to reenter a field in which the participant was previously trained or employed or to maintain certification needed to remain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Correspondence courses when the courses are required but not offered by an educational facility attended by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English as a second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High school or high school equivalency completion. Any participant who does not have a high school diploma or high school equivalency diploma (HSED) shall be encouraged to obtain a diploma. A participant who is 18 years of age or older may be approved to return to regular high school only when the participant can graduate within one year of the normal graduation date. High school equivalency or high school courses and other types of vocational training may run concurrently.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Online or distance learning.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Must include interaction between the instructor and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Must include mechanisms for evaluation and measurement of student achievement;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Must be offered in Iowa unless the conditions in paragraph </w:t>
      </w:r>
      <w:r>
        <w:rPr>
          <w:rFonts w:ascii="Times New Roman" w:hAnsi="Times New Roman"/>
          <w:b w:val="false"/>
          <w:i w:val="false"/>
          <w:color w:val="000000"/>
          <w:sz w:val="22"/>
        </w:rPr>
        <w:t>93.8(3)</w:t>
      </w:r>
      <w:r>
        <w:rPr>
          <w:rFonts w:ascii="Times New Roman" w:hAnsi="Times New Roman"/>
          <w:b w:val="false"/>
          <w:i/>
          <w:color w:val="000000"/>
          <w:sz w:val="22"/>
        </w:rPr>
        <w:t>“g”</w:t>
      </w:r>
      <w:r>
        <w:rPr>
          <w:rFonts w:ascii="Times New Roman" w:hAnsi="Times New Roman"/>
          <w:b w:val="false"/>
          <w:i w:val="false"/>
          <w:color w:val="000000"/>
          <w:sz w:val="22"/>
        </w:rPr>
        <w:t xml:space="preserve"> apply. An online training program shall be considered an out-of-state training program when any of the required training or testing occurs out-of-state.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Out-of-state training. Out-of-state training is approvable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Similar training is not available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Relocation required to attend an in-state facility would be unnecessary if attending an out-of-state facility,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only in-state facilities within commuting distance are private schools where tuition costs are higher than at an out-of-state facility within commuting distance.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Postsecondary education up to and including a baccalaureate degree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participant with no postsecondary education may be approved for training resulting in a certificate of program completion or an academic degree, such as an associate or baccalaureate degree. Participants who have not completed a high school education or received a high school equivalency diploma (HSED) may be required to do so before courses leading to an associate degree or higher are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participant who has a baccalaureate degree or higher is considered employable. No further training shall be approved unless the participant’s physical or mental status has changed to such an extent that the past education is no longer appropriate. The participant must provide supportive evidence from either a qualified medical or mental health professional or the state rehabilitation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participant who has successfully completed a postsecondary educational program that provides less than a baccalaureate degree may be approved for further training if the participant meets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previous training is in an occupation that is outdated.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previous training is in a field where current labor market information or emerging business trends show little or no employment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training requested is a progression in a specific career that moves a participant from entry-level positions to higher levels of pay, skill, responsibility, or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participant’s background makes employment in the area in which the participant is trained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Changes in the participant’s physical or mental status make the past training no longer appropriate. The participant must provide supportive evidence from a qualified medical or mental health professional or the state rehabilitation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Prerequisite courses required by the selected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Remedial coursework for one term when needed as determined by testing conducted by the training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Summer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93.8(4)</w:t>
      </w:r>
      <w:r>
        <w:rPr>
          <w:rFonts w:ascii="Times New Roman" w:hAnsi="Times New Roman"/>
          <w:b w:val="false"/>
          <w:i w:val="false"/>
          <w:color w:val="000000"/>
          <w:sz w:val="22"/>
        </w:rPr>
        <w:t> </w:t>
      </w:r>
      <w:r>
        <w:rPr>
          <w:rFonts w:ascii="Times New Roman" w:hAnsi="Times New Roman"/>
          <w:b w:val="false"/>
          <w:i/>
          <w:color w:val="000000"/>
          <w:sz w:val="22"/>
        </w:rPr>
        <w:t xml:space="preserve">Nonapprovable training activities. </w:t>
      </w:r>
      <w:r>
        <w:rPr>
          <w:rFonts w:ascii="Times New Roman" w:hAnsi="Times New Roman"/>
          <w:b w:val="false"/>
          <w:i w:val="false"/>
          <w:color w:val="000000"/>
          <w:sz w:val="22"/>
        </w:rPr>
        <w:t>Nonapprovable training activities shall not be included in the FIA. When an activity in which the participant is enrolled becomes nonapprovable, PROMISE JOBS shall cancel the current training plan and require the participant to renegotiate the FIA to include other activities. A form prescribed by the department shall be issued to inform the participant that the request for education is canceled. Nonapprovable activities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course or training that the participant has previously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course or training in a field in which the participant does not intend to seek employment after the training is completed. An exception may be made when the reason for not seeking employment is to receive further education when the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planned progression in a specific career path;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not lead to an advanced degree beyond a baccalaureate.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training program that does not relate to the identified vocational goal.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Educational activities for which the participant has failed to earn the grades required for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Education in a field in which the participant will not be able to be employed due to known criminal convictions or founded child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training except as allowed under paragraph </w:t>
      </w:r>
      <w:r>
        <w:rPr>
          <w:rFonts w:ascii="Times New Roman" w:hAnsi="Times New Roman"/>
          <w:b w:val="false"/>
          <w:i w:val="false"/>
          <w:color w:val="000000"/>
          <w:sz w:val="22"/>
        </w:rPr>
        <w:t>93.8(3)</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Training for jobs paying less than state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Training that will not be completed until after the participant leaves FIP. Training programs that exceed the known length of time during which the participant will remain eligible for FIP assistance shall be approved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time remaining in the training is minimal and tuition has already been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reasonable plan for how the program will be completed without the assistance and support from FIP or PROMISE JOBS. A reasonable plan may include but not be limited to school loans, grants, and scholarships.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93.8(5)</w:t>
      </w:r>
      <w:r>
        <w:rPr>
          <w:rFonts w:ascii="Times New Roman" w:hAnsi="Times New Roman"/>
          <w:b w:val="false"/>
          <w:i w:val="false"/>
          <w:color w:val="000000"/>
          <w:sz w:val="22"/>
        </w:rPr>
        <w:t> </w:t>
      </w:r>
      <w:r>
        <w:rPr>
          <w:rFonts w:ascii="Times New Roman" w:hAnsi="Times New Roman"/>
          <w:b w:val="false"/>
          <w:i/>
          <w:color w:val="000000"/>
          <w:sz w:val="22"/>
        </w:rPr>
        <w:t xml:space="preserve">Training plan content. </w:t>
      </w:r>
      <w:r>
        <w:rPr>
          <w:rFonts w:ascii="Times New Roman" w:hAnsi="Times New Roman"/>
          <w:b w:val="false"/>
          <w:i w:val="false"/>
          <w:color w:val="000000"/>
          <w:sz w:val="22"/>
        </w:rPr>
        <w:t>Once a participant is approved for training, a training plan shall be developed and written into the participant’s FIA. The training plan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Academic enrollment hours. Participants are encouraged to maintain as full an academic workload as is possible in order to complete their education in a timely manner. However, a person may choose to participate in education along with other activities such as employment, job readiness skills training, other job readiness activities, or other FIA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Approved training plan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specific educational goal as defined in paragraph </w:t>
      </w:r>
      <w:r>
        <w:rPr>
          <w:rFonts w:ascii="Times New Roman" w:hAnsi="Times New Roman"/>
          <w:b w:val="false"/>
          <w:i w:val="false"/>
          <w:color w:val="000000"/>
          <w:sz w:val="22"/>
        </w:rPr>
        <w:t>93.8(1)</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date by which the participant expects to complete training. This end date depends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Time frames specified for a program as established by the educational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participant is attending full-time or part-time.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Problems or barriers to involvement as identified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or </w:t>
      </w:r>
      <w:r>
        <w:rPr>
          <w:rFonts w:ascii="Times New Roman" w:hAnsi="Times New Roman"/>
          <w:b w:val="false"/>
          <w:i w:val="false"/>
          <w:color w:val="000000"/>
          <w:sz w:val="22"/>
        </w:rPr>
        <w:t>93.14(1)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Testing schedule. Participants enrolled in ABE or ESL programs must be able to complete training in the time determined by the testing schedule unless the PROMISE JOBS worker and, if appropriate, the participant’s academic advisor or instructor agree that additional time may be allowed. Under no circumstances, however, shall more than 6 additional months be allowed. Additional time shall not be allowed if, as a result, months required to complete training would exceed 24 months for ABE or 12 months for ESL.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93.8(6)</w:t>
      </w:r>
      <w:r>
        <w:rPr>
          <w:rFonts w:ascii="Times New Roman" w:hAnsi="Times New Roman"/>
          <w:b w:val="false"/>
          <w:i w:val="false"/>
          <w:color w:val="000000"/>
          <w:sz w:val="22"/>
        </w:rPr>
        <w:t> </w:t>
      </w:r>
      <w:r>
        <w:rPr>
          <w:rFonts w:ascii="Times New Roman" w:hAnsi="Times New Roman"/>
          <w:b w:val="false"/>
          <w:i/>
          <w:color w:val="000000"/>
          <w:sz w:val="22"/>
        </w:rPr>
        <w:t xml:space="preserve">Supportive payments. </w:t>
      </w:r>
      <w:r>
        <w:rPr>
          <w:rFonts w:ascii="Times New Roman" w:hAnsi="Times New Roman"/>
          <w:b w:val="false"/>
          <w:i w:val="false"/>
          <w:color w:val="000000"/>
          <w:sz w:val="22"/>
        </w:rPr>
        <w:t xml:space="preserve">PROMISE JOBS may provide payment for certain expenses when needed to participate in approved education and training activities as described in this subrule and in subrule </w:t>
      </w:r>
      <w:r>
        <w:rPr>
          <w:rFonts w:ascii="Times New Roman" w:hAnsi="Times New Roman"/>
          <w:b w:val="false"/>
          <w:i w:val="false"/>
          <w:color w:val="000000"/>
          <w:sz w:val="22"/>
        </w:rPr>
        <w:t>93.11(4)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PROMISE JOBS supportive payments for education and training begins with the date when the participant begins training under an approved plan or is removed from a waiting list as described in paragraph </w:t>
      </w:r>
      <w:r>
        <w:rPr>
          <w:rFonts w:ascii="Times New Roman" w:hAnsi="Times New Roman"/>
          <w:b w:val="false"/>
          <w:i w:val="false"/>
          <w:color w:val="000000"/>
          <w:sz w:val="22"/>
        </w:rPr>
        <w:t>93.4(4)</w:t>
      </w:r>
      <w:r>
        <w:rPr>
          <w:rFonts w:ascii="Times New Roman" w:hAnsi="Times New Roman"/>
          <w:b w:val="false"/>
          <w:i/>
          <w:color w:val="000000"/>
          <w:sz w:val="22"/>
        </w:rPr>
        <w:t>“e,”</w:t>
      </w:r>
      <w:r>
        <w:rPr>
          <w:rFonts w:ascii="Times New Roman" w:hAnsi="Times New Roman"/>
          <w:b w:val="false"/>
          <w:i w:val="false"/>
          <w:color w:val="000000"/>
          <w:sz w:val="22"/>
        </w:rPr>
        <w:t xml:space="preserve">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 eligibility for child care assistance and transportation payments begins as described in subparagraph </w:t>
      </w:r>
      <w:r>
        <w:rPr>
          <w:rFonts w:ascii="Times New Roman" w:hAnsi="Times New Roman"/>
          <w:b w:val="false"/>
          <w:i w:val="false"/>
          <w:color w:val="000000"/>
          <w:sz w:val="22"/>
        </w:rPr>
        <w:t>93.8(6)</w:t>
      </w:r>
      <w:r>
        <w:rPr>
          <w:rFonts w:ascii="Times New Roman" w:hAnsi="Times New Roman"/>
          <w:b w:val="false"/>
          <w:i/>
          <w:color w:val="000000"/>
          <w:sz w:val="22"/>
        </w:rPr>
        <w:t>“a”</w:t>
      </w:r>
      <w:r>
        <w:rPr>
          <w:rFonts w:ascii="Times New Roman" w:hAnsi="Times New Roman"/>
          <w:b w:val="false"/>
          <w:i w:val="false"/>
          <w:color w:val="000000"/>
          <w:sz w:val="22"/>
        </w:rPr>
        <w:t>(1) and shall be terminated when a training plan is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participant in postsecondary vocational training is limited to 24 fiscal months of PROMISE JOBS payment of expenses needed for participation. The 24 fiscal months do not have to be consecutive. More information about additional limits on child care expenses is contained in paragraph </w:t>
      </w:r>
      <w:r>
        <w:rPr>
          <w:rFonts w:ascii="Times New Roman" w:hAnsi="Times New Roman"/>
          <w:b w:val="false"/>
          <w:i w:val="false"/>
          <w:color w:val="000000"/>
          <w:sz w:val="22"/>
        </w:rPr>
        <w:t>93.8(6)</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more than one facility offers a particular program, payment is limited to the amount required to attend the nearest educational facility except when attending a facility that is farther away will allow the family to reach self-sufficiency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Child care. </w:t>
      </w:r>
      <w:r>
        <w:rPr>
          <w:rFonts w:ascii="Times New Roman" w:hAnsi="Times New Roman"/>
          <w:b w:val="false"/>
          <w:i w:val="false"/>
          <w:color w:val="000000"/>
          <w:sz w:val="22"/>
        </w:rPr>
        <w:t xml:space="preserve">Child care assistance shall be provided as described in subrule </w:t>
      </w:r>
      <w:r>
        <w:rPr>
          <w:rFonts w:ascii="Times New Roman" w:hAnsi="Times New Roman"/>
          <w:b w:val="false"/>
          <w:i w:val="false"/>
          <w:color w:val="000000"/>
          <w:sz w:val="22"/>
        </w:rPr>
        <w:t>93.11(2)</w:t>
      </w:r>
      <w:r>
        <w:rPr>
          <w:rFonts w:ascii="Times New Roman" w:hAnsi="Times New Roman"/>
          <w:b w:val="false"/>
          <w:i w:val="false"/>
          <w:color w:val="000000"/>
          <w:sz w:val="22"/>
        </w:rPr>
        <w:t xml:space="preserve"> and </w:t>
      </w:r>
      <w:r>
        <w:rPr>
          <w:rFonts w:ascii="Times New Roman" w:hAnsi="Times New Roman"/>
          <w:b w:val="false"/>
          <w:i w:val="false"/>
          <w:color w:val="000000"/>
          <w:sz w:val="22"/>
        </w:rPr>
        <w:t>441</w:t>
      </w:r>
      <w:r>
        <w:rPr>
          <w:rFonts w:ascii="Times New Roman" w:hAnsi="Times New Roman"/>
          <w:b w:val="false"/>
          <w:i w:val="false"/>
          <w:color w:val="000000"/>
          <w:sz w:val="22"/>
        </w:rPr>
        <w:t xml:space="preserve">—Chapter </w:t>
      </w:r>
      <w:r>
        <w:rPr>
          <w:rFonts w:ascii="Times New Roman" w:hAnsi="Times New Roman"/>
          <w:b w:val="false"/>
          <w:i w:val="false"/>
          <w:color w:val="000000"/>
          <w:sz w:val="22"/>
        </w:rPr>
        <w:t>170</w:t>
      </w:r>
      <w:r>
        <w:rPr>
          <w:rFonts w:ascii="Times New Roman" w:hAnsi="Times New Roman"/>
          <w:b w:val="false"/>
          <w:i w:val="false"/>
          <w:color w:val="000000"/>
          <w:sz w:val="22"/>
        </w:rPr>
        <w:t xml:space="preserve"> when needed for participation in education and training activities except as described in subparagraphs </w:t>
      </w:r>
      <w:r>
        <w:rPr>
          <w:rFonts w:ascii="Times New Roman" w:hAnsi="Times New Roman"/>
          <w:b w:val="false"/>
          <w:i w:val="false"/>
          <w:color w:val="000000"/>
          <w:sz w:val="22"/>
        </w:rPr>
        <w:t>93.8(6)</w:t>
      </w:r>
      <w:r>
        <w:rPr>
          <w:rFonts w:ascii="Times New Roman" w:hAnsi="Times New Roman"/>
          <w:b w:val="false"/>
          <w:i/>
          <w:color w:val="000000"/>
          <w:sz w:val="22"/>
        </w:rPr>
        <w:t>“b”</w:t>
      </w:r>
      <w:r>
        <w:rPr>
          <w:rFonts w:ascii="Times New Roman" w:hAnsi="Times New Roman"/>
          <w:b w:val="false"/>
          <w:i w:val="false"/>
          <w:color w:val="000000"/>
          <w:sz w:val="22"/>
        </w:rPr>
        <w:t>(1)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care assistance payments needed for participation in postsecondary education activities are limited to 24 fiscal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child care assistance payments issued for child care for participation in postsecondary education activities count toward this limit, including payments issued while the person was not a PROMISE JOBS participant, pursuant to </w:t>
      </w:r>
      <w:hyperlink r:id="rId84">
        <w:r>
          <w:rPr>
            <w:rStyle w:val="Hyperlink"/>
            <w:rFonts w:ascii="Times New Roman" w:hAnsi="Times New Roman"/>
            <w:b w:val="false"/>
            <w:i w:val="false"/>
            <w:color w:val="000000"/>
            <w:sz w:val="22"/>
          </w:rPr>
          <w:t>441—subparagraph 170.2(2)</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 xml:space="preserve">Transportation payments shall be provided as described in subrule </w:t>
      </w:r>
      <w:r>
        <w:rPr>
          <w:rFonts w:ascii="Times New Roman" w:hAnsi="Times New Roman"/>
          <w:b w:val="false"/>
          <w:i w:val="false"/>
          <w:color w:val="000000"/>
          <w:sz w:val="22"/>
        </w:rPr>
        <w:t>93.11(3)</w:t>
      </w:r>
      <w:r>
        <w:rPr>
          <w:rFonts w:ascii="Times New Roman" w:hAnsi="Times New Roman"/>
          <w:b w:val="false"/>
          <w:i w:val="false"/>
          <w:color w:val="000000"/>
          <w:sz w:val="22"/>
        </w:rPr>
        <w:t xml:space="preserve"> when needed for participation in educational activities unless transportation payments are available from another source. Transportation needed for participation in education activities is subject to the limits described in paragraph </w:t>
      </w:r>
      <w:r>
        <w:rPr>
          <w:rFonts w:ascii="Times New Roman" w:hAnsi="Times New Roman"/>
          <w:b w:val="false"/>
          <w:i w:val="false"/>
          <w:color w:val="000000"/>
          <w:sz w:val="22"/>
        </w:rPr>
        <w:t>93.8(6)</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participant receives a transportation payment from another program that equals or exceeds that possible under PROMISE JOBS, transportation shall not be paid by PROMISE JOBS for any month covered by the other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amount received from another program is less than that possible under PROMISE JOBS, a supplemental payment may be made as long as the combined payment does not exceed that normally paid by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participant is enrolled in high school, a transportation payment shall not be allowed if transportation is available from another source, such as the school district. If child care needs or the needs of the child or the participant make it impractical or inappropriate for the participant to use transportation provided by the school district, a transportation payment may be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Training expenses. </w:t>
      </w:r>
      <w:r>
        <w:rPr>
          <w:rFonts w:ascii="Times New Roman" w:hAnsi="Times New Roman"/>
          <w:b w:val="false"/>
          <w:i w:val="false"/>
          <w:color w:val="000000"/>
          <w:sz w:val="22"/>
        </w:rPr>
        <w:t xml:space="preserve">Participants enrolled in high school or high school equivalency completion, ABE, ESL, or postsecondary vocational training may be eligible for payment of the following expenses of training when required for participation, subject to limits in subrule </w:t>
      </w:r>
      <w:r>
        <w:rPr>
          <w:rFonts w:ascii="Times New Roman" w:hAnsi="Times New Roman"/>
          <w:b w:val="false"/>
          <w:i w:val="false"/>
          <w:color w:val="000000"/>
          <w:sz w:val="22"/>
        </w:rPr>
        <w:t>93.11(4)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Enrollment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School application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Educational grant or scholarship application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Licensing, certification and testing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Travel costs required for certification or testing,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Certain practicum expenses as described in subparagraph </w:t>
      </w:r>
      <w:r>
        <w:rPr>
          <w:rFonts w:ascii="Times New Roman" w:hAnsi="Times New Roman"/>
          <w:b w:val="false"/>
          <w:i w:val="false"/>
          <w:color w:val="000000"/>
          <w:sz w:val="22"/>
        </w:rPr>
        <w:t>93.11(4)</w:t>
      </w:r>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Direct education costs. </w:t>
      </w:r>
      <w:r>
        <w:rPr>
          <w:rFonts w:ascii="Times New Roman" w:hAnsi="Times New Roman"/>
          <w:b w:val="false"/>
          <w:i w:val="false"/>
          <w:color w:val="000000"/>
          <w:sz w:val="22"/>
        </w:rPr>
        <w:t>Participants enrolled in high school or high school equivalency completion, ABE, ESL, or short-term training programs of 29 weeks or less may also be eligible for payment for direct education costs,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Books,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Fees including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Basic school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Specific supplies related to obtaining credit for a course and required of all students in a course,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Required uniforms.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Supplies purchased with PROMISE JOBS funds. </w:t>
      </w:r>
      <w:r>
        <w:rPr>
          <w:rFonts w:ascii="Times New Roman" w:hAnsi="Times New Roman"/>
          <w:b w:val="false"/>
          <w:i w:val="false"/>
          <w:color w:val="000000"/>
          <w:sz w:val="22"/>
        </w:rPr>
        <w:t>Participants may keep any books or supplies, including tools, that were purchased with PROMISE JOBS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93.8(7)</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The following information shall be documented in the participant’s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results, pursuant to paragraph </w:t>
      </w:r>
      <w:r>
        <w:rPr>
          <w:rFonts w:ascii="Times New Roman" w:hAnsi="Times New Roman"/>
          <w:b w:val="false"/>
          <w:i w:val="false"/>
          <w:color w:val="000000"/>
          <w:sz w:val="22"/>
        </w:rPr>
        <w:t>93.8(1)</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educational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Justification for approval of additional postsecondary education pursuant to subrule </w:t>
      </w:r>
      <w:r>
        <w:rPr>
          <w:rFonts w:ascii="Times New Roman" w:hAnsi="Times New Roman"/>
          <w:b w:val="false"/>
          <w:i w:val="false"/>
          <w:color w:val="000000"/>
          <w:sz w:val="22"/>
        </w:rPr>
        <w:t>93.5(3)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Academic probationary status pursuant to subrule </w:t>
      </w:r>
      <w:r>
        <w:rPr>
          <w:rFonts w:ascii="Times New Roman" w:hAnsi="Times New Roman"/>
          <w:b w:val="false"/>
          <w:i w:val="false"/>
          <w:color w:val="000000"/>
          <w:sz w:val="22"/>
        </w:rPr>
        <w:t>93.8(8)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Justification for denial of education. Notice of Decision: Services shall be issued to the participant to deny the request for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Participation. </w:t>
      </w:r>
      <w:r>
        <w:rPr>
          <w:rFonts w:ascii="Times New Roman" w:hAnsi="Times New Roman"/>
          <w:b w:val="false"/>
          <w:i w:val="false"/>
          <w:color w:val="000000"/>
          <w:sz w:val="22"/>
        </w:rPr>
        <w:t xml:space="preserve">A participant shall provide documentation of the actual hours of participation in education and homework and of grades and academic progress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93.8(8)</w:t>
      </w:r>
      <w:r>
        <w:rPr>
          <w:rFonts w:ascii="Times New Roman" w:hAnsi="Times New Roman"/>
          <w:b w:val="false"/>
          <w:i w:val="false"/>
          <w:color w:val="000000"/>
          <w:sz w:val="22"/>
        </w:rPr>
        <w:t> </w:t>
      </w:r>
      <w:r>
        <w:rPr>
          <w:rFonts w:ascii="Times New Roman" w:hAnsi="Times New Roman"/>
          <w:b w:val="false"/>
          <w:i/>
          <w:color w:val="000000"/>
          <w:sz w:val="22"/>
        </w:rPr>
        <w:t xml:space="preserve">Academic probation. </w:t>
      </w:r>
      <w:r>
        <w:rPr>
          <w:rFonts w:ascii="Times New Roman" w:hAnsi="Times New Roman"/>
          <w:b w:val="false"/>
          <w:i w:val="false"/>
          <w:color w:val="000000"/>
          <w:sz w:val="22"/>
        </w:rPr>
        <w:t>A participant may be placed on academic probation for at least one term, or a comparable time limit appropriate to the educational program, after which the participant shall be reevaluated for continued inclusion in education activities. This subrule does not apply to parents under the age of 18 who are attending high school completion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Placing a participant on academic probation. </w:t>
      </w:r>
      <w:r>
        <w:rPr>
          <w:rFonts w:ascii="Times New Roman" w:hAnsi="Times New Roman"/>
          <w:b w:val="false"/>
          <w:i w:val="false"/>
          <w:color w:val="000000"/>
          <w:sz w:val="22"/>
        </w:rPr>
        <w:t>The PROMISE JOBS worker may choose to place a participant on academic probation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educational evaluation completed according to paragraph </w:t>
      </w:r>
      <w:r>
        <w:rPr>
          <w:rFonts w:ascii="Times New Roman" w:hAnsi="Times New Roman"/>
          <w:b w:val="false"/>
          <w:i w:val="false"/>
          <w:color w:val="000000"/>
          <w:sz w:val="22"/>
        </w:rPr>
        <w:t>93.8(1)</w:t>
      </w:r>
      <w:r>
        <w:rPr>
          <w:rFonts w:ascii="Times New Roman" w:hAnsi="Times New Roman"/>
          <w:b w:val="false"/>
          <w:i/>
          <w:color w:val="000000"/>
          <w:sz w:val="22"/>
        </w:rPr>
        <w:t>“b”</w:t>
      </w:r>
      <w:r>
        <w:rPr>
          <w:rFonts w:ascii="Times New Roman" w:hAnsi="Times New Roman"/>
          <w:b w:val="false"/>
          <w:i w:val="false"/>
          <w:color w:val="000000"/>
          <w:sz w:val="22"/>
        </w:rPr>
        <w:t xml:space="preserve"> identifies some factors with the participant’s ability or past circumstances that could make successful completion of the training difficult but the participant’s motivation is high and changes in the participant’s life situation indicate a realistic probability of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participant was previously unable to maintain the cumulative grade point average required by a training facility in training comparable to that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participant enrolled but did not complete a previous education activity without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 the end of a term, or of a comparable period applicable to the educational program, the participant is receiving less than a 2.0 grade point average or less than a higher average that is required by the specific training facility or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Probation outcomes. </w:t>
      </w:r>
      <w:r>
        <w:rPr>
          <w:rFonts w:ascii="Times New Roman" w:hAnsi="Times New Roman"/>
          <w:b w:val="false"/>
          <w:i w:val="false"/>
          <w:color w:val="000000"/>
          <w:sz w:val="22"/>
        </w:rPr>
        <w:t>The participant shall be removed from probation for satisfactory performance if, by the end of the established probationary period, the participant is receiving at least a 2.0 grade point average or a higher average as required by the specific training facility or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Reevaluation. If the participant is not receiving the required grade point by the end of the probationary period, the participant shall be reevaluated to determine continued eligibility for participation in education using the same type of information used to originally evaluate the likelihood of academic success as identified in paragraph </w:t>
      </w:r>
      <w:r>
        <w:rPr>
          <w:rFonts w:ascii="Times New Roman" w:hAnsi="Times New Roman"/>
          <w:b w:val="false"/>
          <w:i w:val="false"/>
          <w:color w:val="000000"/>
          <w:sz w:val="22"/>
        </w:rPr>
        <w:t>93.8(1)</w:t>
      </w:r>
      <w:r>
        <w:rPr>
          <w:rFonts w:ascii="Times New Roman" w:hAnsi="Times New Roman"/>
          <w:b w:val="false"/>
          <w:i/>
          <w:color w:val="000000"/>
          <w:sz w:val="22"/>
        </w:rPr>
        <w:t>“b.”</w:t>
      </w:r>
      <w:r>
        <w:rPr>
          <w:rFonts w:ascii="Times New Roman" w:hAnsi="Times New Roman"/>
          <w:b w:val="false"/>
          <w:i w:val="false"/>
          <w:color w:val="000000"/>
          <w:sz w:val="22"/>
        </w:rPr>
        <w:t xml:space="preserve"> Documentation shall meet the requirements as stated in subrule </w:t>
      </w:r>
      <w:r>
        <w:rPr>
          <w:rFonts w:ascii="Times New Roman" w:hAnsi="Times New Roman"/>
          <w:b w:val="false"/>
          <w:i w:val="false"/>
          <w:color w:val="000000"/>
          <w:sz w:val="22"/>
        </w:rPr>
        <w:t>93.8</w:t>
      </w:r>
      <w:r>
        <w:rPr>
          <w:rFonts w:ascii="Times New Roman" w:hAnsi="Times New Roman"/>
          <w:b w:val="false"/>
          <w:i w:val="false"/>
          <w:color w:val="000000"/>
          <w:sz w:val="22"/>
        </w:rPr>
        <w:t>(7).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Continued probation. Probation may be continued when reevaluation indicates that education is appropriate. The PROMISE JOBS worker may also consider continued probation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barriers such as illness or family emergencies that interfered with successful participation have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Long-term barriers to successful participation have been identified and accommodations developed and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counselor or the lead instructor in the educational program verifies that there is an excellent likelihood the student will raise the grade point to the acceptable level in the next term or a comparable time limit appropriate to the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Cancellation of a training plan. The participant’s current training plan shall be canceled if the participant has failed to maintain at least a 2.0 grade point average or a higher average required by the specific training facility or curriculum, and reevaluation indicates no mitigating circumstances as listed in subparagraph </w:t>
      </w:r>
      <w:r>
        <w:rPr>
          <w:rFonts w:ascii="Times New Roman" w:hAnsi="Times New Roman"/>
          <w:b w:val="false"/>
          <w:i w:val="false"/>
          <w:color w:val="000000"/>
          <w:sz w:val="22"/>
        </w:rPr>
        <w:t>93.8(8)</w:t>
      </w:r>
      <w:r>
        <w:rPr>
          <w:rFonts w:ascii="Times New Roman" w:hAnsi="Times New Roman"/>
          <w:b w:val="false"/>
          <w:i/>
          <w:color w:val="000000"/>
          <w:sz w:val="22"/>
        </w:rPr>
        <w:t>“b”</w:t>
      </w:r>
      <w:r>
        <w:rPr>
          <w:rFonts w:ascii="Times New Roman" w:hAnsi="Times New Roman"/>
          <w:b w:val="false"/>
          <w:i w:val="false"/>
          <w:color w:val="000000"/>
          <w:sz w:val="22"/>
        </w:rPr>
        <w:t>(2). When a training plan is canceled, the participant will be required to renegotiate the FIA to include either a new, more appropriate training plan or other FIA activities. Notice of Decision: Services shall be issued to the participant to inform the participant that the approval for education is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93.8(9)</w:t>
      </w:r>
      <w:r>
        <w:rPr>
          <w:rFonts w:ascii="Times New Roman" w:hAnsi="Times New Roman"/>
          <w:b w:val="false"/>
          <w:i w:val="false"/>
          <w:color w:val="000000"/>
          <w:sz w:val="22"/>
        </w:rPr>
        <w:t> </w:t>
      </w:r>
      <w:r>
        <w:rPr>
          <w:rFonts w:ascii="Times New Roman" w:hAnsi="Times New Roman"/>
          <w:b w:val="false"/>
          <w:i/>
          <w:color w:val="000000"/>
          <w:sz w:val="22"/>
        </w:rPr>
        <w:t xml:space="preserve">LBP. </w:t>
      </w:r>
      <w:r>
        <w:rPr>
          <w:rFonts w:ascii="Times New Roman" w:hAnsi="Times New Roman"/>
          <w:b w:val="false"/>
          <w:i w:val="false"/>
          <w:color w:val="000000"/>
          <w:sz w:val="22"/>
        </w:rPr>
        <w:t>Participants in education choose an LBP through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Failure to participate. </w:t>
      </w:r>
      <w:r>
        <w:rPr>
          <w:rFonts w:ascii="Times New Roman" w:hAnsi="Times New Roman"/>
          <w:b w:val="false"/>
          <w:i w:val="false"/>
          <w:color w:val="000000"/>
          <w:sz w:val="22"/>
        </w:rPr>
        <w:t xml:space="preserve">The participant fails to maintain education activities or follow training plan requirements as specified in the participant’s FIA, and the participant does not have good cause.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w:t>
      </w:r>
      <w:r>
        <w:rPr>
          <w:rFonts w:ascii="Times New Roman" w:hAnsi="Times New Roman"/>
          <w:b w:val="false"/>
          <w:i w:val="false"/>
          <w:color w:val="000000"/>
          <w:sz w:val="22"/>
        </w:rPr>
        <w:t>441</w:t>
      </w:r>
      <w:r>
        <w:rPr>
          <w:rFonts w:ascii="Times New Roman" w:hAnsi="Times New Roman"/>
          <w:b w:val="false"/>
          <w:i w:val="false"/>
          <w:color w:val="000000"/>
          <w:sz w:val="22"/>
        </w:rPr>
        <w:t xml:space="preserve">—93.13(239B) and </w:t>
      </w:r>
      <w:hyperlink r:id="rId85">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Misuse of payments. </w:t>
      </w:r>
      <w:r>
        <w:rPr>
          <w:rFonts w:ascii="Times New Roman" w:hAnsi="Times New Roman"/>
          <w:b w:val="false"/>
          <w:i w:val="false"/>
          <w:color w:val="000000"/>
          <w:sz w:val="22"/>
        </w:rPr>
        <w:t>The participant misuses expense payments to the extent that the training plan is no longer achievable or knowingly provides receipts or any other written statements that have been altered, forged, or, in any way, are not authentic.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441—93.9</w:t>
      </w:r>
      <w:r>
        <w:rPr>
          <w:rFonts w:ascii="Times New Roman" w:hAnsi="Times New Roman"/>
          <w:b/>
          <w:i w:val="false"/>
          <w:color w:val="000000"/>
          <w:sz w:val="22"/>
        </w:rPr>
        <w:t xml:space="preserve">(239B) </w:t>
      </w:r>
      <w:r>
        <w:rPr>
          <w:rFonts w:ascii="Times New Roman" w:hAnsi="Times New Roman"/>
          <w:b/>
          <w:i w:val="false"/>
          <w:color w:val="000000"/>
          <w:sz w:val="22"/>
        </w:rPr>
        <w:t xml:space="preserve">Other FIA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93.9(1)</w:t>
      </w:r>
      <w:r>
        <w:rPr>
          <w:rFonts w:ascii="Times New Roman" w:hAnsi="Times New Roman"/>
          <w:b w:val="false"/>
          <w:i w:val="false"/>
          <w:color w:val="000000"/>
          <w:sz w:val="22"/>
        </w:rPr>
        <w:t> </w:t>
      </w:r>
      <w:r>
        <w:rPr>
          <w:rFonts w:ascii="Times New Roman" w:hAnsi="Times New Roman"/>
          <w:b w:val="false"/>
          <w:i/>
          <w:color w:val="000000"/>
          <w:sz w:val="22"/>
        </w:rPr>
        <w:t xml:space="preserve">Parenting skills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Parents aged 20 or older. For parents who are aged 20 or older when the FIA is signed, activities that strengthen the participant’s ability to be a better parent can be considered approvable training under PROMISE JOBS and may be included in the FIA as long as the participant is active in at least one other PROMISE JOBS component. Parents aged 20 or older who do not carry out the parenting skills training described in the FIA shall be considered to have chosen the LBP unless good cause exists or family circumstances warrant renegotiation and amendment of the FIA.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w:t>
      </w:r>
      <w:r>
        <w:rPr>
          <w:rFonts w:ascii="Times New Roman" w:hAnsi="Times New Roman"/>
          <w:b w:val="false"/>
          <w:i w:val="false"/>
          <w:color w:val="000000"/>
          <w:sz w:val="22"/>
        </w:rPr>
        <w:t>441</w:t>
      </w:r>
      <w:r>
        <w:rPr>
          <w:rFonts w:ascii="Times New Roman" w:hAnsi="Times New Roman"/>
          <w:b w:val="false"/>
          <w:i w:val="false"/>
          <w:color w:val="000000"/>
          <w:sz w:val="22"/>
        </w:rPr>
        <w:t xml:space="preserve">—93.13(239B) and </w:t>
      </w:r>
      <w:hyperlink r:id="rId86">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Parents aged 19 or younger. Parents aged 19 or younger when the FIA is signed are required to include parenting skills training in the FIA, but may be excused from the requirement when documentation of satisfactory completion of parenting skills training is provided before the FIA is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Priority for orientation or assessment. In any month, PROMISE JOBS shall give priority for orientation or assessment services to parents who are already aged 19 in order to establish their responsibility for parenting classes before they are aged 20. This applies to those who are scheduled for orientation, to those who are still in assessment, and to those who have an FIA that must be renegotiated and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FIA requirement. The FIA shall be written or renegotiated and amended to include specific plans for parenting skills training and shall identify the training provider’s name and beginning and ending dates of the training. The scheduled training may be in the future to accommodate availability of provider resources. However, it shall occur as soon as is compatible with the circumstances of the family, the other activities in the FIA, and the availability of provider resources, except as specified in paragraph </w:t>
      </w:r>
      <w:r>
        <w:rPr>
          <w:rFonts w:ascii="Times New Roman" w:hAnsi="Times New Roman"/>
          <w:b w:val="false"/>
          <w:i w:val="false"/>
          <w:color w:val="000000"/>
          <w:sz w:val="22"/>
        </w:rPr>
        <w:t>93.4(4)</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Parents aged 19 or younger who are participating in a parenting skills training program at the time the FIA is signed shall be allowed to continue in that program, if they choose, as long as the provider is listed in paragraph </w:t>
      </w:r>
      <w:hyperlink r:id="rId87">
        <w:r>
          <w:rPr>
            <w:rStyle w:val="Hyperlink"/>
            <w:rFonts w:ascii="Times New Roman" w:hAnsi="Times New Roman"/>
            <w:b w:val="false"/>
            <w:i w:val="false"/>
            <w:color w:val="000000"/>
            <w:sz w:val="22"/>
          </w:rPr>
          <w:t>93.9(1)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meets the requirements of paragraph </w:t>
      </w:r>
      <w:hyperlink r:id="rId88">
        <w:r>
          <w:rPr>
            <w:rStyle w:val="Hyperlink"/>
            <w:rFonts w:ascii="Times New Roman" w:hAnsi="Times New Roman"/>
            <w:b w:val="false"/>
            <w:i w:val="false"/>
            <w:color w:val="000000"/>
            <w:sz w:val="22"/>
          </w:rPr>
          <w:t>93.9(1)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documentation of enrollment is provided. The time frames as described in paragraph </w:t>
      </w:r>
      <w:hyperlink r:id="rId89">
        <w:r>
          <w:rPr>
            <w:rStyle w:val="Hyperlink"/>
            <w:rFonts w:ascii="Times New Roman" w:hAnsi="Times New Roman"/>
            <w:b w:val="false"/>
            <w:i w:val="false"/>
            <w:color w:val="000000"/>
            <w:sz w:val="22"/>
          </w:rPr>
          <w:t>93.9(1)</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be used to determine the remaining training time to be included in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Participation in other activities. Parents aged 19 or younger are not required to be participating in another PROMISE JOBS component to be eligible for parenting skills training. Other PROMISE JOBS components are included in the FIA according to policies in subrule </w:t>
      </w:r>
      <w:hyperlink r:id="rId90">
        <w:r>
          <w:rPr>
            <w:rStyle w:val="Hyperlink"/>
            <w:rFonts w:ascii="Times New Roman" w:hAnsi="Times New Roman"/>
            <w:b w:val="false"/>
            <w:i w:val="false"/>
            <w:color w:val="000000"/>
            <w:sz w:val="22"/>
          </w:rPr>
          <w:t>93.4(4)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Approved providers. The sources listed in this paragraph are approved providers for parenting skills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High school departments of family and consumer sciences that offer child development, family relationships, or parenting classes and alternative high school programs for pregnant and parenting teens. Services shall be limited to a minimum of one semester and a maximum of two semesters.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Community colleges, other associate-degree institutions, and baccalaureate-degree institutions that offer child development, family relationships, or parenting classes. Services shall be limited to one semester or two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Area education agencies; child abuse prevention programs; child and adult food program sponsors; child care resource and referral agencies; family resource centers; maternal and child health centers; family development and self-sufficiency program grantees and other family development providers; Head Start, Head Start parent and child centers, and Early Head Start programs; Iowa State University Extension services; private nonprofit social service agencies; and young parent support and information organizations. Services shall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6 contact hours or six weeks, whichever comes first,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maximum of 26 contact hours or six calendar months,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providers of parenting skills training are approved as long as they: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five of these six elements: child growth and development, child health and nutrition, child safety, positive discipline, relationships, and life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Offer training within the following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6 contact hours or six weeks, whichever comes first,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maximum of 26 contact hours or six calendar months,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Supportive payments. For participants described in paragraphs </w:t>
      </w:r>
      <w:hyperlink r:id="rId91">
        <w:r>
          <w:rPr>
            <w:rStyle w:val="Hyperlink"/>
            <w:rFonts w:ascii="Times New Roman" w:hAnsi="Times New Roman"/>
            <w:b w:val="false"/>
            <w:i w:val="false"/>
            <w:color w:val="000000"/>
            <w:sz w:val="22"/>
          </w:rPr>
          <w:t>93.9(1)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r>
        <w:rPr>
          <w:rFonts w:ascii="Times New Roman" w:hAnsi="Times New Roman"/>
          <w:b w:val="false"/>
          <w:i w:val="false"/>
          <w:color w:val="000000"/>
          <w:sz w:val="22"/>
        </w:rPr>
        <w:t xml:space="preserve">  child care assistance and transportation payments shall be provided as described in rule </w:t>
      </w:r>
      <w:hyperlink r:id="rId93">
        <w:r>
          <w:rPr>
            <w:rStyle w:val="Hyperlink"/>
            <w:rFonts w:ascii="Times New Roman" w:hAnsi="Times New Roman"/>
            <w:b w:val="false"/>
            <w:i w:val="false"/>
            <w:color w:val="000000"/>
            <w:sz w:val="22"/>
          </w:rPr>
          <w:t>441—93.11</w:t>
        </w:r>
      </w:hyperlink>
      <w:r>
        <w:rPr>
          <w:rFonts w:ascii="Times New Roman" w:hAnsi="Times New Roman"/>
          <w:b w:val="false"/>
          <w:i w:val="false"/>
          <w:color w:val="000000"/>
          <w:sz w:val="22"/>
        </w:rPr>
        <w:t>(239B) when needed for participation in parenting skills training and not available from another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Other expenses. Payment for tuition, fees, or books and supplies shall be made only when parenting skills training is not available from a free source in the local area. PROMISE JOBS shall not pay for any expenses that are covered by student financial aid in postsecondary educational institutions as provided elsewhere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Continuation of payments. If the participant chooses to continue with the parenting skills training program beyond the designated period of participation described in paragraphs </w:t>
      </w:r>
      <w:r>
        <w:rPr>
          <w:rFonts w:ascii="Times New Roman" w:hAnsi="Times New Roman"/>
          <w:b w:val="false"/>
          <w:i w:val="false"/>
          <w:color w:val="000000"/>
          <w:sz w:val="22"/>
        </w:rPr>
        <w:t>93.9(1)</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PROMISE JOBS responsibility for payment of expense payments shall not extend beyond the designated period unless completion is delayed by acceptable instances for nonparticipation as stipulated in rule </w:t>
      </w:r>
      <w:hyperlink r:id="rId94">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or barriers to participation in subrule </w:t>
      </w:r>
      <w:r>
        <w:rPr>
          <w:rFonts w:ascii="Times New Roman" w:hAnsi="Times New Roman"/>
          <w:b w:val="false"/>
          <w:i w:val="false"/>
          <w:color w:val="000000"/>
          <w:sz w:val="22"/>
        </w:rPr>
        <w:t>93.4(5)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Participation in parenting skills training. The planned duration of the parenting skills training shall be determined by agreement between the participant and the training provider within the limits described in paragraphs </w:t>
      </w:r>
      <w:r>
        <w:rPr>
          <w:rFonts w:ascii="Times New Roman" w:hAnsi="Times New Roman"/>
          <w:b w:val="false"/>
          <w:i w:val="false"/>
          <w:color w:val="000000"/>
          <w:sz w:val="22"/>
        </w:rPr>
        <w:t>93.9(1)</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consultation with the PROMISE JOBS worker, the participant and the provider shall design a written agreement and provide a copy to PROMISE JOBS. The agreement shall designate the period during which the mandatory parenting skills training requirement will be fulfilled. The period specified in the agreement or notice of decision shall be included in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Participants who fail to carry out this step in the FIA shall be considered to have chosen the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complete parenting skills training. Parents aged 19 or younger who do not include parenting skills training in the FIA or do not carry out the parenting skills training described in the FIA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95">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96">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93.9(2)</w:t>
      </w:r>
      <w:r>
        <w:rPr>
          <w:rFonts w:ascii="Times New Roman" w:hAnsi="Times New Roman"/>
          <w:b w:val="false"/>
          <w:i w:val="false"/>
          <w:color w:val="000000"/>
          <w:sz w:val="22"/>
        </w:rPr>
        <w:t> </w:t>
      </w:r>
      <w:r>
        <w:rPr>
          <w:rFonts w:ascii="Times New Roman" w:hAnsi="Times New Roman"/>
          <w:b w:val="false"/>
          <w:i/>
          <w:color w:val="000000"/>
          <w:sz w:val="22"/>
        </w:rPr>
        <w:t xml:space="preserve">Family development. </w:t>
      </w:r>
      <w:r>
        <w:rPr>
          <w:rFonts w:ascii="Times New Roman" w:hAnsi="Times New Roman"/>
          <w:b w:val="false"/>
          <w:i w:val="false"/>
          <w:color w:val="000000"/>
          <w:sz w:val="22"/>
        </w:rPr>
        <w:t>Family development services are support services for PROMISE JOBS families in need of additional assistance, primarily provided by the FaDSS program operated by the department. The services are designed to promote, empower, and nurture the family to self-sufficiency and healthy reintegration into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PROMISE JOBS may arrange for these services from entities that meet one of the following criteria wherever these are available. Family development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Provided by a FaDSS grantee;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Provided by a specialist that has been certified through the National Resource Center on Family Based Services at the University of Iowa College of Social Work or the National Family Support Certification Exam through the Institute for the Advancement of Family Support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Inclusion of family development services by participants as an FIA activity is voluntary except for parents under the age of 18 who are not married and who do not live with a parent or legal guardian as described in subparagraph </w:t>
      </w:r>
      <w:r>
        <w:rPr>
          <w:rFonts w:ascii="Times New Roman" w:hAnsi="Times New Roman"/>
          <w:b w:val="false"/>
          <w:i w:val="false"/>
          <w:color w:val="000000"/>
          <w:sz w:val="22"/>
        </w:rPr>
        <w:t>93.4(4)</w:t>
      </w:r>
      <w:r>
        <w:rPr>
          <w:rFonts w:ascii="Times New Roman" w:hAnsi="Times New Roman"/>
          <w:b w:val="false"/>
          <w:i/>
          <w:color w:val="000000"/>
          <w:sz w:val="22"/>
        </w:rPr>
        <w:t>“c”</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93.9(3)</w:t>
      </w:r>
      <w:r>
        <w:rPr>
          <w:rFonts w:ascii="Times New Roman" w:hAnsi="Times New Roman"/>
          <w:b w:val="false"/>
          <w:i w:val="false"/>
          <w:color w:val="000000"/>
          <w:sz w:val="22"/>
        </w:rPr>
        <w:t> </w:t>
      </w:r>
      <w:r>
        <w:rPr>
          <w:rFonts w:ascii="Times New Roman" w:hAnsi="Times New Roman"/>
          <w:b w:val="false"/>
          <w:i/>
          <w:color w:val="000000"/>
          <w:sz w:val="22"/>
        </w:rPr>
        <w:t xml:space="preserve">Family planning counseling. </w:t>
      </w:r>
      <w:r>
        <w:rPr>
          <w:rFonts w:ascii="Times New Roman" w:hAnsi="Times New Roman"/>
          <w:b w:val="false"/>
          <w:i w:val="false"/>
          <w:color w:val="000000"/>
          <w:sz w:val="22"/>
        </w:rPr>
        <w:t>Referral for family planning counseling is an optional service that shall be offered to each applicant or participant. It is not a component of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PROMISE JOBS worker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Discuss orally and in writing the financial implications of newly born children on the participant’s family during PROMISE JOBS orientation or assessment, using a form approved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 the participant in locating local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FIA shall record participant response to the option of referral for family planning counseling. It is not acceptable for the FIA to have family planning counseling as the only step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Supportive payments. No supportive payments are allowed for family planning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Participation. LBP policies do not apply to participants who choose not to include family planning counseling in the FIA or who do not carry out the steps of family planning counseling.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441—93.10</w:t>
      </w:r>
      <w:r>
        <w:rPr>
          <w:rFonts w:ascii="Times New Roman" w:hAnsi="Times New Roman"/>
          <w:b/>
          <w:i w:val="false"/>
          <w:color w:val="000000"/>
          <w:sz w:val="22"/>
        </w:rPr>
        <w:t xml:space="preserve">(239B) </w:t>
      </w:r>
      <w:r>
        <w:rPr>
          <w:rFonts w:ascii="Times New Roman" w:hAnsi="Times New Roman"/>
          <w:b/>
          <w:i w:val="false"/>
          <w:color w:val="000000"/>
          <w:sz w:val="22"/>
        </w:rPr>
        <w:t xml:space="preserve">Required documentation and verification.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93.10(1)</w:t>
      </w:r>
      <w:r>
        <w:rPr>
          <w:rFonts w:ascii="Times New Roman" w:hAnsi="Times New Roman"/>
          <w:b w:val="false"/>
          <w:i w:val="false"/>
          <w:color w:val="000000"/>
          <w:sz w:val="22"/>
        </w:rPr>
        <w:t> </w:t>
      </w:r>
      <w:r>
        <w:rPr>
          <w:rFonts w:ascii="Times New Roman" w:hAnsi="Times New Roman"/>
          <w:b w:val="false"/>
          <w:i/>
          <w:color w:val="000000"/>
          <w:sz w:val="22"/>
        </w:rPr>
        <w:t xml:space="preserve">Written notification to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meetings, assignments, and issues. </w:t>
      </w:r>
      <w:r>
        <w:rPr>
          <w:rFonts w:ascii="Times New Roman" w:hAnsi="Times New Roman"/>
          <w:b w:val="false"/>
          <w:i w:val="false"/>
          <w:color w:val="000000"/>
          <w:sz w:val="22"/>
        </w:rPr>
        <w:t xml:space="preserve">PROMISE JOBS shall notify participants in writing of all scheduled meetings, of FIA activity and work-site assignments, and of any participation issues as described in rule </w:t>
      </w:r>
      <w:hyperlink r:id="rId97">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PROMISE JOBS shall also notify the participant in writing when the participant is required to provide medical documentation, verification of hours of participation, employment verification, or any other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PROMISE JOBS shall allow a participant ten calendar days from the date notice is mailed to appear for scheduled meetings unless the participant agrees to an appointment that is scheduled to take place in less than ten calendar days.  If the tenth calendar day falls on a weekend or state holiday, the participant has until the next working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PROMISE JOBS shall allow a participant ten calendar days from the date notice is mailed to appear for an FIA activity or work-site assignment or to provide medical documentation, employment verification, or any other verification, except as otherwise specified in subrule </w:t>
      </w:r>
      <w:hyperlink r:id="rId98">
        <w:r>
          <w:rPr>
            <w:rStyle w:val="Hyperlink"/>
            <w:rFonts w:ascii="Times New Roman" w:hAnsi="Times New Roman"/>
            <w:b w:val="false"/>
            <w:i w:val="false"/>
            <w:color w:val="000000"/>
            <w:sz w:val="22"/>
          </w:rPr>
          <w:t>93.10(2)</w:t>
        </w:r>
      </w:hyperlink>
      <w:r>
        <w:rPr>
          <w:rFonts w:ascii="Times New Roman" w:hAnsi="Times New Roman"/>
          <w:b w:val="false"/>
          <w:i w:val="false"/>
          <w:color w:val="000000"/>
          <w:sz w:val="22"/>
        </w:rPr>
        <w:t>.  If the tenth calendar day falls on a weekend or state holiday, the participant has until the next working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PROMISE JOBS shall allow additional time upon request from the participant when the participant is making every effort but is unable to fulfill requirements within the established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w:t>
      </w:r>
      <w:r>
        <w:rPr>
          <w:rFonts w:ascii="Times New Roman" w:hAnsi="Times New Roman"/>
          <w:b w:val="false"/>
          <w:i w:val="false"/>
          <w:color w:val="000000"/>
          <w:sz w:val="22"/>
        </w:rPr>
        <w:t xml:space="preserve">PROMISE JOBS shall send written notice to each participant in accordance with </w:t>
      </w:r>
      <w:hyperlink r:id="rId99">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when services are approved, rejected, renewed, changed, canceled, or terminated for failure to cooperate or participate. PROMISE JOBS services are approved when the participant is assigned to begin participation in an activity as written in the FIA.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93.10(2)</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participation and progress. </w:t>
      </w:r>
      <w:r>
        <w:rPr>
          <w:rFonts w:ascii="Times New Roman" w:hAnsi="Times New Roman"/>
          <w:b w:val="false"/>
          <w:i w:val="false"/>
          <w:color w:val="000000"/>
          <w:sz w:val="22"/>
        </w:rPr>
        <w:t xml:space="preserve">Hours of participation and a participant’s progress in FIA activities must be documented and verified. When the participant is responsible for providing the verification, PROMISE JOBS shall notify the participant in writing as required in subrule </w:t>
      </w:r>
      <w:r>
        <w:rPr>
          <w:rFonts w:ascii="Times New Roman" w:hAnsi="Times New Roman"/>
          <w:b w:val="false"/>
          <w:i w:val="false"/>
          <w:color w:val="000000"/>
          <w:sz w:val="22"/>
        </w:rPr>
        <w:t>93.10(1)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FIA activities directly monitored by PROMISE JOBS. </w:t>
      </w:r>
      <w:r>
        <w:rPr>
          <w:rFonts w:ascii="Times New Roman" w:hAnsi="Times New Roman"/>
          <w:b w:val="false"/>
          <w:i w:val="false"/>
          <w:color w:val="000000"/>
          <w:sz w:val="22"/>
        </w:rPr>
        <w:t>When the FIA activities are provided or directly monitored by PROMISE JOBS staff, such as job readiness skills training or structured job search, the staff shall document the participant’s hours of attendance and progress in the case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FIA activities not directly monitored by PROMISE JOBS. </w:t>
      </w:r>
      <w:r>
        <w:rPr>
          <w:rFonts w:ascii="Times New Roman" w:hAnsi="Times New Roman"/>
          <w:b w:val="false"/>
          <w:i w:val="false"/>
          <w:color w:val="000000"/>
          <w:sz w:val="22"/>
        </w:rPr>
        <w:t>When FIA activities are provided by a service provider other than PROMISE JOBS, the provider shall verify the participant’s hours of attendance with a form prescribed by the department unless another method is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is expected to specify the participant’s hours of attendance and to sign and date the Time and Attendance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participant is responsible for providing the signed and dated Time and Attendance form to PROMISE JOBS within ten calendar days following the end of each month, unless the provider provides the form to PROMISE JOBS within this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Exception: If the participant is under age 20 and in high school or high school equivalency classes, the participant may verify the hours by completing and submitting a form prescribed by the department, Time and Attendance, monthly. The training provider does not need to sign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job search. </w:t>
      </w:r>
      <w:r>
        <w:rPr>
          <w:rFonts w:ascii="Times New Roman" w:hAnsi="Times New Roman"/>
          <w:b w:val="false"/>
          <w:i w:val="false"/>
          <w:color w:val="000000"/>
          <w:sz w:val="22"/>
        </w:rPr>
        <w:t>The participant shall complete and provide documentation of any job search activities that cannot be verified by the PROMISE JOBS worker. The participant shall provide a form prescribed by the department within ten calendar days following the end of each month during which the participant has made a job search. The PROMISE JOBS worker shall consider the Job Search Activity Log complete if the form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Sufficient information to identify the employer that was contacted or the activity that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that the contact was made or the date the activity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time spent,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participant’s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Employment verification. </w:t>
      </w:r>
      <w:r>
        <w:rPr>
          <w:rFonts w:ascii="Times New Roman" w:hAnsi="Times New Roman"/>
          <w:b w:val="false"/>
          <w:i w:val="false"/>
          <w:color w:val="000000"/>
          <w:sz w:val="22"/>
        </w:rPr>
        <w:t>Participants shall verify actual hours of employment at the time that employment begins, upon FIP approval if employed at the time of application, when changes in hours occur, and no less than once every six months thereafter. Participants may use copies of pay stubs, an employer statement of earnings, or may sign a release of information prescribed by the department so that the employer may provide information directly to the PROMISE JOBS worker. Participants shall provide verification of actual hours of employment within ten calendar days of the written request from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self-employment. </w:t>
      </w:r>
      <w:r>
        <w:rPr>
          <w:rFonts w:ascii="Times New Roman" w:hAnsi="Times New Roman"/>
          <w:b w:val="false"/>
          <w:i w:val="false"/>
          <w:color w:val="000000"/>
          <w:sz w:val="22"/>
        </w:rPr>
        <w:t>At the time of the participant’s FIA review, a self-employed participant shall provide documentation of actual hours worked and gross income and business expenses from the last 30 days. Data from more than 30 days may be requested if the last month is not indicative of normal business. The participant shall provide documentation within ten calendar days of the written request from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Distance learning. </w:t>
      </w:r>
      <w:r>
        <w:rPr>
          <w:rFonts w:ascii="Times New Roman" w:hAnsi="Times New Roman"/>
          <w:b w:val="false"/>
          <w:i w:val="false"/>
          <w:color w:val="000000"/>
          <w:sz w:val="22"/>
        </w:rPr>
        <w:t>When a participant is involved in a distance-learning program, PROMISE JOBS will accept the documentation issued by the distance-learning institution verifying that the student participated in the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may include the attendance records or log-in and log-out records available online or in an electronic format. Documentation may also be obtained through an agreement with a support agency that monitors the student’s actual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participant is responsible for providing the documentation within ten calendar days following the end of each month unless the institution provides the documentation to PROMISE JOBS within this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Failure to provide required documentation or verification. </w:t>
      </w:r>
      <w:r>
        <w:rPr>
          <w:rFonts w:ascii="Times New Roman" w:hAnsi="Times New Roman"/>
          <w:b w:val="false"/>
          <w:i w:val="false"/>
          <w:color w:val="000000"/>
          <w:sz w:val="22"/>
        </w:rPr>
        <w:t xml:space="preserve">Participants who fail to provide documentation or verification as described in this subrule after written notification from PROMISE JOBS as described in subrule </w:t>
      </w:r>
      <w:r>
        <w:rPr>
          <w:rFonts w:ascii="Times New Roman" w:hAnsi="Times New Roman"/>
          <w:b w:val="false"/>
          <w:i w:val="false"/>
          <w:color w:val="000000"/>
          <w:sz w:val="22"/>
        </w:rPr>
        <w:t>93.10(1)</w:t>
      </w:r>
      <w:r>
        <w:rPr>
          <w:rFonts w:ascii="Times New Roman" w:hAnsi="Times New Roman"/>
          <w:b w:val="false"/>
          <w:i w:val="false"/>
          <w:color w:val="000000"/>
          <w:sz w:val="22"/>
        </w:rPr>
        <w:t xml:space="preserve"> shall be considered to have chosen the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100">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(239B) and </w:t>
      </w:r>
      <w:hyperlink r:id="rId101">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93.10(3)</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problems or barriers. </w:t>
      </w:r>
      <w:r>
        <w:rPr>
          <w:rFonts w:ascii="Times New Roman" w:hAnsi="Times New Roman"/>
          <w:b w:val="false"/>
          <w:i w:val="false"/>
          <w:color w:val="000000"/>
          <w:sz w:val="22"/>
        </w:rPr>
        <w:t>Participants may be required to provide written verification or supporting documentation of reported problems or barriers to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Medical documentation. </w:t>
      </w:r>
      <w:r>
        <w:rPr>
          <w:rFonts w:ascii="Times New Roman" w:hAnsi="Times New Roman"/>
          <w:b w:val="false"/>
          <w:i w:val="false"/>
          <w:color w:val="000000"/>
          <w:sz w:val="22"/>
        </w:rPr>
        <w:t>A participant shall secure and provide written documentation signed by a qualified medical or mental health professional to verify a claimed illness or disability within ten calendar days of a written request by PROMISE JOBS. This time limit may be extended due to individual circumstances, such as the need to obtain an updated evaluation. Acceptable verification includes a form prescribed by the department  or other statement signed by a qualified medical or mental health professional to verify the existence of an illness, disability, or limitation.  If the tenth calendar day falls on a weekend or state holiday, the participant has until the next working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documentation. </w:t>
      </w:r>
      <w:r>
        <w:rPr>
          <w:rFonts w:ascii="Times New Roman" w:hAnsi="Times New Roman"/>
          <w:b w:val="false"/>
          <w:i w:val="false"/>
          <w:color w:val="000000"/>
          <w:sz w:val="22"/>
        </w:rPr>
        <w:t>A participant shall secure and provide written documentation to verify a claimed problem or barrier to participation within ten calendar days of a written request by PROMISE JOBS. Acceptable documentation may include a signed statement from a third party with knowledge of the problem or barrier.  If the tenth calendar day falls on a weekend or state holiday, the participant has until the next working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verify problem or barrier or to provide medical documentation. </w:t>
      </w:r>
      <w:r>
        <w:rPr>
          <w:rFonts w:ascii="Times New Roman" w:hAnsi="Times New Roman"/>
          <w:b w:val="false"/>
          <w:i w:val="false"/>
          <w:color w:val="000000"/>
          <w:sz w:val="22"/>
        </w:rPr>
        <w:t xml:space="preserve">Failure to provide verification of a problem or barrier or to provide medical documentation as described in subrule </w:t>
      </w:r>
      <w:r>
        <w:rPr>
          <w:rFonts w:ascii="Times New Roman" w:hAnsi="Times New Roman"/>
          <w:b w:val="false"/>
          <w:i w:val="false"/>
          <w:color w:val="000000"/>
          <w:sz w:val="22"/>
        </w:rPr>
        <w:t>93.10(3)</w:t>
      </w:r>
      <w:r>
        <w:rPr>
          <w:rFonts w:ascii="Times New Roman" w:hAnsi="Times New Roman"/>
          <w:b w:val="false"/>
          <w:i w:val="false"/>
          <w:color w:val="000000"/>
          <w:sz w:val="22"/>
        </w:rPr>
        <w:t xml:space="preserve"> does not directly result in the imposition of an LBP. Examples of actions that do not directly result in LBP include but are not limited to failure to provide a form prescribed by the department or other statement from a medical or mental health professional to verify the existence of an illness or disability, or a statement from a third party with knowledge about the problem or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Participants who claim an inability to participate on a full-time basis due to a claimed problem or barrier and who fail to provide verification or medical documentation upon written request may be required to renegotiate the FIA to include full-time participation in FIA activities. Failure to renegotiate the FIA may result in an LBP. Procedures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and rules </w:t>
      </w:r>
      <w:hyperlink r:id="rId102">
        <w:r>
          <w:rPr>
            <w:rStyle w:val="Hyperlink"/>
            <w:rFonts w:ascii="Times New Roman" w:hAnsi="Times New Roman"/>
            <w:b w:val="false"/>
            <w:i w:val="false"/>
            <w:color w:val="000000"/>
            <w:sz w:val="22"/>
          </w:rPr>
          <w:t>441—93.13</w:t>
        </w:r>
      </w:hyperlink>
      <w:r>
        <w:rPr>
          <w:rFonts w:ascii="Times New Roman" w:hAnsi="Times New Roman"/>
          <w:b w:val="false"/>
          <w:i w:val="false"/>
          <w:color w:val="000000"/>
          <w:sz w:val="22"/>
        </w:rPr>
        <w:t xml:space="preserve">(239B) and </w:t>
      </w:r>
      <w:hyperlink r:id="rId103">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Participants who claim a problem or barrier caused their failure to participate for the full number of hours identified in their FIA and who fail to provide verification of the problem or barrier or medical documentation upon written request may not be excused for the failure to participate. If the failure is not excused, the failure will result in imposition of an LBP if the failure meets the criteria described in subrule </w:t>
      </w:r>
      <w:hyperlink r:id="rId104">
        <w:r>
          <w:rPr>
            <w:rStyle w:val="Hyperlink"/>
            <w:rFonts w:ascii="Times New Roman" w:hAnsi="Times New Roman"/>
            <w:b w:val="false"/>
            <w:i w:val="false"/>
            <w:color w:val="000000"/>
            <w:sz w:val="22"/>
          </w:rPr>
          <w:t>93.13(2)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441—93.11</w:t>
      </w:r>
      <w:r>
        <w:rPr>
          <w:rFonts w:ascii="Times New Roman" w:hAnsi="Times New Roman"/>
          <w:b/>
          <w:i w:val="false"/>
          <w:color w:val="000000"/>
          <w:sz w:val="22"/>
        </w:rPr>
        <w:t xml:space="preserve">(239B) </w:t>
      </w:r>
      <w:r>
        <w:rPr>
          <w:rFonts w:ascii="Times New Roman" w:hAnsi="Times New Roman"/>
          <w:b/>
          <w:i w:val="false"/>
          <w:color w:val="000000"/>
          <w:sz w:val="22"/>
        </w:rPr>
        <w:t xml:space="preserve">Supportive payments. </w:t>
      </w:r>
      <w:r>
        <w:rPr>
          <w:rFonts w:ascii="Times New Roman" w:hAnsi="Times New Roman"/>
          <w:b w:val="false"/>
          <w:i w:val="false"/>
          <w:color w:val="000000"/>
          <w:sz w:val="22"/>
        </w:rPr>
        <w:t>In order to facilitate successful participation, PROMISE JOBS may provide payment for the expenses listed in this rule. Upon written request from PROMISE JOBS, participants shall submit a form prescribed by the department, or other acceptable estimate of costs, to initiate payments or change the amount of payment for expenses other than child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93.11(1)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Participants are eligible for supportive payments needed for participation in activities in their FIA, subject to the limits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in an LBP who must complete significant contact with or action in regard to PROMISE JOBS for FIP eligibility to be considered as described in paragraphs </w:t>
      </w:r>
      <w:hyperlink r:id="rId105">
        <w:r>
          <w:rPr>
            <w:rStyle w:val="Hyperlink"/>
            <w:rFonts w:ascii="Times New Roman" w:hAnsi="Times New Roman"/>
            <w:b w:val="false"/>
            <w:i w:val="false"/>
            <w:color w:val="000000"/>
            <w:sz w:val="22"/>
          </w:rPr>
          <w:t>441—41.24</w:t>
        </w:r>
      </w:hyperlink>
      <w:r>
        <w:rPr>
          <w:rFonts w:ascii="Times New Roman" w:hAnsi="Times New Roman"/>
          <w:b w:val="false"/>
          <w:i w:val="false"/>
          <w:color w:val="000000"/>
          <w:sz w:val="22"/>
        </w:rPr>
        <w:t>(8)</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are eligible for expense payments for the 20 hours of activity. However, PROMISE JOBS services and supportive payments are only available when it appears the applicant will otherwise be eligible for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have received 60 months of FIP are eligible for PROMISE JOBS services and payments under the circumstances described in </w:t>
      </w:r>
      <w:hyperlink r:id="rId106">
        <w:r>
          <w:rPr>
            <w:rStyle w:val="Hyperlink"/>
            <w:rFonts w:ascii="Times New Roman" w:hAnsi="Times New Roman"/>
            <w:b w:val="false"/>
            <w:i w:val="false"/>
            <w:color w:val="000000"/>
            <w:sz w:val="22"/>
          </w:rPr>
          <w:t>441—subrule 41.30(3)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93.11(2)</w:t>
      </w:r>
      <w:r>
        <w:rPr>
          <w:rFonts w:ascii="Times New Roman" w:hAnsi="Times New Roman"/>
          <w:b w:val="false"/>
          <w:i w:val="false"/>
          <w:color w:val="000000"/>
          <w:sz w:val="22"/>
        </w:rPr>
        <w:t> </w:t>
      </w:r>
      <w:r>
        <w:rPr>
          <w:rFonts w:ascii="Times New Roman" w:hAnsi="Times New Roman"/>
          <w:b w:val="false"/>
          <w:i/>
          <w:color w:val="000000"/>
          <w:sz w:val="22"/>
        </w:rPr>
        <w:t xml:space="preserve">Child care. </w:t>
      </w:r>
      <w:r>
        <w:rPr>
          <w:rFonts w:ascii="Times New Roman" w:hAnsi="Times New Roman"/>
          <w:b w:val="false"/>
          <w:i w:val="false"/>
          <w:color w:val="000000"/>
          <w:sz w:val="22"/>
        </w:rPr>
        <w:t xml:space="preserve">Payments for child care shall be issued through the child care assistance program as described in </w:t>
      </w:r>
      <w:hyperlink r:id="rId107">
        <w:r>
          <w:rPr>
            <w:rStyle w:val="Hyperlink"/>
            <w:rFonts w:ascii="Times New Roman" w:hAnsi="Times New Roman"/>
            <w:b w:val="false"/>
            <w:i w:val="false"/>
            <w:color w:val="000000"/>
            <w:sz w:val="22"/>
          </w:rPr>
          <w:t>441—Chapter 170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shall be provided for child care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Care is needed for participation in any PROMISE JOBS activity other than orientation or assessment activities that occur before the FIA is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is not specifically prohibited elsewhere in these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is not available from another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shall be issued to the child care provider after the service has been received, as described in </w:t>
      </w:r>
      <w:hyperlink r:id="rId108">
        <w:r>
          <w:rPr>
            <w:rStyle w:val="Hyperlink"/>
            <w:rFonts w:ascii="Times New Roman" w:hAnsi="Times New Roman"/>
            <w:b w:val="false"/>
            <w:i w:val="false"/>
            <w:color w:val="000000"/>
            <w:sz w:val="22"/>
          </w:rPr>
          <w:t>441—subrule 170.4(7)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93.11(3)</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Participants may receive a transportation payment for each day that transportation is needed for participation in a PROMISE JOBS activity. Transportation payments shall be determined according to the circumstances of each participant. If necessary, payments shall cover transportation for the participant and child from the participant’s home to the child care provider and to the PROMISE JOBS site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transportation payment is not available for orientation or for assessment activities that occur before the FIA is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transportation payment is not available for employment. Participants who are employed shall be entitled to the earned income deduction described at </w:t>
      </w:r>
      <w:hyperlink r:id="rId109">
        <w:r>
          <w:rPr>
            <w:rStyle w:val="Hyperlink"/>
            <w:rFonts w:ascii="Times New Roman" w:hAnsi="Times New Roman"/>
            <w:b w:val="false"/>
            <w:i w:val="false"/>
            <w:color w:val="000000"/>
            <w:sz w:val="22"/>
          </w:rPr>
          <w:t>441—paragraph 41.27(2)</w:t>
        </w:r>
      </w:hyperlink>
      <w:r>
        <w:rPr>
          <w:rFonts w:ascii="Times New Roman" w:hAnsi="Times New Roman"/>
          <w:b w:val="false"/>
          <w:i/>
          <w:color w:val="000000"/>
          <w:sz w:val="22"/>
        </w:rPr>
        <w:t>“a”</w:t>
      </w:r>
      <w:r>
        <w:rPr>
          <w:rFonts w:ascii="Times New Roman" w:hAnsi="Times New Roman"/>
          <w:b w:val="false"/>
          <w:i w:val="false"/>
          <w:color w:val="000000"/>
          <w:sz w:val="22"/>
        </w:rPr>
        <w:t xml:space="preserve"> to cover transportation costs associated with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Rate of payment. </w:t>
      </w:r>
      <w:r>
        <w:rPr>
          <w:rFonts w:ascii="Times New Roman" w:hAnsi="Times New Roman"/>
          <w:b w:val="false"/>
          <w:i w:val="false"/>
          <w:color w:val="000000"/>
          <w:sz w:val="22"/>
        </w:rPr>
        <w:t>Payments shall not exceed the rate that the provider would charge a private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Public transportation. For those who use public transportation, the payment shall be based on the normally scheduled days of participation in the PROMISE JOBS activity for the period covered by the payment, using the rate schedules of the local transit authority to the greatest advantage, including use of weekly and monthly passes or other rate reduction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transportation. For participants who use a privately owned motor vehicle or who hire private transportation, the transportation payment shall be based on a formula that uses the normally scheduled days of participation in the PROMISE JOBS activity for the period covered by the payment multiplied by the participant’s anticipated daily round-trip miles and then multiplied by the current state employee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transportation needs. </w:t>
      </w:r>
      <w:r>
        <w:rPr>
          <w:rFonts w:ascii="Times New Roman" w:hAnsi="Times New Roman"/>
          <w:b w:val="false"/>
          <w:i w:val="false"/>
          <w:color w:val="000000"/>
          <w:sz w:val="22"/>
        </w:rPr>
        <w:t>Participants who require, due to a mental or physical disability, a mode of transportation other than a vehicle they operate themselves shall be eligible for payment of a supplemental transportation payment when documented actual transportation costs are greater than transportation payments provided under these rules and transportation is not available from another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evidence. To be eligible for a supplemental payment, the participant must provide medical evidence of the need for an alternate mode of transportation due to disability or incapacity. The evidence must be from a qualified medical or mental health professional, the state rehabilitation agency, or proof that the participant receives SSI or social security benefits due to disability or blindness.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rates. Actual costs of transportation by a public or private agency shall be allowed. Costs of transportation provided by private automobile shall be allowed as described in subparagraph </w:t>
      </w:r>
      <w:r>
        <w:rPr>
          <w:rFonts w:ascii="Times New Roman" w:hAnsi="Times New Roman"/>
          <w:b w:val="false"/>
          <w:i w:val="false"/>
          <w:color w:val="000000"/>
          <w:sz w:val="22"/>
        </w:rPr>
        <w:t>93.11(3)</w:t>
      </w:r>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Issuance of payments. </w:t>
      </w:r>
      <w:r>
        <w:rPr>
          <w:rFonts w:ascii="Times New Roman" w:hAnsi="Times New Roman"/>
          <w:b w:val="false"/>
          <w:i w:val="false"/>
          <w:color w:val="000000"/>
          <w:sz w:val="22"/>
        </w:rPr>
        <w:t>The transportation payment shall be issued before the first scheduled day of participation in an activity. For participants in the same activity for more than one month, transportation payments shall be issued before the first day of the month of scheduled participation except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for the third and subsequent months of an ongoing activity shall not be authorized before receipt of time and attendance verification, as described in subrule </w:t>
      </w:r>
      <w:r>
        <w:rPr>
          <w:rFonts w:ascii="Times New Roman" w:hAnsi="Times New Roman"/>
          <w:b w:val="false"/>
          <w:i w:val="false"/>
          <w:color w:val="000000"/>
          <w:sz w:val="22"/>
        </w:rPr>
        <w:t>93.10(2)</w:t>
      </w:r>
      <w:r>
        <w:rPr>
          <w:rFonts w:ascii="Times New Roman" w:hAnsi="Times New Roman"/>
          <w:b w:val="false"/>
          <w:i w:val="false"/>
          <w:color w:val="000000"/>
          <w:sz w:val="22"/>
        </w:rPr>
        <w:t>, for the month before the issuance month. Example: A transportation payment for June, normally issued after May 15 to be available to the participant by June 1, will not be authorized until time and attendance verification for the month of April has been received in the PROMISE JOBS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amounts of payments for the third and subsequent months of an ongoing activity shall be adjusted by subtracting from normally scheduled days any number of days that represents a difference between the number of scheduled days of activity in the month before the issuance month and the number of actual days attended in that month. Example: A transportation payment is issued in May based on 16 scheduled days of participation for June. The participant attends only 14 days of the activity. When preparing to issue the August transportation allowance, the worker subtracts two days from the normally scheduled August activities to calculate the payment. If ten days of participation are scheduled, the transportation payment issued in July for August is calculated using eight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Because adjustment for actual attendance is not possible in the last two months of an ongoing activity, transportation payments for the last two months of an ongoing activity will be subject to transportation overpayment provisions of subrule </w:t>
      </w:r>
      <w:r>
        <w:rPr>
          <w:rFonts w:ascii="Times New Roman" w:hAnsi="Times New Roman"/>
          <w:b w:val="false"/>
          <w:i w:val="false"/>
          <w:color w:val="000000"/>
          <w:sz w:val="22"/>
        </w:rPr>
        <w:t>93.12(1)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A transportation overpayment does not occur for any month in which the participant leaves the PROMISE JOBS activity in order to enter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93.11(4)</w:t>
      </w:r>
      <w:r>
        <w:rPr>
          <w:rFonts w:ascii="Times New Roman" w:hAnsi="Times New Roman"/>
          <w:b w:val="false"/>
          <w:i w:val="false"/>
          <w:color w:val="000000"/>
          <w:sz w:val="22"/>
        </w:rPr>
        <w:t> </w:t>
      </w:r>
      <w:r>
        <w:rPr>
          <w:rFonts w:ascii="Times New Roman" w:hAnsi="Times New Roman"/>
          <w:b w:val="false"/>
          <w:i/>
          <w:color w:val="000000"/>
          <w:sz w:val="22"/>
        </w:rPr>
        <w:t xml:space="preserve">Training and education expenses. </w:t>
      </w:r>
      <w:r>
        <w:rPr>
          <w:rFonts w:ascii="Times New Roman" w:hAnsi="Times New Roman"/>
          <w:b w:val="false"/>
          <w:i w:val="false"/>
          <w:color w:val="000000"/>
          <w:sz w:val="22"/>
        </w:rPr>
        <w:t>Participants shall use PROMISE JOBS payments that they receive to pay authorized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Classroom training. </w:t>
      </w:r>
      <w:r>
        <w:rPr>
          <w:rFonts w:ascii="Times New Roman" w:hAnsi="Times New Roman"/>
          <w:b w:val="false"/>
          <w:i w:val="false"/>
          <w:color w:val="000000"/>
          <w:sz w:val="22"/>
        </w:rPr>
        <w:t>PROMISE JOBS payments for classroom training are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Tuition payments for high school or high school equivalency completion, ABE, ESL, or short-term training programs of 29 weeks or less shall not exceed the rate charged by the Iowa community college located nearest the participant’s residence that offers a course or program comparable to the one in which the participant plans to enroll. If an Iowa community college does not offer a comparable program, the maximum tuition rate payment shall not exceed the Iowa resident rate charged by the out-of-state area school located nearest the participant’s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standard payment for actual costs of basic school supplies once per term shall be allowed for those participants who request it. Actual costs must be verified by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 diem payment of $10 for living costs during a practicum shall be allowed when the practicum is required by the curriculum of the training facility, would require a round-trip commuting time of three hours or more per day, and is not available closer to the participant’s home. If practicum earnings or other assistance is available to meet practicum living costs, no payment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may be authorized to meet the costs of travel required for certification and testing, not to exceed the transportation payment as described in subrule </w:t>
      </w:r>
      <w:r>
        <w:rPr>
          <w:rFonts w:ascii="Times New Roman" w:hAnsi="Times New Roman"/>
          <w:b w:val="false"/>
          <w:i w:val="false"/>
          <w:color w:val="000000"/>
          <w:sz w:val="22"/>
        </w:rPr>
        <w:t>93.11(3)</w:t>
      </w:r>
      <w:r>
        <w:rPr>
          <w:rFonts w:ascii="Times New Roman" w:hAnsi="Times New Roman"/>
          <w:b w:val="false"/>
          <w:i w:val="false"/>
          <w:color w:val="000000"/>
          <w:sz w:val="22"/>
        </w:rPr>
        <w:t xml:space="preserve"> and the current state employee reimbursement rate for meals and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payment shall be made for jewelry, pictures, rental of graduation gowns, elective courses that require expenditures for field trips or special equipment, such as photography or art supplies, or other items that are not required to complete training for a vocational goal.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Retroactive payments. </w:t>
      </w:r>
      <w:r>
        <w:rPr>
          <w:rFonts w:ascii="Times New Roman" w:hAnsi="Times New Roman"/>
          <w:b w:val="false"/>
          <w:i w:val="false"/>
          <w:color w:val="000000"/>
          <w:sz w:val="22"/>
        </w:rPr>
        <w:t>Retroactive payments for transportation and allowable direct education costs shall be allowed only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plan approval or removal from a waiting list occurs after the start of the term due to administrative delay or worker delay, payments shall be approved retroactive to the start of the term for which the plan is approved or removal from the waiting list is authorized. If the participant has already paid costs with private resources, the participant shall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plan approval is delayed due to the fault of the participant, payment eligibility shall begin with the first day of the month during which the plan is approved or the month in which the participant is removed from a waiting list as described in paragraph </w:t>
      </w:r>
      <w:r>
        <w:rPr>
          <w:rFonts w:ascii="Times New Roman" w:hAnsi="Times New Roman"/>
          <w:b w:val="false"/>
          <w:i w:val="false"/>
          <w:color w:val="000000"/>
          <w:sz w:val="22"/>
        </w:rPr>
        <w:t>93.4(4)</w:t>
      </w:r>
      <w:r>
        <w:rPr>
          <w:rFonts w:ascii="Times New Roman" w:hAnsi="Times New Roman"/>
          <w:b w:val="false"/>
          <w:i/>
          <w:color w:val="000000"/>
          <w:sz w:val="22"/>
        </w:rPr>
        <w:t>“e,”</w:t>
      </w:r>
      <w:r>
        <w:rPr>
          <w:rFonts w:ascii="Times New Roman" w:hAnsi="Times New Roman"/>
          <w:b w:val="false"/>
          <w:i w:val="false"/>
          <w:color w:val="000000"/>
          <w:sz w:val="22"/>
        </w:rPr>
        <w:t xml:space="preserve"> whichever is later. In this instance, there shall be no reimbursement for costs already paid by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Receipts. </w:t>
      </w:r>
      <w:r>
        <w:rPr>
          <w:rFonts w:ascii="Times New Roman" w:hAnsi="Times New Roman"/>
          <w:b w:val="false"/>
          <w:i w:val="false"/>
          <w:color w:val="000000"/>
          <w:sz w:val="22"/>
        </w:rPr>
        <w:t>Participants shall furnish receipts for expenditures that they pay, except for transportation payments. Failure to provide receipts will preclude additional payments. Receipts may be requested for payments paid directly to the training provider if the PROMISE JOBS worker determines it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Payments directly to facility. </w:t>
      </w:r>
      <w:r>
        <w:rPr>
          <w:rFonts w:ascii="Times New Roman" w:hAnsi="Times New Roman"/>
          <w:b w:val="false"/>
          <w:i w:val="false"/>
          <w:color w:val="000000"/>
          <w:sz w:val="22"/>
        </w:rPr>
        <w:t>PROMISE JOBS is authorized to provide payment for expenses allowable under these rules to the training facility for the educational expenses of tuition and fees and books and supplies that are provided by the facility and billed to the PROMISE JOBS participant. Payment may also be made to the participant in those situations where payment to the participant is determined to be appropriate by the PROMISE JOBS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93.11(5)</w:t>
      </w:r>
      <w:r>
        <w:rPr>
          <w:rFonts w:ascii="Times New Roman" w:hAnsi="Times New Roman"/>
          <w:b w:val="false"/>
          <w:i w:val="false"/>
          <w:color w:val="000000"/>
          <w:sz w:val="22"/>
        </w:rPr>
        <w:t> </w:t>
      </w:r>
      <w:r>
        <w:rPr>
          <w:rFonts w:ascii="Times New Roman" w:hAnsi="Times New Roman"/>
          <w:b w:val="false"/>
          <w:i/>
          <w:color w:val="000000"/>
          <w:sz w:val="22"/>
        </w:rPr>
        <w:t xml:space="preserve">Other expenses.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Birth certificates. </w:t>
      </w:r>
      <w:r>
        <w:rPr>
          <w:rFonts w:ascii="Times New Roman" w:hAnsi="Times New Roman"/>
          <w:b w:val="false"/>
          <w:i w:val="false"/>
          <w:color w:val="000000"/>
          <w:sz w:val="22"/>
        </w:rPr>
        <w:t xml:space="preserve">PROMISE JOBS funds shall be used to pay costs of obtaining a birth certificate when the birth certificate is needed in order for the participant to complete the workforce development registration process described in subrule </w:t>
      </w:r>
      <w:r>
        <w:rPr>
          <w:rFonts w:ascii="Times New Roman" w:hAnsi="Times New Roman"/>
          <w:b w:val="false"/>
          <w:i w:val="false"/>
          <w:color w:val="000000"/>
          <w:sz w:val="22"/>
        </w:rPr>
        <w:t>93.3(6)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Resources for examination. </w:t>
      </w:r>
      <w:r>
        <w:rPr>
          <w:rFonts w:ascii="Times New Roman" w:hAnsi="Times New Roman"/>
          <w:b w:val="false"/>
          <w:i w:val="false"/>
          <w:color w:val="000000"/>
          <w:sz w:val="22"/>
        </w:rPr>
        <w:t>When an examination is required and other resources are not available to meet the expense of the examination, the PROMISE JOBS worker shall authorize the examination and submit a claim for payment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Workforce Innovation and Opportunity Act. </w:t>
      </w:r>
      <w:r>
        <w:rPr>
          <w:rFonts w:ascii="Times New Roman" w:hAnsi="Times New Roman"/>
          <w:b w:val="false"/>
          <w:i w:val="false"/>
          <w:color w:val="000000"/>
          <w:sz w:val="22"/>
        </w:rPr>
        <w:t>PROMISE JOBS funds may also be used to pay expenses for PROMISE JOBS participants enrolled in federal Workforce Innovation and Opportunity Act (WIOA) as amended to August 1, 2024, funded services or activities when those expenses are allowable under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441—93.12</w:t>
      </w:r>
      <w:r>
        <w:rPr>
          <w:rFonts w:ascii="Times New Roman" w:hAnsi="Times New Roman"/>
          <w:b/>
          <w:i w:val="false"/>
          <w:color w:val="000000"/>
          <w:sz w:val="22"/>
        </w:rPr>
        <w:t xml:space="preserve">(239B) </w:t>
      </w:r>
      <w:r>
        <w:rPr>
          <w:rFonts w:ascii="Times New Roman" w:hAnsi="Times New Roman"/>
          <w:b/>
          <w:i w:val="false"/>
          <w:color w:val="000000"/>
          <w:sz w:val="22"/>
        </w:rPr>
        <w:t xml:space="preserve">Recovery of PROMISE JOBS expense payments. </w:t>
      </w:r>
      <w:r>
        <w:rPr>
          <w:rFonts w:ascii="Times New Roman" w:hAnsi="Times New Roman"/>
          <w:b w:val="false"/>
          <w:i w:val="false"/>
          <w:color w:val="000000"/>
          <w:sz w:val="22"/>
        </w:rPr>
        <w:t>When an applicant, a participant, or a provider receives an expense payment for transportation or other supportive expenses that is greater than allowed under these rules or receives a duplicate payment of an expense payment, an overpayment is considered to have occurred and recovery is required. There are two categories of PROMISE JOBS expense payments subject to recovery: (1) transportation, and (2) other supportive expense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93.12(1)</w:t>
      </w:r>
      <w:r>
        <w:rPr>
          <w:rFonts w:ascii="Times New Roman" w:hAnsi="Times New Roman"/>
          <w:b w:val="false"/>
          <w:i w:val="false"/>
          <w:color w:val="000000"/>
          <w:sz w:val="22"/>
        </w:rPr>
        <w:t> </w:t>
      </w:r>
      <w:r>
        <w:rPr>
          <w:rFonts w:ascii="Times New Roman" w:hAnsi="Times New Roman"/>
          <w:b w:val="false"/>
          <w:i w:val="false"/>
          <w:color w:val="000000"/>
          <w:sz w:val="22"/>
        </w:rPr>
        <w:t>Payment for transportation will be considered an overpayment subject to recovery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participant attends none of the scheduled days of participation in a PROMISE JOBS activity, the entire transportation payment will be considered an overpayment. Recovery of the overpayment will be initiated when it becomes clear that subsequent participation in the activity is not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participant fails to attend 75 percent of the normally scheduled days of participation in either of the last two months of an ongoing PROMISE JOBS activity or in any transportation payment period of an activity that has not been used for payment adjustment as described in paragraph </w:t>
      </w:r>
      <w:r>
        <w:rPr>
          <w:rFonts w:ascii="Times New Roman" w:hAnsi="Times New Roman"/>
          <w:b w:val="false"/>
          <w:i w:val="false"/>
          <w:color w:val="000000"/>
          <w:sz w:val="22"/>
        </w:rPr>
        <w:t>93.11(3)</w:t>
      </w:r>
      <w:r>
        <w:rPr>
          <w:rFonts w:ascii="Times New Roman" w:hAnsi="Times New Roman"/>
          <w:b w:val="false"/>
          <w:i/>
          <w:color w:val="000000"/>
          <w:sz w:val="22"/>
        </w:rPr>
        <w:t>“d,”</w:t>
      </w:r>
      <w:r>
        <w:rPr>
          <w:rFonts w:ascii="Times New Roman" w:hAnsi="Times New Roman"/>
          <w:b w:val="false"/>
          <w:i w:val="false"/>
          <w:color w:val="000000"/>
          <w:sz w:val="22"/>
        </w:rPr>
        <w:t xml:space="preserve"> an overpayment is considered to have occurred. The amount to recover will be the difference between the amount for the actual number of days attended and the amount for 75 percent of normally scheduled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93.12(2)</w:t>
      </w:r>
      <w:r>
        <w:rPr>
          <w:rFonts w:ascii="Times New Roman" w:hAnsi="Times New Roman"/>
          <w:b w:val="false"/>
          <w:i w:val="false"/>
          <w:color w:val="000000"/>
          <w:sz w:val="22"/>
        </w:rPr>
        <w:t> </w:t>
      </w:r>
      <w:r>
        <w:rPr>
          <w:rFonts w:ascii="Times New Roman" w:hAnsi="Times New Roman"/>
          <w:b w:val="false"/>
          <w:i w:val="false"/>
          <w:color w:val="000000"/>
          <w:sz w:val="22"/>
        </w:rPr>
        <w:t>The PROMISE JOBS worker shall make the referral to the department of inspections, appeals, and licensing by recording the overpayment in the overpayment recovery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inspections, appeals, and licensing  shall notify the participant or the provider when it is determined that an overpayment exists as described in </w:t>
      </w:r>
      <w:hyperlink r:id="rId110">
        <w:r>
          <w:rPr>
            <w:rStyle w:val="Hyperlink"/>
            <w:rFonts w:ascii="Times New Roman" w:hAnsi="Times New Roman"/>
            <w:b w:val="false"/>
            <w:i w:val="false"/>
            <w:color w:val="000000"/>
            <w:sz w:val="22"/>
          </w:rPr>
          <w:t>441—paragraph 7.4(3)</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shall include the amount, date, and reason for the overpayment. Upon the participant’s request, PROMISE JOBS shall provide additional information regarding the computation of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may appeal the computation of the overpayment and any action to recover the overpayment through benefit reduction in accordance with </w:t>
      </w:r>
      <w:hyperlink r:id="rId111">
        <w:r>
          <w:rPr>
            <w:rStyle w:val="Hyperlink"/>
            <w:rFonts w:ascii="Times New Roman" w:hAnsi="Times New Roman"/>
            <w:b w:val="false"/>
            <w:i w:val="false"/>
            <w:color w:val="000000"/>
            <w:sz w:val="22"/>
          </w:rPr>
          <w:t>441—paragraph 7.4(3)</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93.12(4)</w:t>
      </w:r>
      <w:r>
        <w:rPr>
          <w:rFonts w:ascii="Times New Roman" w:hAnsi="Times New Roman"/>
          <w:b w:val="false"/>
          <w:i w:val="false"/>
          <w:color w:val="000000"/>
          <w:sz w:val="22"/>
        </w:rPr>
        <w:t> </w:t>
      </w:r>
      <w:r>
        <w:rPr>
          <w:rFonts w:ascii="Times New Roman" w:hAnsi="Times New Roman"/>
          <w:b w:val="false"/>
          <w:i w:val="false"/>
          <w:color w:val="000000"/>
          <w:sz w:val="22"/>
        </w:rPr>
        <w:t>A PROMISE JOBS overpayment shall be recovered through repayment in part or in full. Repayments received by PROMISE JOBS shall be transmitted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Overpayments of child care assistance issued for July 1999 and any month thereafter are subject to recovery rules of the child care assistance program set forth in rule </w:t>
      </w:r>
      <w:hyperlink r:id="rId112">
        <w:r>
          <w:rPr>
            <w:rStyle w:val="Hyperlink"/>
            <w:rFonts w:ascii="Times New Roman" w:hAnsi="Times New Roman"/>
            <w:b w:val="false"/>
            <w:i w:val="false"/>
            <w:color w:val="000000"/>
            <w:sz w:val="22"/>
          </w:rPr>
          <w:t>441—170.9</w:t>
        </w:r>
      </w:hyperlink>
      <w:r>
        <w:rPr>
          <w:rFonts w:ascii="Times New Roman" w:hAnsi="Times New Roman"/>
          <w:b w:val="false"/>
          <w:i w:val="false"/>
          <w:color w:val="000000"/>
          <w:sz w:val="22"/>
        </w:rPr>
        <w:t>(237A).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93.12(5)</w:t>
      </w:r>
      <w:r>
        <w:rPr>
          <w:rFonts w:ascii="Times New Roman" w:hAnsi="Times New Roman"/>
          <w:b w:val="false"/>
          <w:i w:val="false"/>
          <w:color w:val="000000"/>
          <w:sz w:val="22"/>
        </w:rPr>
        <w:t> </w:t>
      </w:r>
      <w:r>
        <w:rPr>
          <w:rFonts w:ascii="Times New Roman" w:hAnsi="Times New Roman"/>
          <w:b w:val="false"/>
          <w:i w:val="false"/>
          <w:color w:val="000000"/>
          <w:sz w:val="22"/>
        </w:rPr>
        <w:t>When a participant or a provider offers repayment in part or in full before the end of the 30-day appeal period, PROMISE JOBS or the department’s local office will accept the payment. The amount of the voluntary repayment shall not be returned to the participant or provider unless the final decision on the appeal directs the department to do so. If a subsequent appeal request is received, the PROMISE JOBS unit shall notify the department of inspections, appeals, and licensing and shall not accept any further payments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93.12(6)</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participant or a provider has been referred to the department of inspections, appeals, and licensing to initiate recovery, the department of inspections, appeals, and licensing shall use the same methods of recovery as are used for the FIP program as described in </w:t>
      </w:r>
      <w:hyperlink r:id="rId113">
        <w:r>
          <w:rPr>
            <w:rStyle w:val="Hyperlink"/>
            <w:rFonts w:ascii="Times New Roman" w:hAnsi="Times New Roman"/>
            <w:b w:val="false"/>
            <w:i w:val="false"/>
            <w:color w:val="000000"/>
            <w:sz w:val="22"/>
          </w:rPr>
          <w:t>481—Chapter 90</w:t>
        </w:r>
      </w:hyperlink>
      <w:r>
        <w:rPr>
          <w:rFonts w:ascii="Times New Roman" w:hAnsi="Times New Roman"/>
          <w:b w:val="false"/>
          <w:i w:val="false"/>
          <w:color w:val="000000"/>
          <w:sz w:val="22"/>
        </w:rPr>
        <w:t>, except that the FIP grant shall not be reduced to effect recovery without the participant’s written permission.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participant requests grant reduction on a form prescribed by the department, the grant will be reduced for repayment as described in rule </w:t>
      </w:r>
      <w:hyperlink r:id="rId114">
        <w:r>
          <w:rPr>
            <w:rStyle w:val="Hyperlink"/>
            <w:rFonts w:ascii="Times New Roman" w:hAnsi="Times New Roman"/>
            <w:b w:val="false"/>
            <w:i w:val="false"/>
            <w:color w:val="000000"/>
            <w:sz w:val="22"/>
          </w:rPr>
          <w:t>441—46.25</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appeals, and licensing is authorized to take any reasonable action to effect recovery of provider overpayments, such as but not limited to informal agreements, civil action, or criminal prosecution. However, the department of inspections, appeals, and licensing shall not take any collection action on a provider overpayment that would jeopardize the participant’s continued participation in the PROMISE JOBS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441—93.13</w:t>
      </w:r>
      <w:r>
        <w:rPr>
          <w:rFonts w:ascii="Times New Roman" w:hAnsi="Times New Roman"/>
          <w:b/>
          <w:i w:val="false"/>
          <w:color w:val="000000"/>
          <w:sz w:val="22"/>
        </w:rPr>
        <w:t xml:space="preserve">(239B) </w:t>
      </w:r>
      <w:r>
        <w:rPr>
          <w:rFonts w:ascii="Times New Roman" w:hAnsi="Times New Roman"/>
          <w:b/>
          <w:i w:val="false"/>
          <w:color w:val="000000"/>
          <w:sz w:val="22"/>
        </w:rPr>
        <w:t xml:space="preserve">Resolution of participation issues. </w:t>
      </w:r>
      <w:r>
        <w:rPr>
          <w:rFonts w:ascii="Times New Roman" w:hAnsi="Times New Roman"/>
          <w:b w:val="false"/>
          <w:i w:val="false"/>
          <w:color w:val="000000"/>
          <w:sz w:val="22"/>
        </w:rPr>
        <w:t xml:space="preserve">PROMISE JOBS participants who do not carry out the responsibilities of the FIA shall be considered to have chosen the LBP as described in </w:t>
      </w:r>
      <w:hyperlink r:id="rId115">
        <w:r>
          <w:rPr>
            <w:rStyle w:val="Hyperlink"/>
            <w:rFonts w:ascii="Times New Roman" w:hAnsi="Times New Roman"/>
            <w:b w:val="false"/>
            <w:i w:val="false"/>
            <w:color w:val="000000"/>
            <w:sz w:val="22"/>
          </w:rPr>
          <w:t>441—subrule 41.24(8)</w:t>
        </w:r>
      </w:hyperlink>
      <w:r>
        <w:rPr>
          <w:rFonts w:ascii="Times New Roman" w:hAnsi="Times New Roman"/>
          <w:b w:val="false"/>
          <w:i w:val="false"/>
          <w:color w:val="000000"/>
          <w:sz w:val="22"/>
        </w:rPr>
        <w:t>. The participation issues listed in this rule are those that are important for effective functioning in the workplace or training facility and for the completion of the FIA.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93.13(1)</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participation issue. </w:t>
      </w:r>
      <w:r>
        <w:rPr>
          <w:rFonts w:ascii="Times New Roman" w:hAnsi="Times New Roman"/>
          <w:b w:val="false"/>
          <w:i w:val="false"/>
          <w:color w:val="000000"/>
          <w:sz w:val="22"/>
        </w:rPr>
        <w:t xml:space="preserve">When participants appear to be choosing an LBP by not carrying out the FIA responsibilities, the PROMISE JOBS worker shall send one written reminder letter as specified in subrule </w:t>
      </w:r>
      <w:r>
        <w:rPr>
          <w:rFonts w:ascii="Times New Roman" w:hAnsi="Times New Roman"/>
          <w:b w:val="false"/>
          <w:i w:val="false"/>
          <w:color w:val="000000"/>
          <w:sz w:val="22"/>
        </w:rPr>
        <w:t>93.10(1)</w:t>
      </w:r>
      <w:r>
        <w:rPr>
          <w:rFonts w:ascii="Times New Roman" w:hAnsi="Times New Roman"/>
          <w:b w:val="false"/>
          <w:i w:val="false"/>
          <w:color w:val="000000"/>
          <w:sz w:val="22"/>
        </w:rPr>
        <w:t>. The written reminder letter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Clearly identify the participation issue and the specific action needed to resolve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Clarify expectations,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Attempt to identify barriers to participation that should be addressed in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the consequences of the LBP,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Offer supervisory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93.13(2)</w:t>
      </w:r>
      <w:r>
        <w:rPr>
          <w:rFonts w:ascii="Times New Roman" w:hAnsi="Times New Roman"/>
          <w:b w:val="false"/>
          <w:i w:val="false"/>
          <w:color w:val="000000"/>
          <w:sz w:val="22"/>
        </w:rPr>
        <w:t> </w:t>
      </w:r>
      <w:r>
        <w:rPr>
          <w:rFonts w:ascii="Times New Roman" w:hAnsi="Times New Roman"/>
          <w:b w:val="false"/>
          <w:i/>
          <w:color w:val="000000"/>
          <w:sz w:val="22"/>
        </w:rPr>
        <w:t xml:space="preserve">Participation issues. </w:t>
      </w:r>
      <w:r>
        <w:rPr>
          <w:rFonts w:ascii="Times New Roman" w:hAnsi="Times New Roman"/>
          <w:b w:val="false"/>
          <w:i w:val="false"/>
          <w:color w:val="000000"/>
          <w:sz w:val="22"/>
        </w:rPr>
        <w:t xml:space="preserve">Actions that may cause participants to be considered as having chosen the LBP when the participant does not have a problem or barrier to participation as defined at paragraph </w:t>
      </w:r>
      <w:r>
        <w:rPr>
          <w:rFonts w:ascii="Times New Roman" w:hAnsi="Times New Roman"/>
          <w:b w:val="false"/>
          <w:i w:val="false"/>
          <w:color w:val="000000"/>
          <w:sz w:val="22"/>
        </w:rPr>
        <w:t>93.4(5)</w:t>
      </w:r>
      <w:r>
        <w:rPr>
          <w:rFonts w:ascii="Times New Roman" w:hAnsi="Times New Roman"/>
          <w:b w:val="false"/>
          <w:i/>
          <w:color w:val="000000"/>
          <w:sz w:val="22"/>
        </w:rPr>
        <w:t>“a”</w:t>
      </w:r>
      <w:r>
        <w:rPr>
          <w:rFonts w:ascii="Times New Roman" w:hAnsi="Times New Roman"/>
          <w:b w:val="false"/>
          <w:i w:val="false"/>
          <w:color w:val="000000"/>
          <w:sz w:val="22"/>
        </w:rPr>
        <w:t xml:space="preserve"> or rule </w:t>
      </w:r>
      <w:hyperlink r:id="rId116">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Tardiness. </w:t>
      </w:r>
      <w:r>
        <w:rPr>
          <w:rFonts w:ascii="Times New Roman" w:hAnsi="Times New Roman"/>
          <w:b w:val="false"/>
          <w:i w:val="false"/>
          <w:color w:val="000000"/>
          <w:sz w:val="22"/>
        </w:rPr>
        <w:t xml:space="preserve">Participants who, for a second time after PROMISE JOBS sends one written reminder letter as described in subrule </w:t>
      </w:r>
      <w:hyperlink r:id="rId117">
        <w:r>
          <w:rPr>
            <w:rStyle w:val="Hyperlink"/>
            <w:rFonts w:ascii="Times New Roman" w:hAnsi="Times New Roman"/>
            <w:b w:val="false"/>
            <w:i w:val="false"/>
            <w:color w:val="000000"/>
            <w:sz w:val="22"/>
          </w:rPr>
          <w:t>93.13(1)</w:t>
        </w:r>
      </w:hyperlink>
      <w:r>
        <w:rPr>
          <w:rFonts w:ascii="Times New Roman" w:hAnsi="Times New Roman"/>
          <w:b w:val="false"/>
          <w:i w:val="false"/>
          <w:color w:val="000000"/>
          <w:sz w:val="22"/>
        </w:rPr>
        <w:t xml:space="preserve"> at the first occurrence, are more than 15 minutes late to a scheduled FIA activity without good cause or a barrier to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Failure to attend scheduled activities. </w:t>
      </w:r>
      <w:r>
        <w:rPr>
          <w:rFonts w:ascii="Times New Roman" w:hAnsi="Times New Roman"/>
          <w:b w:val="false"/>
          <w:i w:val="false"/>
          <w:color w:val="000000"/>
          <w:sz w:val="22"/>
        </w:rPr>
        <w:t xml:space="preserve">Participants who do not, for a second time after PROMISE JOBS sends one written reminder letter as described in subrule </w:t>
      </w:r>
      <w:hyperlink r:id="rId118">
        <w:r>
          <w:rPr>
            <w:rStyle w:val="Hyperlink"/>
            <w:rFonts w:ascii="Times New Roman" w:hAnsi="Times New Roman"/>
            <w:b w:val="false"/>
            <w:i w:val="false"/>
            <w:color w:val="000000"/>
            <w:sz w:val="22"/>
          </w:rPr>
          <w:t>93.13(1)</w:t>
        </w:r>
      </w:hyperlink>
      <w:r>
        <w:rPr>
          <w:rFonts w:ascii="Times New Roman" w:hAnsi="Times New Roman"/>
          <w:b w:val="false"/>
          <w:i w:val="false"/>
          <w:color w:val="000000"/>
          <w:sz w:val="22"/>
        </w:rPr>
        <w:t xml:space="preserve"> at the first occurrence, appear for scheduled appointments, participate in assessment activities, including taking required vocational or aptitude tests, complete or provide required forms other than those described in subrule </w:t>
      </w:r>
      <w:hyperlink r:id="rId119">
        <w:r>
          <w:rPr>
            <w:rStyle w:val="Hyperlink"/>
            <w:rFonts w:ascii="Times New Roman" w:hAnsi="Times New Roman"/>
            <w:b w:val="false"/>
            <w:i w:val="false"/>
            <w:color w:val="000000"/>
            <w:sz w:val="22"/>
          </w:rPr>
          <w:t>93.10(3)</w:t>
        </w:r>
      </w:hyperlink>
      <w:r>
        <w:rPr>
          <w:rFonts w:ascii="Times New Roman" w:hAnsi="Times New Roman"/>
          <w:b w:val="false"/>
          <w:i w:val="false"/>
          <w:color w:val="000000"/>
          <w:sz w:val="22"/>
        </w:rPr>
        <w:t xml:space="preserve"> or are absent from activities designated in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Absence from work experience. </w:t>
      </w:r>
      <w:r>
        <w:rPr>
          <w:rFonts w:ascii="Times New Roman" w:hAnsi="Times New Roman"/>
          <w:b w:val="false"/>
          <w:i w:val="false"/>
          <w:color w:val="000000"/>
          <w:sz w:val="22"/>
        </w:rPr>
        <w:t xml:space="preserve">Participants who do not, for a second time after PROMISE JOBS sends one written reminder letter as described in subrule </w:t>
      </w:r>
      <w:hyperlink r:id="rId120">
        <w:r>
          <w:rPr>
            <w:rStyle w:val="Hyperlink"/>
            <w:rFonts w:ascii="Times New Roman" w:hAnsi="Times New Roman"/>
            <w:b w:val="false"/>
            <w:i w:val="false"/>
            <w:color w:val="000000"/>
            <w:sz w:val="22"/>
          </w:rPr>
          <w:t>93.13(1)</w:t>
        </w:r>
      </w:hyperlink>
      <w:r>
        <w:rPr>
          <w:rFonts w:ascii="Times New Roman" w:hAnsi="Times New Roman"/>
          <w:b w:val="false"/>
          <w:i w:val="false"/>
          <w:color w:val="000000"/>
          <w:sz w:val="22"/>
        </w:rPr>
        <w:t xml:space="preserve"> at the first occurrence, notify work experience sponsors or the PROMISE JOBS worker of an absence within one hour of the time at which they are due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Disruptive behavior. </w:t>
      </w:r>
      <w:r>
        <w:rPr>
          <w:rFonts w:ascii="Times New Roman" w:hAnsi="Times New Roman"/>
          <w:b w:val="false"/>
          <w:i w:val="false"/>
          <w:color w:val="000000"/>
          <w:sz w:val="22"/>
        </w:rPr>
        <w:t xml:space="preserve">Participants who exhibit disruptive behavior for a second time after PROMISE JOBS sends one written reminder letter as described in subrule </w:t>
      </w:r>
      <w:hyperlink r:id="rId121">
        <w:r>
          <w:rPr>
            <w:rStyle w:val="Hyperlink"/>
            <w:rFonts w:ascii="Times New Roman" w:hAnsi="Times New Roman"/>
            <w:b w:val="false"/>
            <w:i w:val="false"/>
            <w:color w:val="000000"/>
            <w:sz w:val="22"/>
          </w:rPr>
          <w:t>93.13(1)</w:t>
        </w:r>
      </w:hyperlink>
      <w:r>
        <w:rPr>
          <w:rFonts w:ascii="Times New Roman" w:hAnsi="Times New Roman"/>
          <w:b w:val="false"/>
          <w:i w:val="false"/>
          <w:color w:val="000000"/>
          <w:sz w:val="22"/>
        </w:rPr>
        <w:t xml:space="preserve"> at the first occurrence. “Disruptive behavior” means the participant hinders the performance of other participants or staff, refuses to follow instructions, uses abusive language, or is under the influence of alcohol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Unsatisfactory performance or participation. </w:t>
      </w:r>
      <w:r>
        <w:rPr>
          <w:rFonts w:ascii="Times New Roman" w:hAnsi="Times New Roman"/>
          <w:b w:val="false"/>
          <w:i w:val="false"/>
          <w:color w:val="000000"/>
          <w:sz w:val="22"/>
        </w:rPr>
        <w:t xml:space="preserve">Participants whose performance or participation in an FIA activity continues to be unsatisfactory after PROMISE JOBS sends one written reminder letter as described in subrule </w:t>
      </w:r>
      <w:r>
        <w:rPr>
          <w:rFonts w:ascii="Times New Roman" w:hAnsi="Times New Roman"/>
          <w:b w:val="false"/>
          <w:i w:val="false"/>
          <w:color w:val="000000"/>
          <w:sz w:val="22"/>
        </w:rPr>
        <w:t>93.13(1)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Physical threats. </w:t>
      </w:r>
      <w:r>
        <w:rPr>
          <w:rFonts w:ascii="Times New Roman" w:hAnsi="Times New Roman"/>
          <w:b w:val="false"/>
          <w:i w:val="false"/>
          <w:color w:val="000000"/>
          <w:sz w:val="22"/>
        </w:rPr>
        <w:t xml:space="preserve">Participants who make physical threats to other participants or staff and have not provided written documentation from a doctor, licensed psychologist, probation officer, or law enforcement official after PROMISE JOBS sends one written reminder letter as described in subrule </w:t>
      </w:r>
      <w:r>
        <w:rPr>
          <w:rFonts w:ascii="Times New Roman" w:hAnsi="Times New Roman"/>
          <w:b w:val="false"/>
          <w:i w:val="false"/>
          <w:color w:val="000000"/>
          <w:sz w:val="22"/>
        </w:rPr>
        <w:t>93.13(1)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threat” means having a dangerous weapon in one’s possession and either threatening with or using the weapon or committing assault.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documentation must verify that the act was caused by either a temporary problem or a serious problem or barrier that needs to be included in the FIA. The documentation must also provide reasonable assurance that the threatening behavior will not occur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Accepting work experience assignments. </w:t>
      </w:r>
      <w:r>
        <w:rPr>
          <w:rFonts w:ascii="Times New Roman" w:hAnsi="Times New Roman"/>
          <w:b w:val="false"/>
          <w:i w:val="false"/>
          <w:color w:val="000000"/>
          <w:sz w:val="22"/>
        </w:rPr>
        <w:t xml:space="preserve">Participants who do not accept work experience assignments when the work experience is part of the FIA and do not demonstrate a problem or barrier that caused the failure after PROMISE JOBS sends one written reminder letter as described in subrule </w:t>
      </w:r>
      <w:r>
        <w:rPr>
          <w:rFonts w:ascii="Times New Roman" w:hAnsi="Times New Roman"/>
          <w:b w:val="false"/>
          <w:i w:val="false"/>
          <w:color w:val="000000"/>
          <w:sz w:val="22"/>
        </w:rPr>
        <w:t>93.13(1)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interviews. </w:t>
      </w:r>
      <w:r>
        <w:rPr>
          <w:rFonts w:ascii="Times New Roman" w:hAnsi="Times New Roman"/>
          <w:b w:val="false"/>
          <w:i w:val="false"/>
          <w:color w:val="000000"/>
          <w:sz w:val="22"/>
        </w:rPr>
        <w:t xml:space="preserve">Participants who do not appear for work experience interviews for a second time after PROMISE JOBS sends one written reminder letter as described in subrule </w:t>
      </w:r>
      <w:r>
        <w:rPr>
          <w:rFonts w:ascii="Times New Roman" w:hAnsi="Times New Roman"/>
          <w:b w:val="false"/>
          <w:i w:val="false"/>
          <w:color w:val="000000"/>
          <w:sz w:val="22"/>
        </w:rPr>
        <w:t>93.13(1)</w:t>
      </w:r>
      <w:r>
        <w:rPr>
          <w:rFonts w:ascii="Times New Roman" w:hAnsi="Times New Roman"/>
          <w:b w:val="false"/>
          <w:i w:val="false"/>
          <w:color w:val="000000"/>
          <w:sz w:val="22"/>
        </w:rPr>
        <w:t xml:space="preserve"> at the first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Employment and other work activity issues. </w:t>
      </w:r>
      <w:r>
        <w:rPr>
          <w:rFonts w:ascii="Times New Roman" w:hAnsi="Times New Roman"/>
          <w:b w:val="false"/>
          <w:i w:val="false"/>
          <w:color w:val="000000"/>
          <w:sz w:val="22"/>
        </w:rPr>
        <w:t>Participants who do not follow up on job referrals, who refuse offers of employment or other work activity, who reduce hours of employment or other work activity, who terminate employment or other work activity, or who are discharged from employment or other work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time of the occurrence, PROMISE JOBS shall send a letter to the participant. The letter shall give the participant an opportunity to resolve the issue by accepting a previously refused employment offer if available, returning to previously terminated employment, if available, obtaining comparable employment, or demonstrating a problem or barrier that caused the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Failure to secure child care. </w:t>
      </w:r>
      <w:r>
        <w:rPr>
          <w:rFonts w:ascii="Times New Roman" w:hAnsi="Times New Roman"/>
          <w:b w:val="false"/>
          <w:i w:val="false"/>
          <w:color w:val="000000"/>
          <w:sz w:val="22"/>
        </w:rPr>
        <w:t xml:space="preserve">Participants who do not secure adequate child care when registered or licensed facilities are available after PROMISE JOBS sends one written reminder as described in subrule </w:t>
      </w:r>
      <w:hyperlink r:id="rId122">
        <w:r>
          <w:rPr>
            <w:rStyle w:val="Hyperlink"/>
            <w:rFonts w:ascii="Times New Roman" w:hAnsi="Times New Roman"/>
            <w:b w:val="false"/>
            <w:i w:val="false"/>
            <w:color w:val="000000"/>
            <w:sz w:val="22"/>
          </w:rPr>
          <w:t>93.13(1)</w:t>
        </w:r>
      </w:hyperlink>
      <w:r>
        <w:rPr>
          <w:rFonts w:ascii="Times New Roman" w:hAnsi="Times New Roman"/>
          <w:b w:val="false"/>
          <w:i w:val="false"/>
          <w:color w:val="000000"/>
          <w:sz w:val="22"/>
        </w:rPr>
        <w:t xml:space="preserve"> and when PROMISE JOBS has provided the participant with resources for locating adequate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 of funds. </w:t>
      </w:r>
      <w:r>
        <w:rPr>
          <w:rFonts w:ascii="Times New Roman" w:hAnsi="Times New Roman"/>
          <w:b w:val="false"/>
          <w:i w:val="false"/>
          <w:color w:val="000000"/>
          <w:sz w:val="22"/>
        </w:rPr>
        <w:t xml:space="preserve">Participants for whom child care, transportation, or educational services become unavailable as a result of failure to use PROMISE JOBS funds or child care assistance funds to pay the provider or failure to provide required receipts and who do not demonstrate a problem or barrier that caused the failure after PROMISE JOBS sends one written reminder letter as described in subrule </w:t>
      </w:r>
      <w:hyperlink r:id="rId123">
        <w:r>
          <w:rPr>
            <w:rStyle w:val="Hyperlink"/>
            <w:rFonts w:ascii="Times New Roman" w:hAnsi="Times New Roman"/>
            <w:b w:val="false"/>
            <w:i w:val="false"/>
            <w:color w:val="000000"/>
            <w:sz w:val="22"/>
          </w:rPr>
          <w:t>93.13(1)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Failure to follow training plan. </w:t>
      </w:r>
      <w:r>
        <w:rPr>
          <w:rFonts w:ascii="Times New Roman" w:hAnsi="Times New Roman"/>
          <w:b w:val="false"/>
          <w:i w:val="false"/>
          <w:color w:val="000000"/>
          <w:sz w:val="22"/>
        </w:rPr>
        <w:t xml:space="preserve">Education participants who do not follow the requirements of a training plan in the FIA as described in rule </w:t>
      </w:r>
      <w:hyperlink r:id="rId124">
        <w:r>
          <w:rPr>
            <w:rStyle w:val="Hyperlink"/>
            <w:rFonts w:ascii="Times New Roman" w:hAnsi="Times New Roman"/>
            <w:b w:val="false"/>
            <w:i w:val="false"/>
            <w:color w:val="000000"/>
            <w:sz w:val="22"/>
          </w:rPr>
          <w:t>441—93.8</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Failure to renegotiate the FIA. </w:t>
      </w:r>
      <w:r>
        <w:rPr>
          <w:rFonts w:ascii="Times New Roman" w:hAnsi="Times New Roman"/>
          <w:b w:val="false"/>
          <w:i w:val="false"/>
          <w:color w:val="000000"/>
          <w:sz w:val="22"/>
        </w:rPr>
        <w:t xml:space="preserve">When a participant fails to respond to the PROMISE JOBS worker’s request to renegotiate the FIA because the participant has not attained self-sufficiency by the date established in the FIA, after PROMISE JOBS sends one written reminder letter as described in subrule </w:t>
      </w:r>
      <w:hyperlink r:id="rId125">
        <w:r>
          <w:rPr>
            <w:rStyle w:val="Hyperlink"/>
            <w:rFonts w:ascii="Times New Roman" w:hAnsi="Times New Roman"/>
            <w:b w:val="false"/>
            <w:i w:val="false"/>
            <w:color w:val="000000"/>
            <w:sz w:val="22"/>
          </w:rPr>
          <w:t>93.13(1)</w:t>
        </w:r>
      </w:hyperlink>
      <w:r>
        <w:rPr>
          <w:rFonts w:ascii="Times New Roman" w:hAnsi="Times New Roman"/>
          <w:b w:val="false"/>
          <w:i w:val="false"/>
          <w:color w:val="000000"/>
          <w:sz w:val="22"/>
        </w:rPr>
        <w:t>, an LBP shall be imposed regardless of whether the request to renegotiate is made before or after expiration of the FIA.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93.13(3)</w:t>
      </w:r>
      <w:r>
        <w:rPr>
          <w:rFonts w:ascii="Times New Roman" w:hAnsi="Times New Roman"/>
          <w:b w:val="false"/>
          <w:i w:val="false"/>
          <w:color w:val="000000"/>
          <w:sz w:val="22"/>
        </w:rPr>
        <w:t> </w:t>
      </w:r>
      <w:r>
        <w:rPr>
          <w:rFonts w:ascii="Times New Roman" w:hAnsi="Times New Roman"/>
          <w:b w:val="false"/>
          <w:i/>
          <w:color w:val="000000"/>
          <w:sz w:val="22"/>
        </w:rPr>
        <w:t xml:space="preserve">Choosing an LBP.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determining that a participant has chosen the LBP due to a potential participation issue, the PROMISE JOBS worker shall make every effort to negotiate a solution and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participant has a problem that provides good cause for the participation issue as described in rule </w:t>
      </w:r>
      <w:hyperlink r:id="rId126">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If so, the participant shall be encouraged to take actions to fulfill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participant circumstances indicate that a barrier to participation exists as described in subrule </w:t>
      </w:r>
      <w:r>
        <w:rPr>
          <w:rFonts w:ascii="Times New Roman" w:hAnsi="Times New Roman"/>
          <w:b w:val="false"/>
          <w:i w:val="false"/>
          <w:color w:val="000000"/>
          <w:sz w:val="22"/>
        </w:rPr>
        <w:t>93.4(5)</w:t>
      </w:r>
      <w:r>
        <w:rPr>
          <w:rFonts w:ascii="Times New Roman" w:hAnsi="Times New Roman"/>
          <w:b w:val="false"/>
          <w:i w:val="false"/>
          <w:color w:val="000000"/>
          <w:sz w:val="22"/>
        </w:rPr>
        <w:t>. If so, the FIA shall be negotiated to address the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participant may be considered to have chosen the LBP when all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is notified of a participation issue as described in subrule </w:t>
      </w:r>
      <w:r>
        <w:rPr>
          <w:rFonts w:ascii="Times New Roman" w:hAnsi="Times New Roman"/>
          <w:b w:val="false"/>
          <w:i w:val="false"/>
          <w:color w:val="000000"/>
          <w:sz w:val="22"/>
        </w:rPr>
        <w:t>93.13(1)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participant does not resolve the participation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does not present acceptable evidence of a problem providing good cause for the issue as described in rule </w:t>
      </w:r>
      <w:hyperlink r:id="rId127">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(239B);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does not present acceptable evidence of a barrier to participation as described in subrule </w:t>
      </w:r>
      <w:r>
        <w:rPr>
          <w:rFonts w:ascii="Times New Roman" w:hAnsi="Times New Roman"/>
          <w:b w:val="false"/>
          <w:i w:val="false"/>
          <w:color w:val="000000"/>
          <w:sz w:val="22"/>
        </w:rPr>
        <w:t>93.4(5)</w:t>
      </w:r>
      <w:r>
        <w:rPr>
          <w:rFonts w:ascii="Times New Roman" w:hAnsi="Times New Roman"/>
          <w:b w:val="false"/>
          <w:i w:val="false"/>
          <w:color w:val="000000"/>
          <w:sz w:val="22"/>
        </w:rPr>
        <w:t xml:space="preserve"> or fails to renegotiate the FIA to address the identified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resolution process does not lead to fulfillment of the FIA, the case shall be referred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retains control and oversees review procedures even when another agency is contracted with to provide PROMISE JOBS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above steps do not lead to fulfillment of the FIA, the FIP participant is considered to have chosen the LBP and the notice of decision will be initiated. The notice of decision will inform the participant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action needed to reconsider the LBP as described in </w:t>
      </w:r>
      <w:hyperlink r:id="rId128">
        <w:r>
          <w:rPr>
            <w:rStyle w:val="Hyperlink"/>
            <w:rFonts w:ascii="Times New Roman" w:hAnsi="Times New Roman"/>
            <w:b w:val="false"/>
            <w:i w:val="false"/>
            <w:color w:val="000000"/>
            <w:sz w:val="22"/>
          </w:rPr>
          <w:t>441—subparagraph 41.24(8)</w:t>
        </w:r>
      </w:hyperlink>
      <w:r>
        <w:rPr>
          <w:rFonts w:ascii="Times New Roman" w:hAnsi="Times New Roman"/>
          <w:b w:val="false"/>
          <w:i/>
          <w:color w:val="000000"/>
          <w:sz w:val="22"/>
        </w:rPr>
        <w:t>“d”</w:t>
      </w:r>
      <w:r>
        <w:rPr>
          <w:rFonts w:ascii="Times New Roman" w:hAnsi="Times New Roman"/>
          <w:b w:val="false"/>
          <w:i w:val="false"/>
          <w:color w:val="000000"/>
          <w:sz w:val="22"/>
        </w:rPr>
        <w:t xml:space="preserve">(1) and </w:t>
      </w:r>
      <w:hyperlink r:id="rId129">
        <w:r>
          <w:rPr>
            <w:rStyle w:val="Hyperlink"/>
            <w:rFonts w:ascii="Times New Roman" w:hAnsi="Times New Roman"/>
            <w:b w:val="false"/>
            <w:i w:val="false"/>
            <w:color w:val="000000"/>
            <w:sz w:val="22"/>
          </w:rPr>
          <w:t>41.24(8)</w:t>
        </w:r>
      </w:hyperlink>
      <w:r>
        <w:rPr>
          <w:rFonts w:ascii="Times New Roman" w:hAnsi="Times New Roman"/>
          <w:b w:val="false"/>
          <w:i/>
          <w:color w:val="000000"/>
          <w:sz w:val="22"/>
        </w:rPr>
        <w:t>“e”</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rights under the LBP are described in rule </w:t>
      </w:r>
      <w:hyperlink r:id="rId130">
        <w:r>
          <w:rPr>
            <w:rStyle w:val="Hyperlink"/>
            <w:rFonts w:ascii="Times New Roman" w:hAnsi="Times New Roman"/>
            <w:b w:val="false"/>
            <w:i w:val="false"/>
            <w:color w:val="000000"/>
            <w:sz w:val="22"/>
          </w:rPr>
          <w:t>441—93.15</w:t>
        </w:r>
      </w:hyperlink>
      <w:r>
        <w:rPr>
          <w:rFonts w:ascii="Times New Roman" w:hAnsi="Times New Roman"/>
          <w:b w:val="false"/>
          <w:i w:val="false"/>
          <w:color w:val="000000"/>
          <w:sz w:val="22"/>
        </w:rPr>
        <w:t>(239B).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441—93.14</w:t>
      </w:r>
      <w:r>
        <w:rPr>
          <w:rFonts w:ascii="Times New Roman" w:hAnsi="Times New Roman"/>
          <w:b/>
          <w:i w:val="false"/>
          <w:color w:val="000000"/>
          <w:sz w:val="22"/>
        </w:rPr>
        <w:t xml:space="preserve">(239B) </w:t>
      </w:r>
      <w:r>
        <w:rPr>
          <w:rFonts w:ascii="Times New Roman" w:hAnsi="Times New Roman"/>
          <w:b/>
          <w:i w:val="false"/>
          <w:color w:val="000000"/>
          <w:sz w:val="22"/>
        </w:rPr>
        <w:t xml:space="preserve">Problems that may provide good cause for participation issues.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93.14(1)</w:t>
      </w:r>
      <w:r>
        <w:rPr>
          <w:rFonts w:ascii="Times New Roman" w:hAnsi="Times New Roman"/>
          <w:b w:val="false"/>
          <w:i w:val="false"/>
          <w:color w:val="000000"/>
          <w:sz w:val="22"/>
        </w:rPr>
        <w:t> </w:t>
      </w:r>
      <w:r>
        <w:rPr>
          <w:rFonts w:ascii="Times New Roman" w:hAnsi="Times New Roman"/>
          <w:b w:val="false"/>
          <w:i/>
          <w:color w:val="000000"/>
          <w:sz w:val="22"/>
        </w:rPr>
        <w:t xml:space="preserve">Problems leading to less than full participation. </w:t>
      </w:r>
      <w:r>
        <w:rPr>
          <w:rFonts w:ascii="Times New Roman" w:hAnsi="Times New Roman"/>
          <w:b w:val="false"/>
          <w:i w:val="false"/>
          <w:color w:val="000000"/>
          <w:sz w:val="22"/>
        </w:rPr>
        <w:t xml:space="preserve">Problems affecting participation shall be considered to be of a temporary or incidental nature when the participation can easily be resumed. The following problems may provide good cause for participation of less than the full number of hours identified in the FIA. PROMISE JOBS may require the participant to provide verification of the problem or barrier as described in subrule </w:t>
      </w:r>
      <w:r>
        <w:rPr>
          <w:rFonts w:ascii="Times New Roman" w:hAnsi="Times New Roman"/>
          <w:b w:val="false"/>
          <w:i w:val="false"/>
          <w:color w:val="000000"/>
          <w:sz w:val="22"/>
        </w:rPr>
        <w:t>93.10(3)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Illness of the participant. When a participant is ill more than three consecutive days or if illness is habitual, the PROMISE JOBS worker may require medical documentation of the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Illness of family member. When a participant is required in the home due to illness of another family member, the PROMISE JOBS worker may require medical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Family emergency, using reasonable standards of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Bad weather, using reasonable standards of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Absence or tardiness due to participant’s or spouse’s job interview. When possible, the participant shall provide notice of the interview at least 24 hours in advance including the name and address of the employer conducting the interview. When 24-hour notice is not possible, notice must be given as soon as possible and before the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Leave due to the birth of a child. When a child is born after referral, necessary absence shall be determined in accordance with the Family Leave Act of 1993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Court appearance.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Attendance at school functions of the participant’s children or children in the participant’s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Attendance at required meetings with the department or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Absence due to up to ten holidays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participant must normally have been scheduled to work, or participate in an unpaid work activity on the given day and the work site or facility is closed due to a holiday, or open but the participant is allowed to take the participant’s normally scheduled hours off on a different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holidays included are New Year’s Day, Martin Luther King Day, President’s Day, Memorial Day, Fourth of July, Labor Day, Veterans Day, Thanksgiving, the day after Thanksgiving, and Christmas.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93.14(2)</w:t>
      </w:r>
      <w:r>
        <w:rPr>
          <w:rFonts w:ascii="Times New Roman" w:hAnsi="Times New Roman"/>
          <w:b w:val="false"/>
          <w:i w:val="false"/>
          <w:color w:val="000000"/>
          <w:sz w:val="22"/>
        </w:rPr>
        <w:t> </w:t>
      </w:r>
      <w:r>
        <w:rPr>
          <w:rFonts w:ascii="Times New Roman" w:hAnsi="Times New Roman"/>
          <w:b w:val="false"/>
          <w:i/>
          <w:color w:val="000000"/>
          <w:sz w:val="22"/>
        </w:rPr>
        <w:t xml:space="preserve">Problems leading to refusing or quitting a job or limiting or reducing hours. </w:t>
      </w:r>
      <w:r>
        <w:rPr>
          <w:rFonts w:ascii="Times New Roman" w:hAnsi="Times New Roman"/>
          <w:b w:val="false"/>
          <w:i w:val="false"/>
          <w:color w:val="000000"/>
          <w:sz w:val="22"/>
        </w:rPr>
        <w:t xml:space="preserve">The following problems may provide good cause for participation issues of refusing or quitting a job or limiting or reducing hours. PROMISE JOBS may require the participant to provide verification of the problem or barrier as described in subrule </w:t>
      </w:r>
      <w:r>
        <w:rPr>
          <w:rFonts w:ascii="Times New Roman" w:hAnsi="Times New Roman"/>
          <w:b w:val="false"/>
          <w:i w:val="false"/>
          <w:color w:val="000000"/>
          <w:sz w:val="22"/>
        </w:rPr>
        <w:t>93.10(3)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Required travel time from home to the job or available work experience or unpaid community service site exceeds one hour each way. This includes additional travel time necessary to take a child to a child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in </w:t>
      </w:r>
      <w:hyperlink r:id="rId131">
        <w:r>
          <w:rPr>
            <w:rStyle w:val="Hyperlink"/>
            <w:rFonts w:ascii="Times New Roman" w:hAnsi="Times New Roman"/>
            <w:b w:val="false"/>
            <w:i w:val="false"/>
            <w:color w:val="000000"/>
            <w:sz w:val="22"/>
          </w:rPr>
          <w:t>441—subrule 41.25(5)</w:t>
        </w:r>
      </w:hyperlink>
      <w:r>
        <w:rPr>
          <w:rFonts w:ascii="Times New Roman" w:hAnsi="Times New Roman"/>
          <w:b w:val="false"/>
          <w:i w:val="false"/>
          <w:color w:val="000000"/>
          <w:sz w:val="22"/>
        </w:rPr>
        <w:t>, work offered is at a site subject to a strike or lockout, unless the strike has been enjoined under Section 208 of the Labor-Management Relations Act (</w:t>
      </w:r>
      <w:r>
        <w:rPr>
          <w:rFonts w:ascii="Times New Roman" w:hAnsi="Times New Roman"/>
          <w:b w:val="false"/>
          <w:i w:val="false"/>
          <w:color w:val="000000"/>
          <w:sz w:val="22"/>
        </w:rPr>
        <w:t>29 U.S.C. 78A</w:t>
      </w:r>
      <w:r>
        <w:rPr>
          <w:rFonts w:ascii="Times New Roman" w:hAnsi="Times New Roman"/>
          <w:b w:val="false"/>
          <w:i w:val="false"/>
          <w:color w:val="000000"/>
          <w:sz w:val="22"/>
        </w:rPr>
        <w:t>, commonly known as the Taft-Hartley Act) as amended to August 1, 2024, or unless an injunction has been issued under Section 10 of the Railway Labor Act (</w:t>
      </w:r>
      <w:r>
        <w:rPr>
          <w:rFonts w:ascii="Times New Roman" w:hAnsi="Times New Roman"/>
          <w:b w:val="false"/>
          <w:i w:val="false"/>
          <w:color w:val="000000"/>
          <w:sz w:val="22"/>
        </w:rPr>
        <w:t>45 U.S.C. 160</w:t>
      </w:r>
      <w:r>
        <w:rPr>
          <w:rFonts w:ascii="Times New Roman" w:hAnsi="Times New Roman"/>
          <w:b w:val="false"/>
          <w:i w:val="false"/>
          <w:color w:val="000000"/>
          <w:sz w:val="22"/>
        </w:rPr>
        <w:t>)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work site violates applicable state or federal health and safety standards or workers’ compensation insurance is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job is contrary to the participant’s religious or ethical beliefs.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participant is required to join, resign from or refrain from joining a legitimate labor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Work requirements are beyond the mental or physical capabilities as documented by medical evidence or other reliable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Discrimination by an employer based on age, race, sex, color, disability, religion, national origin or political beliefs.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Work demands or conditions render continued employment unreasonable, such as working without being paid 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Circumstances beyond the control of the participant, such as interruption of regular mail delivery or other disruptions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Employment change or termination is part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Job does not pay at least the minimum amount customary for the same work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participant terminates employment in order to take a better-paying job, even though hours of the new job may be less than those in the previous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employment would result in the family of the participant experiencing a net loss of cash income. Net loss of cash income results if the family’s gross income less necessary work-related expenses is less than the cash assistance the person was receiving at the time the offer of employment is made. Gross income includes, but is not limited to, earnings, unearned income, and cash assistance. Gross income does not include SNAP benefits and in-kind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employment changes substantially from the terms of hire, such as a change in work hours or work shift or a decrease in pay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93.14(3)</w:t>
      </w:r>
      <w:r>
        <w:rPr>
          <w:rFonts w:ascii="Times New Roman" w:hAnsi="Times New Roman"/>
          <w:b w:val="false"/>
          <w:i w:val="false"/>
          <w:color w:val="000000"/>
          <w:sz w:val="22"/>
        </w:rPr>
        <w:t> </w:t>
      </w:r>
      <w:r>
        <w:rPr>
          <w:rFonts w:ascii="Times New Roman" w:hAnsi="Times New Roman"/>
          <w:b w:val="false"/>
          <w:i/>
          <w:color w:val="000000"/>
          <w:sz w:val="22"/>
        </w:rPr>
        <w:t xml:space="preserve">Other problems. </w:t>
      </w:r>
      <w:r>
        <w:rPr>
          <w:rFonts w:ascii="Times New Roman" w:hAnsi="Times New Roman"/>
          <w:b w:val="false"/>
          <w:i w:val="false"/>
          <w:color w:val="000000"/>
          <w:sz w:val="22"/>
        </w:rPr>
        <w:t xml:space="preserve">The PROMISE JOBS worker may identify circumstances that could negatively impact the participant’s achievement of self-sufficiency that are not described in subrule </w:t>
      </w:r>
      <w:r>
        <w:rPr>
          <w:rFonts w:ascii="Times New Roman" w:hAnsi="Times New Roman"/>
          <w:b w:val="false"/>
          <w:i w:val="false"/>
          <w:color w:val="000000"/>
          <w:sz w:val="22"/>
        </w:rPr>
        <w:t>93.14(1)</w:t>
      </w:r>
      <w:r>
        <w:rPr>
          <w:rFonts w:ascii="Times New Roman" w:hAnsi="Times New Roman"/>
          <w:b w:val="false"/>
          <w:i w:val="false"/>
          <w:color w:val="000000"/>
          <w:sz w:val="22"/>
        </w:rPr>
        <w:t xml:space="preserve"> or </w:t>
      </w:r>
      <w:r>
        <w:rPr>
          <w:rFonts w:ascii="Times New Roman" w:hAnsi="Times New Roman"/>
          <w:b w:val="false"/>
          <w:i w:val="false"/>
          <w:color w:val="000000"/>
          <w:sz w:val="22"/>
        </w:rPr>
        <w:t>93.14(2)</w:t>
      </w:r>
      <w:r>
        <w:rPr>
          <w:rFonts w:ascii="Times New Roman" w:hAnsi="Times New Roman"/>
          <w:b w:val="false"/>
          <w:i w:val="false"/>
          <w:color w:val="000000"/>
          <w:sz w:val="22"/>
        </w:rPr>
        <w:t>. When this occurs, the case shall be referred to the department for a determination as to whether the problems are acceptable reasons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participating,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Refusing or quitting a job,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Discharge from employment due to misconduct as described in paragraph </w:t>
      </w:r>
      <w:r>
        <w:rPr>
          <w:rFonts w:ascii="Times New Roman" w:hAnsi="Times New Roman"/>
          <w:b w:val="false"/>
          <w:i w:val="false"/>
          <w:color w:val="000000"/>
          <w:sz w:val="22"/>
        </w:rPr>
        <w:t>93.13(2)</w:t>
      </w:r>
      <w:r>
        <w:rPr>
          <w:rFonts w:ascii="Times New Roman" w:hAnsi="Times New Roman"/>
          <w:b w:val="false"/>
          <w:i/>
          <w:color w:val="000000"/>
          <w:sz w:val="22"/>
        </w:rPr>
        <w:t>“i.”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441—93.15</w:t>
      </w:r>
      <w:r>
        <w:rPr>
          <w:rFonts w:ascii="Times New Roman" w:hAnsi="Times New Roman"/>
          <w:b/>
          <w:i w:val="false"/>
          <w:color w:val="000000"/>
          <w:sz w:val="22"/>
        </w:rPr>
        <w:t xml:space="preserve">(239B)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In accordance with </w:t>
      </w:r>
      <w:hyperlink r:id="rId13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each applicant or participant is entitled to appeal and to be granted a hearing over disputes regarding: (1) services being received; (2) services that have been requested and denied, reduced, canceled, or inadequately provided; and (3) overpayments of PROMISE JOBS expense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93.15(1)</w:t>
      </w:r>
      <w:r>
        <w:rPr>
          <w:rFonts w:ascii="Times New Roman" w:hAnsi="Times New Roman"/>
          <w:b w:val="false"/>
          <w:i w:val="false"/>
          <w:color w:val="000000"/>
          <w:sz w:val="22"/>
        </w:rPr>
        <w:t> </w:t>
      </w:r>
      <w:r>
        <w:rPr>
          <w:rFonts w:ascii="Times New Roman" w:hAnsi="Times New Roman"/>
          <w:b w:val="false"/>
          <w:i/>
          <w:color w:val="000000"/>
          <w:sz w:val="22"/>
        </w:rPr>
        <w:t xml:space="preserve">Informal resolution process. </w:t>
      </w:r>
      <w:r>
        <w:rPr>
          <w:rFonts w:ascii="Times New Roman" w:hAnsi="Times New Roman"/>
          <w:b w:val="false"/>
          <w:i w:val="false"/>
          <w:color w:val="000000"/>
          <w:sz w:val="22"/>
        </w:rPr>
        <w:t>When there is a disagreement between the participant and the immediate PROMISE JOBS worker regarding the participant’s FIA or participation in PROMISE JOBS components, the participant may request an interview with the supervisor and a decision on the dispute. The supervisor shall schedule a face-to-face interview with the participant within 7 days and issue a decision in writing within 14 days of the participant’s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93.15(2)</w:t>
      </w:r>
      <w:r>
        <w:rPr>
          <w:rFonts w:ascii="Times New Roman" w:hAnsi="Times New Roman"/>
          <w:b w:val="false"/>
          <w:i w:val="false"/>
          <w:color w:val="000000"/>
          <w:sz w:val="22"/>
        </w:rPr>
        <w:t> </w:t>
      </w:r>
      <w:r>
        <w:rPr>
          <w:rFonts w:ascii="Times New Roman" w:hAnsi="Times New Roman"/>
          <w:b w:val="false"/>
          <w:i/>
          <w:color w:val="000000"/>
          <w:sz w:val="22"/>
        </w:rPr>
        <w:t xml:space="preserve">Appeal on the content of the FIA. </w:t>
      </w:r>
      <w:r>
        <w:rPr>
          <w:rFonts w:ascii="Times New Roman" w:hAnsi="Times New Roman"/>
          <w:b w:val="false"/>
          <w:i w:val="false"/>
          <w:color w:val="000000"/>
          <w:sz w:val="22"/>
        </w:rPr>
        <w:t xml:space="preserve">A participant shall have the right to appeal the content of the FIA when the informal resolution process described in subrule </w:t>
      </w:r>
      <w:hyperlink r:id="rId133">
        <w:r>
          <w:rPr>
            <w:rStyle w:val="Hyperlink"/>
            <w:rFonts w:ascii="Times New Roman" w:hAnsi="Times New Roman"/>
            <w:b w:val="false"/>
            <w:i w:val="false"/>
            <w:color w:val="000000"/>
            <w:sz w:val="22"/>
          </w:rPr>
          <w:t>93.15(1)</w:t>
        </w:r>
      </w:hyperlink>
      <w:r>
        <w:rPr>
          <w:rFonts w:ascii="Times New Roman" w:hAnsi="Times New Roman"/>
          <w:b w:val="false"/>
          <w:i w:val="false"/>
          <w:color w:val="000000"/>
          <w:sz w:val="22"/>
        </w:rPr>
        <w:t xml:space="preserve"> does not resolve a disagreement between the participant and the PROMISE JOBS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93.15(3)</w:t>
      </w:r>
      <w:r>
        <w:rPr>
          <w:rFonts w:ascii="Times New Roman" w:hAnsi="Times New Roman"/>
          <w:b w:val="false"/>
          <w:i w:val="false"/>
          <w:color w:val="000000"/>
          <w:sz w:val="22"/>
        </w:rPr>
        <w:t> </w:t>
      </w:r>
      <w:r>
        <w:rPr>
          <w:rFonts w:ascii="Times New Roman" w:hAnsi="Times New Roman"/>
          <w:b w:val="false"/>
          <w:i/>
          <w:color w:val="000000"/>
          <w:sz w:val="22"/>
        </w:rPr>
        <w:t xml:space="preserve">Appeal of an alleged violation of PROMISE JOBS program policy. </w:t>
      </w:r>
      <w:r>
        <w:rPr>
          <w:rFonts w:ascii="Times New Roman" w:hAnsi="Times New Roman"/>
          <w:b w:val="false"/>
          <w:i w:val="false"/>
          <w:color w:val="000000"/>
          <w:sz w:val="22"/>
        </w:rPr>
        <w:t>Participants shall have the right to file a written appeal concerning any alleged violation of a PROMISE JOBS program policy that is imposed as a condition of participation. PROMISE JOBS shall provide the participant with written documentation that specifies the participation requirement in dispute.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93.15(4)</w:t>
      </w:r>
      <w:r>
        <w:rPr>
          <w:rFonts w:ascii="Times New Roman" w:hAnsi="Times New Roman"/>
          <w:b w:val="false"/>
          <w:i w:val="false"/>
          <w:color w:val="000000"/>
          <w:sz w:val="22"/>
        </w:rPr>
        <w:t> </w:t>
      </w:r>
      <w:r>
        <w:rPr>
          <w:rFonts w:ascii="Times New Roman" w:hAnsi="Times New Roman"/>
          <w:b w:val="false"/>
          <w:i/>
          <w:color w:val="000000"/>
          <w:sz w:val="22"/>
        </w:rPr>
        <w:t xml:space="preserve">Appeal rights under the LBP. </w:t>
      </w:r>
      <w:r>
        <w:rPr>
          <w:rFonts w:ascii="Times New Roman" w:hAnsi="Times New Roman"/>
          <w:b w:val="false"/>
          <w:i w:val="false"/>
          <w:color w:val="000000"/>
          <w:sz w:val="22"/>
        </w:rPr>
        <w:t>A participant has the right to appeal the establishment of the LBP only once, at the time the department issues the timely and adequate notice that establishes the LBP. However, when the reason for the appeal is based on incorrect grant computation, an error in determining the eligible group, or another worker error, a hearing shall be granted when the appeal otherwise meets the criteria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93.15(5)</w:t>
      </w:r>
      <w:r>
        <w:rPr>
          <w:rFonts w:ascii="Times New Roman" w:hAnsi="Times New Roman"/>
          <w:b w:val="false"/>
          <w:i w:val="false"/>
          <w:color w:val="000000"/>
          <w:sz w:val="22"/>
        </w:rPr>
        <w:t> </w:t>
      </w:r>
      <w:r>
        <w:rPr>
          <w:rFonts w:ascii="Times New Roman" w:hAnsi="Times New Roman"/>
          <w:b w:val="false"/>
          <w:i/>
          <w:color w:val="000000"/>
          <w:sz w:val="22"/>
        </w:rPr>
        <w:t xml:space="preserve">Recovery of assistance when a new LBP is established. </w:t>
      </w:r>
      <w:r>
        <w:rPr>
          <w:rFonts w:ascii="Times New Roman" w:hAnsi="Times New Roman"/>
          <w:b w:val="false"/>
          <w:i w:val="false"/>
          <w:color w:val="000000"/>
          <w:sz w:val="22"/>
        </w:rPr>
        <w:t>Assistance issued pending the final decision of the appeal is not subject to recovery when a new LBP period is established. A new LBP period shall be established when the department is affirmed in a timely appeal of the establishment of the LBP. All of the following conditions shall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appeal is filed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the effective date of the intended action on the notice of decision or notice of action establishing the beginning date of the LBP,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ten days from the date on which a notice establishing the beginning date of the LBP is received. The date on which notice is received is considered to be five days after the date on the notice, unless the intended recipient shows that the recipient did not receive the notice within the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Assistance is continued pending the final decision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department’s action is affirmed.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93.15(6)</w:t>
      </w:r>
      <w:r>
        <w:rPr>
          <w:rFonts w:ascii="Times New Roman" w:hAnsi="Times New Roman"/>
          <w:b w:val="false"/>
          <w:i w:val="false"/>
          <w:color w:val="000000"/>
          <w:sz w:val="22"/>
        </w:rPr>
        <w:t> </w:t>
      </w:r>
      <w:r>
        <w:rPr>
          <w:rFonts w:ascii="Times New Roman" w:hAnsi="Times New Roman"/>
          <w:b w:val="false"/>
          <w:i/>
          <w:color w:val="000000"/>
          <w:sz w:val="22"/>
        </w:rPr>
        <w:t xml:space="preserve">Request for a hearing on work conditions or availability of workers’ compensation coverage. </w:t>
      </w:r>
      <w:r>
        <w:rPr>
          <w:rFonts w:ascii="Times New Roman" w:hAnsi="Times New Roman"/>
          <w:b w:val="false"/>
          <w:i w:val="false"/>
          <w:color w:val="000000"/>
          <w:sz w:val="22"/>
        </w:rPr>
        <w:t>A participant who is enrolled in the PROMISE JOBS program may request a hearing if dissatisfied with working conditions, the availability of workers’ compensation coverage or the wage rate used in determining hours of work experience program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any involved party is dissatisfied with the department’s final decision, the dissatisfied party shall be informed of the right to appeal the issue to the Secretary of Labor, Office of Administrative Law Judges, U.S. Department of Labor, within 20 days of receipt of the decision. The department may assist with the appeal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the department’s final decision shall be considered received the second day after the date that the written decision was mailed, unless the intended recipient can demonstrate that it was not received on the second day after the mailing date. When the second day falls on a Sunday or legal holiday, the time shall be extended to the next mail delivery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option to appeal to the Secretary of Labor does not preclude an individual from exercising any right to judicial review provided in Iowa Code chapter </w:t>
      </w:r>
      <w:hyperlink r:id="rId1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as described in </w:t>
      </w:r>
      <w:hyperlink r:id="rId13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441—93.16</w:t>
      </w:r>
      <w:r>
        <w:rPr>
          <w:rFonts w:ascii="Times New Roman" w:hAnsi="Times New Roman"/>
          <w:b/>
          <w:i w:val="false"/>
          <w:color w:val="000000"/>
          <w:sz w:val="22"/>
        </w:rPr>
        <w:t xml:space="preserve">(239B) </w:t>
      </w:r>
      <w:r>
        <w:rPr>
          <w:rFonts w:ascii="Times New Roman" w:hAnsi="Times New Roman"/>
          <w:b/>
          <w:i w:val="false"/>
          <w:color w:val="000000"/>
          <w:sz w:val="22"/>
        </w:rPr>
        <w:t xml:space="preserve">Resolution of an LBP.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93.16(1)</w:t>
      </w:r>
      <w:r>
        <w:rPr>
          <w:rFonts w:ascii="Times New Roman" w:hAnsi="Times New Roman"/>
          <w:b w:val="false"/>
          <w:i w:val="false"/>
          <w:color w:val="000000"/>
          <w:sz w:val="22"/>
        </w:rPr>
        <w:t> </w:t>
      </w:r>
      <w:r>
        <w:rPr>
          <w:rFonts w:ascii="Times New Roman" w:hAnsi="Times New Roman"/>
          <w:b w:val="false"/>
          <w:i/>
          <w:color w:val="000000"/>
          <w:sz w:val="22"/>
        </w:rPr>
        <w:t xml:space="preserve">Resolution process for a first LBP. </w:t>
      </w:r>
      <w:r>
        <w:rPr>
          <w:rFonts w:ascii="Times New Roman" w:hAnsi="Times New Roman"/>
          <w:b w:val="false"/>
          <w:i w:val="false"/>
          <w:color w:val="000000"/>
          <w:sz w:val="22"/>
        </w:rPr>
        <w:t xml:space="preserve">For participants who choose a first LBP, the notice of decision shall inform the participant of the action needed to reconsider the LBP as described in </w:t>
      </w:r>
      <w:hyperlink r:id="rId136">
        <w:r>
          <w:rPr>
            <w:rStyle w:val="Hyperlink"/>
            <w:rFonts w:ascii="Times New Roman" w:hAnsi="Times New Roman"/>
            <w:b w:val="false"/>
            <w:i w:val="false"/>
            <w:color w:val="000000"/>
            <w:sz w:val="22"/>
          </w:rPr>
          <w:t>441—subparagraph 41.24(8)</w:t>
        </w:r>
      </w:hyperlink>
      <w:r>
        <w:rPr>
          <w:rFonts w:ascii="Times New Roman" w:hAnsi="Times New Roman"/>
          <w:b w:val="false"/>
          <w:i/>
          <w:color w:val="000000"/>
          <w:sz w:val="22"/>
        </w:rPr>
        <w:t>“d”</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decision establishing a first LBP will inform the FIP participant that the participant may reconsider at any time from the date timely and adequate notice is issued establishing the LBP. The notice of decision will inform the participant that the participant shall contact the department or appropriate PROMISE JOBS office to reconsider the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participant contacts either the income maintenance worker or the PROMISE JOBS office, the participant shall be scheduled to begin or resume development of the FIA as described elsewhere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FIA is signed, the PROMISE JOBS worker shall notify the department and the LBP shall be terminated. FIP benefits shall be effective as described in </w:t>
      </w:r>
      <w:hyperlink r:id="rId137">
        <w:r>
          <w:rPr>
            <w:rStyle w:val="Hyperlink"/>
            <w:rFonts w:ascii="Times New Roman" w:hAnsi="Times New Roman"/>
            <w:b w:val="false"/>
            <w:i w:val="false"/>
            <w:color w:val="000000"/>
            <w:sz w:val="22"/>
          </w:rPr>
          <w:t>441—subparagraph 41.24(8)</w:t>
        </w:r>
      </w:hyperlink>
      <w:r>
        <w:rPr>
          <w:rFonts w:ascii="Times New Roman" w:hAnsi="Times New Roman"/>
          <w:b w:val="false"/>
          <w:i/>
          <w:color w:val="000000"/>
          <w:sz w:val="22"/>
        </w:rPr>
        <w:t>“d”</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93.16(2)</w:t>
      </w:r>
      <w:r>
        <w:rPr>
          <w:rFonts w:ascii="Times New Roman" w:hAnsi="Times New Roman"/>
          <w:b w:val="false"/>
          <w:i w:val="false"/>
          <w:color w:val="000000"/>
          <w:sz w:val="22"/>
        </w:rPr>
        <w:t> </w:t>
      </w:r>
      <w:r>
        <w:rPr>
          <w:rFonts w:ascii="Times New Roman" w:hAnsi="Times New Roman"/>
          <w:b w:val="false"/>
          <w:i/>
          <w:color w:val="000000"/>
          <w:sz w:val="22"/>
        </w:rPr>
        <w:t xml:space="preserve">Resolution process for a subsequent LBP. </w:t>
      </w:r>
      <w:r>
        <w:rPr>
          <w:rFonts w:ascii="Times New Roman" w:hAnsi="Times New Roman"/>
          <w:b w:val="false"/>
          <w:i w:val="false"/>
          <w:color w:val="000000"/>
          <w:sz w:val="22"/>
        </w:rPr>
        <w:t xml:space="preserve">The notice of decision establishing a subsequent LBP will inform the FIP participant of the six-month ineligibility period and that the participant may reconsider at any time following the six-month ineligibility period. To reconsider, the participant must complete significant contact with or action in regard to the PROMISE JOBS program as described in </w:t>
      </w:r>
      <w:hyperlink r:id="rId138">
        <w:r>
          <w:rPr>
            <w:rStyle w:val="Hyperlink"/>
            <w:rFonts w:ascii="Times New Roman" w:hAnsi="Times New Roman"/>
            <w:b w:val="false"/>
            <w:i w:val="false"/>
            <w:color w:val="000000"/>
            <w:sz w:val="22"/>
          </w:rPr>
          <w:t>441—subparagraph 41.24(8)</w:t>
        </w:r>
      </w:hyperlink>
      <w:r>
        <w:rPr>
          <w:rFonts w:ascii="Times New Roman" w:hAnsi="Times New Roman"/>
          <w:b w:val="false"/>
          <w:i/>
          <w:color w:val="000000"/>
          <w:sz w:val="22"/>
        </w:rPr>
        <w:t>“e”</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six-month ineligibility period ends and the participant contacts either the income maintenance worker or the PROMISE JOBS office, the participant shall be scheduled to sign a new or updated FIA and to begin significant action as described in </w:t>
      </w:r>
      <w:hyperlink r:id="rId139">
        <w:r>
          <w:rPr>
            <w:rStyle w:val="Hyperlink"/>
            <w:rFonts w:ascii="Times New Roman" w:hAnsi="Times New Roman"/>
            <w:b w:val="false"/>
            <w:i w:val="false"/>
            <w:color w:val="000000"/>
            <w:sz w:val="22"/>
          </w:rPr>
          <w:t>441—subparagraph 41.24(8)</w:t>
        </w:r>
      </w:hyperlink>
      <w:r>
        <w:rPr>
          <w:rFonts w:ascii="Times New Roman" w:hAnsi="Times New Roman"/>
          <w:b w:val="false"/>
          <w:i/>
          <w:color w:val="000000"/>
          <w:sz w:val="22"/>
        </w:rPr>
        <w:t>“e”</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FIA is signed and the participant has satisfactorily completed the significant action, the PROMISE JOBS worker shall notify the department and the LBP shall be terminated. FIP benefits shall be effective as described in </w:t>
      </w:r>
      <w:hyperlink r:id="rId140">
        <w:r>
          <w:rPr>
            <w:rStyle w:val="Hyperlink"/>
            <w:rFonts w:ascii="Times New Roman" w:hAnsi="Times New Roman"/>
            <w:b w:val="false"/>
            <w:i w:val="false"/>
            <w:color w:val="000000"/>
            <w:sz w:val="22"/>
          </w:rPr>
          <w:t>441—subparagraph 41.24(8)</w:t>
        </w:r>
      </w:hyperlink>
      <w:r>
        <w:rPr>
          <w:rFonts w:ascii="Times New Roman" w:hAnsi="Times New Roman"/>
          <w:b w:val="false"/>
          <w:i/>
          <w:color w:val="000000"/>
          <w:sz w:val="22"/>
        </w:rPr>
        <w:t>“e”</w:t>
      </w:r>
      <w:r>
        <w:rPr>
          <w:rFonts w:ascii="Times New Roman" w:hAnsi="Times New Roman"/>
          <w:b w:val="false"/>
          <w:i w:val="false"/>
          <w:color w:val="000000"/>
          <w:sz w:val="22"/>
        </w:rPr>
        <w:t>(4).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441—93.17</w:t>
      </w:r>
      <w:r>
        <w:rPr>
          <w:rFonts w:ascii="Times New Roman" w:hAnsi="Times New Roman"/>
          <w:b/>
          <w:i w:val="false"/>
          <w:color w:val="000000"/>
          <w:sz w:val="22"/>
        </w:rPr>
        <w:t xml:space="preserve">(239B) </w:t>
      </w:r>
      <w:r>
        <w:rPr>
          <w:rFonts w:ascii="Times New Roman" w:hAnsi="Times New Roman"/>
          <w:b/>
          <w:i w:val="false"/>
          <w:color w:val="000000"/>
          <w:sz w:val="22"/>
        </w:rPr>
        <w:t xml:space="preserve">Worker displacement grievance procedure. </w:t>
      </w:r>
      <w:r>
        <w:rPr>
          <w:rFonts w:ascii="Times New Roman" w:hAnsi="Times New Roman"/>
          <w:b w:val="false"/>
          <w:i w:val="false"/>
          <w:color w:val="000000"/>
          <w:sz w:val="22"/>
        </w:rPr>
        <w:t>The PROMISE JOBS program shall provide a grievance procedure to address and resolve public complaints regarding the displacement of regular workers with program participants in a work experience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93.17(1)</w:t>
      </w:r>
      <w:r>
        <w:rPr>
          <w:rFonts w:ascii="Times New Roman" w:hAnsi="Times New Roman"/>
          <w:b w:val="false"/>
          <w:i w:val="false"/>
          <w:color w:val="000000"/>
          <w:sz w:val="22"/>
        </w:rPr>
        <w:t> </w:t>
      </w:r>
      <w:r>
        <w:rPr>
          <w:rFonts w:ascii="Times New Roman" w:hAnsi="Times New Roman"/>
          <w:b w:val="false"/>
          <w:i w:val="false"/>
          <w:color w:val="000000"/>
          <w:sz w:val="22"/>
        </w:rPr>
        <w:t>The procedure shall provide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Complaints must be filed in writing and received by the PROMISE JOBS service provider within one year of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representative of the PROMISE JOBS service provider must schedule a face-to-face interview with the complainant within 7 days of the date the complaint is filed, to provide the opportunity for informal resolution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notice of the location, date and time of the face-to-face interview must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opportunity must be provided to present evidence at the face-to-face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representative of the PROMISE JOBS service provider shall issue a decision in writing within 14 days of the date a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explanation must be provided to all involved parties of the right to file a written appeal, according to </w:t>
      </w:r>
      <w:hyperlink r:id="rId14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if the opportunity for informal resolution is declined, if a party receives an adverse decision from the PROMISE JOBS service provider, or if there is no decision within the 14-day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considered, an appeal must be filed with the department within 10 days of the mailing date of the adverse decision or within 24 days of the date a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appeal hearing will not be granted until informal resolution procedures have been exhausted, unless a decision has not been issued within 24 days of the complaint filing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93.17(2)</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final decision within 90 days of the date the complaint was filed with the PROMISE JOBS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93.17(3)</w:t>
      </w:r>
      <w:r>
        <w:rPr>
          <w:rFonts w:ascii="Times New Roman" w:hAnsi="Times New Roman"/>
          <w:b w:val="false"/>
          <w:i w:val="false"/>
          <w:color w:val="000000"/>
          <w:sz w:val="22"/>
        </w:rPr>
        <w:t> </w:t>
      </w:r>
      <w:r>
        <w:rPr>
          <w:rFonts w:ascii="Times New Roman" w:hAnsi="Times New Roman"/>
          <w:b w:val="false"/>
          <w:i w:val="false"/>
          <w:color w:val="000000"/>
          <w:sz w:val="22"/>
        </w:rPr>
        <w:t>Any dissatisfied party will be informed of the right to appeal the decision of the department to the Secretary of Labor, Office of Administrative Law Judges, U.S. Department of Labor, within 20 days of the receipt of the department’s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the department’s final decision will be considered received the second day after the date that the written decision was mailed unless the intended recipient can demonstrate that it was not received on the second day after the mailing date. When the second day falls on a Sunday or legal holiday, the time shall be extended to the next mail delivery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option to appeal to the Secretary of Labor does not preclude an individual from exercising any right to judicial review as provided in Iowa Code chapter </w:t>
      </w:r>
      <w:hyperlink r:id="rId14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as described in </w:t>
      </w:r>
      <w:hyperlink r:id="rId143">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93.17(4)</w:t>
      </w:r>
      <w:r>
        <w:rPr>
          <w:rFonts w:ascii="Times New Roman" w:hAnsi="Times New Roman"/>
          <w:b w:val="false"/>
          <w:i w:val="false"/>
          <w:color w:val="000000"/>
          <w:sz w:val="22"/>
        </w:rPr>
        <w:t> </w:t>
      </w:r>
      <w:r>
        <w:rPr>
          <w:rFonts w:ascii="Times New Roman" w:hAnsi="Times New Roman"/>
          <w:b w:val="false"/>
          <w:i w:val="false"/>
          <w:color w:val="000000"/>
          <w:sz w:val="22"/>
        </w:rPr>
        <w:t>Upon notice of a complaint or grievance, the PROMISE JOBS office must provide the complaining party with a copy of the grievance procedures, notification of the right to file a formal complaint and instruction on how to file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93.17(5)</w:t>
      </w:r>
      <w:r>
        <w:rPr>
          <w:rFonts w:ascii="Times New Roman" w:hAnsi="Times New Roman"/>
          <w:b w:val="false"/>
          <w:i w:val="false"/>
          <w:color w:val="000000"/>
          <w:sz w:val="22"/>
        </w:rPr>
        <w:t> </w:t>
      </w:r>
      <w:r>
        <w:rPr>
          <w:rFonts w:ascii="Times New Roman" w:hAnsi="Times New Roman"/>
          <w:b w:val="false"/>
          <w:i w:val="false"/>
          <w:color w:val="000000"/>
          <w:sz w:val="22"/>
        </w:rPr>
        <w:t>Upon filing a complaint, and at each stage thereafter, each complainant must be notified in writing of the next step in the complaint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93.17(6)</w:t>
      </w:r>
      <w:r>
        <w:rPr>
          <w:rFonts w:ascii="Times New Roman" w:hAnsi="Times New Roman"/>
          <w:b w:val="false"/>
          <w:i w:val="false"/>
          <w:color w:val="000000"/>
          <w:sz w:val="22"/>
        </w:rPr>
        <w:t> </w:t>
      </w:r>
      <w:r>
        <w:rPr>
          <w:rFonts w:ascii="Times New Roman" w:hAnsi="Times New Roman"/>
          <w:b w:val="false"/>
          <w:i w:val="false"/>
          <w:color w:val="000000"/>
          <w:sz w:val="22"/>
        </w:rPr>
        <w:t>The identity of any person who has furnished information relating to, or assisting in, an investigation of a possible violation must be kept confidential to the extent possible, consistent with due process and a fair determination of the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93.17(7)</w:t>
      </w:r>
      <w:r>
        <w:rPr>
          <w:rFonts w:ascii="Times New Roman" w:hAnsi="Times New Roman"/>
          <w:b w:val="false"/>
          <w:i w:val="false"/>
          <w:color w:val="000000"/>
          <w:sz w:val="22"/>
        </w:rPr>
        <w:t> </w:t>
      </w:r>
      <w:r>
        <w:rPr>
          <w:rFonts w:ascii="Times New Roman" w:hAnsi="Times New Roman"/>
          <w:b w:val="false"/>
          <w:i w:val="false"/>
          <w:color w:val="000000"/>
          <w:sz w:val="22"/>
        </w:rPr>
        <w:t>All employers who participate in the PROMISE JOBS program shall provide assurances that all regular employees are aware of this grievance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9281C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44">
        <w:r>
          <w:rPr>
            <w:rStyle w:val="Hyperlink"/>
            <w:rFonts w:ascii="Times New Roman" w:hAnsi="Times New Roman"/>
            <w:b w:val="false"/>
            <w:i w:val="false"/>
            <w:color w:val="000000"/>
            <w:sz w:val="22"/>
          </w:rPr>
          <w:t>239B.17</w:t>
        </w:r>
      </w:hyperlink>
      <w:r>
        <w:rPr>
          <w:rFonts w:ascii="Times New Roman" w:hAnsi="Times New Roman"/>
          <w:b w:val="false"/>
          <w:i w:val="false"/>
          <w:color w:val="000000"/>
          <w:sz w:val="22"/>
        </w:rPr>
        <w:t xml:space="preserve"> through </w:t>
      </w:r>
      <w:hyperlink r:id="rId145">
        <w:r>
          <w:rPr>
            <w:rStyle w:val="Hyperlink"/>
            <w:rFonts w:ascii="Times New Roman" w:hAnsi="Times New Roman"/>
            <w:b w:val="false"/>
            <w:i w:val="false"/>
            <w:color w:val="000000"/>
            <w:sz w:val="22"/>
          </w:rPr>
          <w:t>239B.22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6/29/89 after Notice 5/3/89—published 7/26/89, effective 7/1/89]</w:t>
      </w:r>
    </w:p>
    <w:p>
      <w:pPr>
        <w:spacing w:before="0" w:after="0"/>
        <w:ind w:left="120"/>
        <w:jc w:val="center"/>
      </w:pPr>
      <w:r>
        <w:rPr>
          <w:rFonts w:ascii="Times New Roman" w:hAnsi="Times New Roman"/>
          <w:b w:val="false"/>
          <w:i w:val="false"/>
          <w:color w:val="000000"/>
          <w:sz w:val="21"/>
        </w:rPr>
        <w:t>[Filed 12/15/89, Notice 7/26/89—published 1/10/90, effective 3/1/90]</w:t>
      </w:r>
    </w:p>
    <w:p>
      <w:pPr>
        <w:spacing w:before="0" w:after="0"/>
        <w:ind w:left="120"/>
        <w:jc w:val="center"/>
      </w:pPr>
      <w:r>
        <w:rPr>
          <w:rFonts w:ascii="Times New Roman" w:hAnsi="Times New Roman"/>
          <w:b w:val="false"/>
          <w:i w:val="false"/>
          <w:color w:val="000000"/>
          <w:sz w:val="21"/>
        </w:rPr>
        <w:t>[Filed 4/13/90, Notice 2/21/90—published 5/2/90, effective 7/1/90]</w:t>
      </w:r>
    </w:p>
    <w:p>
      <w:pPr>
        <w:spacing w:before="0" w:after="0"/>
        <w:ind w:left="120"/>
        <w:jc w:val="center"/>
      </w:pPr>
      <w:r>
        <w:rPr>
          <w:rFonts w:ascii="Times New Roman" w:hAnsi="Times New Roman"/>
          <w:b w:val="false"/>
          <w:i w:val="false"/>
          <w:color w:val="000000"/>
          <w:sz w:val="21"/>
        </w:rPr>
        <w:t>[Filed without Notice 7/13/90—published 8/8/90, effective 10/1/90]</w:t>
      </w:r>
    </w:p>
    <w:p>
      <w:pPr>
        <w:spacing w:before="0" w:after="0"/>
        <w:ind w:left="120"/>
        <w:jc w:val="center"/>
      </w:pPr>
      <w:r>
        <w:rPr>
          <w:rFonts w:ascii="Times New Roman" w:hAnsi="Times New Roman"/>
          <w:b w:val="false"/>
          <w:i w:val="false"/>
          <w:color w:val="000000"/>
          <w:sz w:val="21"/>
        </w:rPr>
        <w:t>[Filed 9/28/90, Notice 8/8/90—published 10/17/90, effective 12/1/90]</w:t>
      </w:r>
    </w:p>
    <w:p>
      <w:pPr>
        <w:spacing w:before="0" w:after="0"/>
        <w:ind w:left="120"/>
        <w:jc w:val="center"/>
      </w:pPr>
      <w:r>
        <w:rPr>
          <w:rFonts w:ascii="Times New Roman" w:hAnsi="Times New Roman"/>
          <w:b w:val="false"/>
          <w:i w:val="false"/>
          <w:color w:val="000000"/>
          <w:sz w:val="21"/>
        </w:rPr>
        <w:t>[Filed 5/17/91, Notice 3/20/91—published 6/12/91, effective 8/1/91]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emergency 10/10/91 after Notice 8/21/91—published 10/30/91, effective 11/1/91]</w:t>
      </w:r>
    </w:p>
    <w:p>
      <w:pPr>
        <w:spacing w:before="0" w:after="0"/>
        <w:ind w:left="120"/>
        <w:jc w:val="center"/>
      </w:pPr>
      <w:r>
        <w:rPr>
          <w:rFonts w:ascii="Times New Roman" w:hAnsi="Times New Roman"/>
          <w:b w:val="false"/>
          <w:i w:val="false"/>
          <w:color w:val="000000"/>
          <w:sz w:val="21"/>
        </w:rPr>
        <w:t>[Filed 11/15/91, Notice 9/18/91—published 12/11/91, effective 2/1/92]</w:t>
      </w:r>
    </w:p>
    <w:p>
      <w:pPr>
        <w:spacing w:before="0" w:after="0"/>
        <w:ind w:left="120"/>
        <w:jc w:val="center"/>
      </w:pPr>
      <w:r>
        <w:rPr>
          <w:rFonts w:ascii="Times New Roman" w:hAnsi="Times New Roman"/>
          <w:b w:val="false"/>
          <w:i w:val="false"/>
          <w:color w:val="000000"/>
          <w:sz w:val="21"/>
        </w:rPr>
        <w:t>[Filed 4/16/92, Notice 2/19/92—published 5/13/92, effective 7/1/92]</w:t>
      </w:r>
    </w:p>
    <w:p>
      <w:pPr>
        <w:spacing w:before="0" w:after="0"/>
        <w:ind w:left="120"/>
        <w:jc w:val="center"/>
      </w:pPr>
      <w:r>
        <w:rPr>
          <w:rFonts w:ascii="Times New Roman" w:hAnsi="Times New Roman"/>
          <w:b w:val="false"/>
          <w:i w:val="false"/>
          <w:color w:val="000000"/>
          <w:sz w:val="21"/>
        </w:rPr>
        <w:t>[Filed 2/10/93, Notice 1/6/93—published 3/3/93, effective 5/1/93]</w:t>
      </w:r>
    </w:p>
    <w:p>
      <w:pPr>
        <w:spacing w:before="0" w:after="0"/>
        <w:ind w:left="120"/>
        <w:jc w:val="center"/>
      </w:pPr>
      <w:r>
        <w:rPr>
          <w:rFonts w:ascii="Times New Roman" w:hAnsi="Times New Roman"/>
          <w:b w:val="false"/>
          <w:i w:val="false"/>
          <w:color w:val="000000"/>
          <w:sz w:val="21"/>
        </w:rPr>
        <w:t>[Filed 6/9/93, Notice 4/14/93—published 6/23/93, effective 8/1/93]</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emergency 11/12/93—published 12/8/93, effective 1/1/94]</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2/10/94, Notice 12/8/93—published 3/2/94, effective 5/1/94]</w:t>
      </w:r>
    </w:p>
    <w:p>
      <w:pPr>
        <w:spacing w:before="0" w:after="0"/>
        <w:ind w:left="120"/>
        <w:jc w:val="center"/>
      </w:pPr>
      <w:r>
        <w:rPr>
          <w:rFonts w:ascii="Times New Roman" w:hAnsi="Times New Roman"/>
          <w:b w:val="false"/>
          <w:i w:val="false"/>
          <w:color w:val="000000"/>
          <w:sz w:val="21"/>
        </w:rPr>
        <w:t>[Filed emergency 7/12/95 after Notice 6/7/95—published 8/2/95, effective 8/1/95]</w:t>
      </w:r>
    </w:p>
    <w:p>
      <w:pPr>
        <w:spacing w:before="0" w:after="0"/>
        <w:ind w:left="120"/>
        <w:jc w:val="center"/>
      </w:pPr>
      <w:r>
        <w:rPr>
          <w:rFonts w:ascii="Times New Roman" w:hAnsi="Times New Roman"/>
          <w:b w:val="false"/>
          <w:i w:val="false"/>
          <w:color w:val="000000"/>
          <w:sz w:val="21"/>
        </w:rPr>
        <w:t>[Filed without Notice 9/25/95—published 10/11/95, effective 12/1/95]</w:t>
      </w:r>
    </w:p>
    <w:p>
      <w:pPr>
        <w:spacing w:before="0" w:after="0"/>
        <w:ind w:left="120"/>
        <w:jc w:val="center"/>
      </w:pPr>
      <w:r>
        <w:rPr>
          <w:rFonts w:ascii="Times New Roman" w:hAnsi="Times New Roman"/>
          <w:b w:val="false"/>
          <w:i w:val="false"/>
          <w:color w:val="000000"/>
          <w:sz w:val="21"/>
        </w:rPr>
        <w:t>[Filed emergency 11/16/95—published 12/6/95, effective 12/1/95]</w:t>
      </w:r>
    </w:p>
    <w:p>
      <w:pPr>
        <w:spacing w:before="0" w:after="0"/>
        <w:ind w:left="120"/>
        <w:jc w:val="center"/>
      </w:pPr>
      <w:r>
        <w:rPr>
          <w:rFonts w:ascii="Times New Roman" w:hAnsi="Times New Roman"/>
          <w:b w:val="false"/>
          <w:i w:val="false"/>
          <w:color w:val="000000"/>
          <w:sz w:val="21"/>
        </w:rPr>
        <w:t>[Filed emergency 1/10/96 after Notice 10/11/95—published 1/31/96, effective 2/1/96]</w:t>
      </w:r>
    </w:p>
    <w:p>
      <w:pPr>
        <w:spacing w:before="0" w:after="0"/>
        <w:ind w:left="120"/>
        <w:jc w:val="center"/>
      </w:pPr>
      <w:r>
        <w:rPr>
          <w:rFonts w:ascii="Times New Roman" w:hAnsi="Times New Roman"/>
          <w:b w:val="false"/>
          <w:i w:val="false"/>
          <w:color w:val="000000"/>
          <w:sz w:val="21"/>
        </w:rPr>
        <w:t>[Filed 1/10/96, Notice 10/11/95—published 1/31/96, effective 4/1/96]</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emergency 8/15/96 after Notice 6/19/96—published 9/11/96, effective 9/1/96]</w:t>
      </w:r>
    </w:p>
    <w:p>
      <w:pPr>
        <w:spacing w:before="0" w:after="0"/>
        <w:ind w:left="120"/>
        <w:jc w:val="center"/>
      </w:pPr>
      <w:r>
        <w:rPr>
          <w:rFonts w:ascii="Times New Roman" w:hAnsi="Times New Roman"/>
          <w:b w:val="false"/>
          <w:i w:val="false"/>
          <w:color w:val="000000"/>
          <w:sz w:val="21"/>
        </w:rPr>
        <w:t>[Filed 8/15/96, Notices 5/8/96, 7/3/96—published 9/11/96, effective 11/1/96]</w:t>
      </w:r>
    </w:p>
    <w:p>
      <w:pPr>
        <w:spacing w:before="0" w:after="0"/>
        <w:ind w:left="120"/>
        <w:jc w:val="center"/>
      </w:pPr>
      <w:r>
        <w:rPr>
          <w:rFonts w:ascii="Times New Roman" w:hAnsi="Times New Roman"/>
          <w:b w:val="false"/>
          <w:i w:val="false"/>
          <w:color w:val="000000"/>
          <w:sz w:val="21"/>
        </w:rPr>
        <w:t>[Filed 12/12/96, Notice 11/6/96—published 1/1/97, effective 3/1/97]</w:t>
      </w:r>
    </w:p>
    <w:p>
      <w:pPr>
        <w:spacing w:before="0" w:after="0"/>
        <w:ind w:left="120"/>
        <w:jc w:val="center"/>
      </w:pPr>
      <w:r>
        <w:rPr>
          <w:rFonts w:ascii="Times New Roman" w:hAnsi="Times New Roman"/>
          <w:b w:val="false"/>
          <w:i w:val="false"/>
          <w:color w:val="000000"/>
          <w:sz w:val="21"/>
        </w:rPr>
        <w:t>[Filed emergency 1/15/97—published 2/12/97, effective 3/1/97]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9/16/97, Notice 7/16/97—published 10/8/97, effective 11/12/97]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emergency 7/15/98 after Notice 6/3/98—published 8/12/98, effective 8/1/98]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3/10/99, Notice 11/18/98—published 4/7/99, effective 5/31/99]</w:t>
      </w:r>
    </w:p>
    <w:p>
      <w:pPr>
        <w:spacing w:before="0" w:after="0"/>
        <w:ind w:left="120"/>
        <w:jc w:val="center"/>
      </w:pPr>
      <w:r>
        <w:rPr>
          <w:rFonts w:ascii="Times New Roman" w:hAnsi="Times New Roman"/>
          <w:b w:val="false"/>
          <w:i w:val="false"/>
          <w:color w:val="000000"/>
          <w:sz w:val="21"/>
        </w:rPr>
        <w:t>[Filed 3/10/99, Notice 11/18/98—published 4/7/99, effective 6/1/99]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8/11/99, Notice 6/30/99—published 9/8/99, effective 11/1/99]</w:t>
      </w:r>
    </w:p>
    <w:p>
      <w:pPr>
        <w:spacing w:before="0" w:after="0"/>
        <w:ind w:left="120"/>
        <w:jc w:val="center"/>
      </w:pPr>
      <w:r>
        <w:rPr>
          <w:rFonts w:ascii="Times New Roman" w:hAnsi="Times New Roman"/>
          <w:b w:val="false"/>
          <w:i w:val="false"/>
          <w:color w:val="000000"/>
          <w:sz w:val="21"/>
        </w:rPr>
        <w:t>[Filed 9/12/00, Notice 7/12/00—published 10/4/00, effective 12/1/00]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2/14/01, Notice 11/29/00—published 3/7/01, effective 5/1/01]</w:t>
      </w:r>
    </w:p>
    <w:p>
      <w:pPr>
        <w:spacing w:before="0" w:after="0"/>
        <w:ind w:left="120"/>
        <w:jc w:val="center"/>
      </w:pPr>
      <w:r>
        <w:rPr>
          <w:rFonts w:ascii="Times New Roman" w:hAnsi="Times New Roman"/>
          <w:b w:val="false"/>
          <w:i w:val="false"/>
          <w:color w:val="000000"/>
          <w:sz w:val="21"/>
        </w:rPr>
        <w:t>[Filed emergency 6/13/01—published 7/11/01, effective 7/1/01]</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emergency 11/14/01—published 12/12/01, effective 11/14/01]</w:t>
      </w:r>
    </w:p>
    <w:p>
      <w:pPr>
        <w:spacing w:before="0" w:after="0"/>
        <w:ind w:left="120"/>
        <w:jc w:val="center"/>
      </w:pPr>
      <w:r>
        <w:rPr>
          <w:rFonts w:ascii="Times New Roman" w:hAnsi="Times New Roman"/>
          <w:b w:val="false"/>
          <w:i w:val="false"/>
          <w:color w:val="000000"/>
          <w:sz w:val="21"/>
        </w:rPr>
        <w:t>[Filed 1/9/02, Notice 11/14/01—published 2/6/02, effective 4/1/02]</w:t>
      </w:r>
    </w:p>
    <w:p>
      <w:pPr>
        <w:spacing w:before="0" w:after="0"/>
        <w:ind w:left="120"/>
        <w:jc w:val="center"/>
      </w:pPr>
      <w:r>
        <w:rPr>
          <w:rFonts w:ascii="Times New Roman" w:hAnsi="Times New Roman"/>
          <w:b w:val="false"/>
          <w:i w:val="false"/>
          <w:color w:val="000000"/>
          <w:sz w:val="21"/>
        </w:rPr>
        <w:t>[Filed 1/9/02, Notice 11/28/01—published 2/6/02, effective 4/1/02]</w:t>
      </w:r>
    </w:p>
    <w:p>
      <w:pPr>
        <w:spacing w:before="0" w:after="0"/>
        <w:ind w:left="120"/>
        <w:jc w:val="center"/>
      </w:pPr>
      <w:r>
        <w:rPr>
          <w:rFonts w:ascii="Times New Roman" w:hAnsi="Times New Roman"/>
          <w:b w:val="false"/>
          <w:i w:val="false"/>
          <w:color w:val="000000"/>
          <w:sz w:val="21"/>
        </w:rPr>
        <w:t>[Filed 2/14/02, Notice 12/12/01—published 3/6/02, effective 5/1/02]</w:t>
      </w:r>
    </w:p>
    <w:p>
      <w:pPr>
        <w:spacing w:before="0" w:after="0"/>
        <w:ind w:left="120"/>
        <w:jc w:val="center"/>
      </w:pPr>
      <w:r>
        <w:rPr>
          <w:rFonts w:ascii="Times New Roman" w:hAnsi="Times New Roman"/>
          <w:b w:val="false"/>
          <w:i w:val="false"/>
          <w:color w:val="000000"/>
          <w:sz w:val="21"/>
        </w:rPr>
        <w:t>[Filed emergency 3/14/02—published 4/3/02, effective 4/1/02]</w:t>
      </w:r>
    </w:p>
    <w:p>
      <w:pPr>
        <w:spacing w:before="0" w:after="0"/>
        <w:ind w:left="120"/>
        <w:jc w:val="center"/>
      </w:pPr>
      <w:r>
        <w:rPr>
          <w:rFonts w:ascii="Times New Roman" w:hAnsi="Times New Roman"/>
          <w:b w:val="false"/>
          <w:i w:val="false"/>
          <w:color w:val="000000"/>
          <w:sz w:val="21"/>
        </w:rPr>
        <w:t>[Filed 4/10/02, Notice 11/14/01—published 5/1/02, effective 7/1/02]</w:t>
      </w:r>
    </w:p>
    <w:p>
      <w:pPr>
        <w:spacing w:before="0" w:after="0"/>
        <w:ind w:left="120"/>
        <w:jc w:val="center"/>
      </w:pPr>
      <w:r>
        <w:rPr>
          <w:rFonts w:ascii="Times New Roman" w:hAnsi="Times New Roman"/>
          <w:b w:val="false"/>
          <w:i w:val="false"/>
          <w:color w:val="000000"/>
          <w:sz w:val="21"/>
        </w:rPr>
        <w:t>[Filed 5/9/02, Notice 4/3/02—published 5/29/02, effective 8/1/02]</w:t>
      </w:r>
    </w:p>
    <w:p>
      <w:pPr>
        <w:spacing w:before="0" w:after="0"/>
        <w:ind w:left="120"/>
        <w:jc w:val="center"/>
      </w:pPr>
      <w:r>
        <w:rPr>
          <w:rFonts w:ascii="Times New Roman" w:hAnsi="Times New Roman"/>
          <w:b w:val="false"/>
          <w:i w:val="false"/>
          <w:color w:val="000000"/>
          <w:sz w:val="21"/>
        </w:rPr>
        <w:t>[Filed 9/22/03, Notice 7/23/03—published 10/15/03, effective 12/1/03]</w:t>
      </w:r>
    </w:p>
    <w:p>
      <w:pPr>
        <w:spacing w:before="0" w:after="0"/>
        <w:ind w:left="120"/>
        <w:jc w:val="center"/>
      </w:pPr>
      <w:r>
        <w:rPr>
          <w:rFonts w:ascii="Times New Roman" w:hAnsi="Times New Roman"/>
          <w:b w:val="false"/>
          <w:i w:val="false"/>
          <w:color w:val="000000"/>
          <w:sz w:val="21"/>
        </w:rPr>
        <w:t>[Filed emergency 10/10/03—published 10/29/03, effective 11/1/03]</w:t>
      </w:r>
    </w:p>
    <w:p>
      <w:pPr>
        <w:spacing w:before="0" w:after="0"/>
        <w:ind w:left="120"/>
        <w:jc w:val="center"/>
      </w:pPr>
      <w:r>
        <w:rPr>
          <w:rFonts w:ascii="Times New Roman" w:hAnsi="Times New Roman"/>
          <w:b w:val="false"/>
          <w:i w:val="false"/>
          <w:color w:val="000000"/>
          <w:sz w:val="21"/>
        </w:rPr>
        <w:t>[Filed 7/1/04, Notice 1/21/04—published 7/21/04, effective 9/1/04]</w:t>
      </w:r>
    </w:p>
    <w:p>
      <w:pPr>
        <w:spacing w:before="0" w:after="0"/>
        <w:ind w:left="120"/>
        <w:jc w:val="center"/>
      </w:pPr>
      <w:r>
        <w:rPr>
          <w:rFonts w:ascii="Times New Roman" w:hAnsi="Times New Roman"/>
          <w:b w:val="false"/>
          <w:i w:val="false"/>
          <w:color w:val="000000"/>
          <w:sz w:val="21"/>
        </w:rPr>
        <w:t>[Filed 8/12/05, Notice 6/8/05—published 8/31/05, effective 11/1/05]</w:t>
      </w:r>
    </w:p>
    <w:p>
      <w:pPr>
        <w:spacing w:before="0" w:after="0"/>
        <w:ind w:left="120"/>
        <w:jc w:val="center"/>
      </w:pPr>
      <w:r>
        <w:rPr>
          <w:rFonts w:ascii="Times New Roman" w:hAnsi="Times New Roman"/>
          <w:b w:val="false"/>
          <w:i w:val="false"/>
          <w:color w:val="000000"/>
          <w:sz w:val="21"/>
        </w:rPr>
        <w:t>[Filed emergency 10/21/05—published 11/9/05, effective 11/1/05]</w:t>
      </w:r>
    </w:p>
    <w:p>
      <w:pPr>
        <w:spacing w:before="0" w:after="0"/>
        <w:ind w:left="120"/>
        <w:jc w:val="center"/>
      </w:pPr>
      <w:r>
        <w:rPr>
          <w:rFonts w:ascii="Times New Roman" w:hAnsi="Times New Roman"/>
          <w:b w:val="false"/>
          <w:i w:val="false"/>
          <w:color w:val="000000"/>
          <w:sz w:val="21"/>
        </w:rPr>
        <w:t>[Filed 1/12/06, Notice 11/9/05—published 2/1/06, effective 3/8/06]</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9/19/06, Notice 7/5/06—published 10/11/06, effective 11/16/06]</w:t>
      </w:r>
    </w:p>
    <w:p>
      <w:pPr>
        <w:spacing w:before="0" w:after="0"/>
        <w:ind w:left="120"/>
        <w:jc w:val="center"/>
      </w:pPr>
      <w:r>
        <w:rPr>
          <w:rFonts w:ascii="Times New Roman" w:hAnsi="Times New Roman"/>
          <w:b w:val="false"/>
          <w:i w:val="false"/>
          <w:color w:val="000000"/>
          <w:sz w:val="21"/>
        </w:rPr>
        <w:t>[Filed emergency 7/12/07—published 8/1/07, effective 7/12/07]</w:t>
      </w:r>
    </w:p>
    <w:p>
      <w:pPr>
        <w:spacing w:before="0" w:after="0"/>
        <w:ind w:left="120"/>
        <w:jc w:val="center"/>
      </w:pPr>
      <w:r>
        <w:rPr>
          <w:rFonts w:ascii="Times New Roman" w:hAnsi="Times New Roman"/>
          <w:b w:val="false"/>
          <w:i w:val="false"/>
          <w:color w:val="000000"/>
          <w:sz w:val="21"/>
        </w:rPr>
        <w:t>[Filed 10/10/07, Notice 8/1/07—published 11/7/07, effective 12/12/07]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12/15/08</w:t>
      </w:r>
      <w:r>
        <w:rPr>
          <w:rFonts w:ascii="Times New Roman" w:hAnsi="Times New Roman"/>
          <w:b w:val="false"/>
          <w:i w:val="false"/>
          <w:color w:val="000000"/>
          <w:sz w:val="21"/>
        </w:rPr>
        <w:t xml:space="preserve">, Notices </w:t>
      </w:r>
      <w:r>
        <w:rPr>
          <w:rFonts w:ascii="Times New Roman" w:hAnsi="Times New Roman"/>
          <w:b w:val="false"/>
          <w:i w:val="false"/>
          <w:color w:val="000000"/>
          <w:sz w:val="21"/>
        </w:rPr>
        <w:t>9/10/08, 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8346B, IAB 12/2/09, effective 12/1/09]</w:t>
      </w:r>
    </w:p>
    <w:p>
      <w:pPr>
        <w:spacing w:before="0" w:after="0"/>
        <w:ind w:left="120"/>
        <w:jc w:val="center"/>
      </w:pPr>
      <w:r>
        <w:rPr>
          <w:rFonts w:ascii="Times New Roman" w:hAnsi="Times New Roman"/>
          <w:b w:val="false"/>
          <w:i w:val="false"/>
          <w:color w:val="000000"/>
          <w:sz w:val="21"/>
        </w:rPr>
        <w:t>[Filed ARC 8557B</w:t>
      </w:r>
      <w:r>
        <w:rPr>
          <w:rFonts w:ascii="Times New Roman" w:hAnsi="Times New Roman"/>
          <w:b w:val="false"/>
          <w:i w:val="false"/>
          <w:color w:val="000000"/>
          <w:sz w:val="21"/>
        </w:rPr>
        <w:t xml:space="preserve"> (Notice ARC 8347B, IAB 12/2/09)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1146C</w:t>
      </w:r>
      <w:r>
        <w:rPr>
          <w:rFonts w:ascii="Times New Roman" w:hAnsi="Times New Roman"/>
          <w:b w:val="false"/>
          <w:i w:val="false"/>
          <w:color w:val="000000"/>
          <w:sz w:val="21"/>
        </w:rPr>
        <w:t xml:space="preserve"> (Notice ARC 0914C,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1208C</w:t>
      </w:r>
      <w:r>
        <w:rPr>
          <w:rFonts w:ascii="Times New Roman" w:hAnsi="Times New Roman"/>
          <w:b w:val="false"/>
          <w:i w:val="false"/>
          <w:color w:val="000000"/>
          <w:sz w:val="21"/>
        </w:rPr>
        <w:t xml:space="preserve"> (Notice ARC 0999C, IAB 9/4/13)</w:t>
      </w:r>
      <w:r>
        <w:rPr>
          <w:rFonts w:ascii="Times New Roman" w:hAnsi="Times New Roman"/>
          <w:b w:val="false"/>
          <w:i w:val="false"/>
          <w:color w:val="000000"/>
          <w:sz w:val="21"/>
        </w:rPr>
        <w:t>, IAB 12/11/13, effective 2/1/14]</w:t>
      </w:r>
    </w:p>
    <w:p>
      <w:pPr>
        <w:spacing w:before="0" w:after="0"/>
        <w:ind w:left="120"/>
        <w:jc w:val="center"/>
      </w:pPr>
      <w:r>
        <w:rPr>
          <w:rFonts w:ascii="Times New Roman" w:hAnsi="Times New Roman"/>
          <w:b w:val="false"/>
          <w:i w:val="false"/>
          <w:color w:val="000000"/>
          <w:sz w:val="21"/>
        </w:rPr>
        <w:t>[Filed ARC 1694C</w:t>
      </w:r>
      <w:r>
        <w:rPr>
          <w:rFonts w:ascii="Times New Roman" w:hAnsi="Times New Roman"/>
          <w:b w:val="false"/>
          <w:i w:val="false"/>
          <w:color w:val="000000"/>
          <w:sz w:val="21"/>
        </w:rPr>
        <w:t xml:space="preserve"> (Notice ARC 1588C, IAB 8/20/14)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[Editorial change: IAC Supplement 1/18/17]</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6634C</w:t>
      </w:r>
      <w:r>
        <w:rPr>
          <w:rFonts w:ascii="Times New Roman" w:hAnsi="Times New Roman"/>
          <w:b w:val="false"/>
          <w:i w:val="false"/>
          <w:color w:val="000000"/>
          <w:sz w:val="21"/>
        </w:rPr>
        <w:t xml:space="preserve"> (Notice ARC 6458C, IAB 8/10/22)</w:t>
      </w:r>
      <w:r>
        <w:rPr>
          <w:rFonts w:ascii="Times New Roman" w:hAnsi="Times New Roman"/>
          <w:b w:val="false"/>
          <w:i w:val="false"/>
          <w:color w:val="000000"/>
          <w:sz w:val="21"/>
        </w:rPr>
        <w:t>, IAB 11/2/22, effective 1/1/23]</w:t>
      </w:r>
    </w:p>
    <w:p>
      <w:pPr>
        <w:spacing w:before="0" w:after="0"/>
        <w:ind w:left="120"/>
        <w:jc w:val="center"/>
      </w:pPr>
      <w:r>
        <w:rPr>
          <w:rFonts w:ascii="Times New Roman" w:hAnsi="Times New Roman"/>
          <w:b w:val="false"/>
          <w:i w:val="false"/>
          <w:color w:val="000000"/>
          <w:sz w:val="21"/>
        </w:rPr>
        <w:t>[Filed ARC 9281C</w:t>
      </w:r>
      <w:r>
        <w:rPr>
          <w:rFonts w:ascii="Times New Roman" w:hAnsi="Times New Roman"/>
          <w:b w:val="false"/>
          <w:i w:val="false"/>
          <w:color w:val="000000"/>
          <w:sz w:val="21"/>
        </w:rPr>
        <w:t xml:space="preserve"> (Notice ARC 8602C, IAB 12/25/24)</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55.pdf" Type="http://schemas.openxmlformats.org/officeDocument/2006/relationships/hyperlink" Id="rId4"/>
    <Relationship TargetMode="External" Target="https://www.legis.iowa.gov/docs/iac/chapter/441.59.pdf" Type="http://schemas.openxmlformats.org/officeDocument/2006/relationships/hyperlink" Id="rId5"/>
    <Relationship TargetMode="External" Target="https://www.legis.iowa.gov/docs/iac/chapter/441.90.pdf" Type="http://schemas.openxmlformats.org/officeDocument/2006/relationships/hyperlink" Id="rId6"/>
    <Relationship TargetMode="External" Target="https://www.legis.iowa.gov/docs/ico/chapter/17A.7.pdf" Type="http://schemas.openxmlformats.org/officeDocument/2006/relationships/hyperlink" Id="rId7"/>
    <Relationship TargetMode="External" Target="https://www.legis.iowa.gov/docs/iac/rule/441.41.22.pdf" Type="http://schemas.openxmlformats.org/officeDocument/2006/relationships/hyperlink" Id="rId8"/>
    <Relationship TargetMode="External" Target="https://www.legis.iowa.gov/docs/iac/chapter/441.49.pdf" Type="http://schemas.openxmlformats.org/officeDocument/2006/relationships/hyperlink" Id="rId9"/>
    <Relationship TargetMode="External" Target="https://www.legis.iowa.gov/docs/ico/chapter/239B.8.pdf" Type="http://schemas.openxmlformats.org/officeDocument/2006/relationships/hyperlink" Id="rId10"/>
    <Relationship TargetMode="External" Target="https://www.legis.iowa.gov/docs/iac/rule/441.41.24.pdf" Type="http://schemas.openxmlformats.org/officeDocument/2006/relationships/hyperlink" Id="rId11"/>
    <Relationship TargetMode="External" Target="https://www.legis.iowa.gov/docs/iac/rule/441.93.4.pdf" Type="http://schemas.openxmlformats.org/officeDocument/2006/relationships/hyperlink" Id="rId12"/>
    <Relationship TargetMode="External" Target="https://www.legis.iowa.gov/docs/ico/chapter/239B.pdf" Type="http://schemas.openxmlformats.org/officeDocument/2006/relationships/hyperlink" Id="rId13"/>
    <Relationship TargetMode="External" Target="https://www.legis.iowa.gov/docs/ico/chapter/239B.9.pdf" Type="http://schemas.openxmlformats.org/officeDocument/2006/relationships/hyperlink" Id="rId14"/>
    <Relationship TargetMode="External" Target="https://www.legis.iowa.gov/docs/iac/rule/441.41.22.pdf" Type="http://schemas.openxmlformats.org/officeDocument/2006/relationships/hyperlink" Id="rId15"/>
    <Relationship TargetMode="External" Target="https://www.legis.iowa.gov/docs/ico/chapter/239B.17.pdf" Type="http://schemas.openxmlformats.org/officeDocument/2006/relationships/hyperlink" Id="rId16"/>
    <Relationship TargetMode="External" Target="https://www.legis.iowa.gov/docs/iac/rule/441.41.24.pdf" Type="http://schemas.openxmlformats.org/officeDocument/2006/relationships/hyperlink" Id="rId17"/>
    <Relationship TargetMode="External" Target="https://www.legis.iowa.gov/docs/iac/rule/441.41.24.pdf" Type="http://schemas.openxmlformats.org/officeDocument/2006/relationships/hyperlink" Id="rId18"/>
    <Relationship TargetMode="External" Target="https://www.legis.iowa.gov/docs/iac/rule/441.41.24.pdf" Type="http://schemas.openxmlformats.org/officeDocument/2006/relationships/hyperlink" Id="rId19"/>
    <Relationship TargetMode="External" Target="https://www.legis.iowa.gov/docs/iac/rule/441.93.4.pdf" Type="http://schemas.openxmlformats.org/officeDocument/2006/relationships/hyperlink" Id="rId20"/>
    <Relationship TargetMode="External" Target="https://www.legis.iowa.gov/docs/iac/rule/441.41.24.pdf" Type="http://schemas.openxmlformats.org/officeDocument/2006/relationships/hyperlink" Id="rId21"/>
    <Relationship TargetMode="External" Target="https://www.legis.iowa.gov/docs/iac/rule/441.41.24.pdf" Type="http://schemas.openxmlformats.org/officeDocument/2006/relationships/hyperlink" Id="rId22"/>
    <Relationship TargetMode="External" Target="https://www.legis.iowa.gov/docs/iac/rule/441.41.24.pdf" Type="http://schemas.openxmlformats.org/officeDocument/2006/relationships/hyperlink" Id="rId23"/>
    <Relationship TargetMode="External" Target="https://www.legis.iowa.gov/docs/iac/rule/441.41.24.pdf" Type="http://schemas.openxmlformats.org/officeDocument/2006/relationships/hyperlink" Id="rId24"/>
    <Relationship TargetMode="External" Target="https://www.legis.iowa.gov/docs/iac/rule/441.41.24.pdf" Type="http://schemas.openxmlformats.org/officeDocument/2006/relationships/hyperlink" Id="rId25"/>
    <Relationship TargetMode="External" Target="https://www.legis.iowa.gov/docs/iac/rule/441.41.24.pdf" Type="http://schemas.openxmlformats.org/officeDocument/2006/relationships/hyperlink" Id="rId26"/>
    <Relationship TargetMode="External" Target="https://www.legis.iowa.gov/docs/iac/rule/441.41.24.pdf" Type="http://schemas.openxmlformats.org/officeDocument/2006/relationships/hyperlink" Id="rId27"/>
    <Relationship TargetMode="External" Target="https://www.legis.iowa.gov/docs/iac/rule/441.40.21.pdf" Type="http://schemas.openxmlformats.org/officeDocument/2006/relationships/hyperlink" Id="rId28"/>
    <Relationship TargetMode="External" Target="https://www.legis.iowa.gov/docs/iac/rule/441.41.28.pdf" Type="http://schemas.openxmlformats.org/officeDocument/2006/relationships/hyperlink" Id="rId29"/>
    <Relationship TargetMode="External" Target="https://www.legis.iowa.gov/docs/iac/rule/441.93.14.pdf" Type="http://schemas.openxmlformats.org/officeDocument/2006/relationships/hyperlink" Id="rId30"/>
    <Relationship TargetMode="External" Target="https://www.legis.iowa.gov/docs/iac/rule/441.93.4.pdf" Type="http://schemas.openxmlformats.org/officeDocument/2006/relationships/hyperlink" Id="rId31"/>
    <Relationship TargetMode="External" Target="https://www.legis.iowa.gov/docs/iac/rule/441.93.5.pdf" Type="http://schemas.openxmlformats.org/officeDocument/2006/relationships/hyperlink" Id="rId32"/>
    <Relationship TargetMode="External" Target="https://www.legis.iowa.gov/docs/iac/rule/441.93.6.pdf" Type="http://schemas.openxmlformats.org/officeDocument/2006/relationships/hyperlink" Id="rId33"/>
    <Relationship TargetMode="External" Target="https://www.legis.iowa.gov/docs/iac/rule/441.93.7.pdf" Type="http://schemas.openxmlformats.org/officeDocument/2006/relationships/hyperlink" Id="rId34"/>
    <Relationship TargetMode="External" Target="https://www.legis.iowa.gov/docs/iac/rule/441.93.8.pdf" Type="http://schemas.openxmlformats.org/officeDocument/2006/relationships/hyperlink" Id="rId35"/>
    <Relationship TargetMode="External" Target="https://www.legis.iowa.gov/docs/iac/rule/441.93.4.pdf" Type="http://schemas.openxmlformats.org/officeDocument/2006/relationships/hyperlink" Id="rId36"/>
    <Relationship TargetMode="External" Target="https://www.legis.iowa.gov/docs/iac/chapter/441.49.pdf" Type="http://schemas.openxmlformats.org/officeDocument/2006/relationships/hyperlink" Id="rId37"/>
    <Relationship TargetMode="External" Target="https://www.legis.iowa.gov/docs/iac/rule/441.41.27.pdf" Type="http://schemas.openxmlformats.org/officeDocument/2006/relationships/hyperlink" Id="rId38"/>
    <Relationship TargetMode="External" Target="https://www.legis.iowa.gov/docs/iac/rule/441.41.24.pdf" Type="http://schemas.openxmlformats.org/officeDocument/2006/relationships/hyperlink" Id="rId39"/>
    <Relationship TargetMode="External" Target="https://www.legis.iowa.gov/docs/iac/rule/441.41.24.pdf" Type="http://schemas.openxmlformats.org/officeDocument/2006/relationships/hyperlink" Id="rId40"/>
    <Relationship TargetMode="External" Target="https://www.legis.iowa.gov/docs/iac/rule/441.93.13.pdf" Type="http://schemas.openxmlformats.org/officeDocument/2006/relationships/hyperlink" Id="rId41"/>
    <Relationship TargetMode="External" Target="https://www.legis.iowa.gov/docs/iac/rule/441.93.14.pdf" Type="http://schemas.openxmlformats.org/officeDocument/2006/relationships/hyperlink" Id="rId42"/>
    <Relationship TargetMode="External" Target="https://www.legis.iowa.gov/docs/iac/rule/441.93.11.pdf" Type="http://schemas.openxmlformats.org/officeDocument/2006/relationships/hyperlink" Id="rId43"/>
    <Relationship TargetMode="External" Target="https://www.legis.iowa.gov/docs/iac/rule/441.93.13.pdf" Type="http://schemas.openxmlformats.org/officeDocument/2006/relationships/hyperlink" Id="rId44"/>
    <Relationship TargetMode="External" Target="https://www.legis.iowa.gov/docs/iac/rule/441.93.14.pdf" Type="http://schemas.openxmlformats.org/officeDocument/2006/relationships/hyperlink" Id="rId45"/>
    <Relationship TargetMode="External" Target="https://www.legis.iowa.gov/docs/iac/rule/441.93.14.pdf" Type="http://schemas.openxmlformats.org/officeDocument/2006/relationships/hyperlink" Id="rId46"/>
    <Relationship TargetMode="External" Target="https://www.legis.iowa.gov/docs/iac/rule/441.93.11.pdf" Type="http://schemas.openxmlformats.org/officeDocument/2006/relationships/hyperlink" Id="rId47"/>
    <Relationship TargetMode="External" Target="https://www.legis.iowa.gov/docs/iac/rule/441.93.14.pdf" Type="http://schemas.openxmlformats.org/officeDocument/2006/relationships/hyperlink" Id="rId48"/>
    <Relationship TargetMode="External" Target="https://www.legis.iowa.gov/docs/iac/rule/441.93.14.pdf" Type="http://schemas.openxmlformats.org/officeDocument/2006/relationships/hyperlink" Id="rId49"/>
    <Relationship TargetMode="External" Target="https://www.legis.iowa.gov/docs/iac/rule/441.93.13.pdf" Type="http://schemas.openxmlformats.org/officeDocument/2006/relationships/hyperlink" Id="rId50"/>
    <Relationship TargetMode="External" Target="https://www.legis.iowa.gov/docs/iac/rule/441.93.14.pdf" Type="http://schemas.openxmlformats.org/officeDocument/2006/relationships/hyperlink" Id="rId51"/>
    <Relationship TargetMode="External" Target="https://www.legis.iowa.gov/docs/iac/rule/441.93.11.pdf" Type="http://schemas.openxmlformats.org/officeDocument/2006/relationships/hyperlink" Id="rId52"/>
    <Relationship TargetMode="External" Target="https://www.legis.iowa.gov/docs/iac/rule/441.93.13.pdf" Type="http://schemas.openxmlformats.org/officeDocument/2006/relationships/hyperlink" Id="rId53"/>
    <Relationship TargetMode="External" Target="https://www.legis.iowa.gov/docs/iac/rule/441.93.14.pdf" Type="http://schemas.openxmlformats.org/officeDocument/2006/relationships/hyperlink" Id="rId54"/>
    <Relationship TargetMode="External" Target="https://www.legis.iowa.gov/docs/iac/rule/441.93.11.pdf" Type="http://schemas.openxmlformats.org/officeDocument/2006/relationships/hyperlink" Id="rId55"/>
    <Relationship TargetMode="External" Target="https://www.legis.iowa.gov/docs/iac/rule/441.93.11.pdf" Type="http://schemas.openxmlformats.org/officeDocument/2006/relationships/hyperlink" Id="rId56"/>
    <Relationship TargetMode="External" Target="https://www.legis.iowa.gov/docs/iac/rule/441.93.13.pdf" Type="http://schemas.openxmlformats.org/officeDocument/2006/relationships/hyperlink" Id="rId57"/>
    <Relationship TargetMode="External" Target="https://www.legis.iowa.gov/docs/iac/rule/441.93.14.pdf" Type="http://schemas.openxmlformats.org/officeDocument/2006/relationships/hyperlink" Id="rId58"/>
    <Relationship TargetMode="External" Target="https://www.legis.iowa.gov/docs/iac/rule/441.93.11.pdf" Type="http://schemas.openxmlformats.org/officeDocument/2006/relationships/hyperlink" Id="rId59"/>
    <Relationship TargetMode="External" Target="https://www.legis.iowa.gov/docs/iac/rule/441.93.13.pdf" Type="http://schemas.openxmlformats.org/officeDocument/2006/relationships/hyperlink" Id="rId60"/>
    <Relationship TargetMode="External" Target="https://www.legis.iowa.gov/docs/iac/rule/441.93.14.pdf" Type="http://schemas.openxmlformats.org/officeDocument/2006/relationships/hyperlink" Id="rId61"/>
    <Relationship TargetMode="External" Target="https://www.legis.iowa.gov/docs/iac/rule/441.93.13.pdf" Type="http://schemas.openxmlformats.org/officeDocument/2006/relationships/hyperlink" Id="rId62"/>
    <Relationship TargetMode="External" Target="https://www.legis.iowa.gov/docs/iac/rule/441.93.14.pdf" Type="http://schemas.openxmlformats.org/officeDocument/2006/relationships/hyperlink" Id="rId63"/>
    <Relationship TargetMode="External" Target="https://www.legis.iowa.gov/docs/iac/rule/441.93.14.pdf" Type="http://schemas.openxmlformats.org/officeDocument/2006/relationships/hyperlink" Id="rId64"/>
    <Relationship TargetMode="External" Target="https://www.legis.iowa.gov/docs/iac/rule/441.93.11.pdf" Type="http://schemas.openxmlformats.org/officeDocument/2006/relationships/hyperlink" Id="rId65"/>
    <Relationship TargetMode="External" Target="https://www.legis.iowa.gov/docs/iac/rule/441.93.13.pdf" Type="http://schemas.openxmlformats.org/officeDocument/2006/relationships/hyperlink" Id="rId66"/>
    <Relationship TargetMode="External" Target="https://www.legis.iowa.gov/docs/iac/rule/441.93.14.pdf" Type="http://schemas.openxmlformats.org/officeDocument/2006/relationships/hyperlink" Id="rId67"/>
    <Relationship TargetMode="External" Target="https://www.legis.iowa.gov/docs/iac/rule/441.93.14.pdf" Type="http://schemas.openxmlformats.org/officeDocument/2006/relationships/hyperlink" Id="rId68"/>
    <Relationship TargetMode="External" Target="https://www.legis.iowa.gov/docs/iac/rule/441.41.24.pdf" Type="http://schemas.openxmlformats.org/officeDocument/2006/relationships/hyperlink" Id="rId69"/>
    <Relationship TargetMode="External" Target="https://www.legis.iowa.gov/docs/iac/rule/441.93.4.pdf" Type="http://schemas.openxmlformats.org/officeDocument/2006/relationships/hyperlink" Id="rId70"/>
    <Relationship TargetMode="External" Target="https://www.legis.iowa.gov/docs/iac/rule/441.93.13.pdf" Type="http://schemas.openxmlformats.org/officeDocument/2006/relationships/hyperlink" Id="rId71"/>
    <Relationship TargetMode="External" Target="https://www.legis.iowa.gov/docs/iac/rule/441.93.14.pdf" Type="http://schemas.openxmlformats.org/officeDocument/2006/relationships/hyperlink" Id="rId72"/>
    <Relationship TargetMode="External" Target="https://www.legis.iowa.gov/docs/iac/rule/441.93.13.pdf" Type="http://schemas.openxmlformats.org/officeDocument/2006/relationships/hyperlink" Id="rId73"/>
    <Relationship TargetMode="External" Target="https://www.legis.iowa.gov/docs/iac/rule/441.93.14.pdf" Type="http://schemas.openxmlformats.org/officeDocument/2006/relationships/hyperlink" Id="rId74"/>
    <Relationship TargetMode="External" Target="https://www.legis.iowa.gov/docs/iac/rule/441.93.13.pdf" Type="http://schemas.openxmlformats.org/officeDocument/2006/relationships/hyperlink" Id="rId75"/>
    <Relationship TargetMode="External" Target="https://www.legis.iowa.gov/docs/iac/rule/441.93.14.pdf" Type="http://schemas.openxmlformats.org/officeDocument/2006/relationships/hyperlink" Id="rId76"/>
    <Relationship TargetMode="External" Target="https://www.legis.iowa.gov/docs/iac/rule/441.93.11.pdf" Type="http://schemas.openxmlformats.org/officeDocument/2006/relationships/hyperlink" Id="rId77"/>
    <Relationship TargetMode="External" Target="https://www.legis.iowa.gov/docs/iac/rule/441.93.13.pdf" Type="http://schemas.openxmlformats.org/officeDocument/2006/relationships/hyperlink" Id="rId78"/>
    <Relationship TargetMode="External" Target="https://www.legis.iowa.gov/docs/iac/rule/441.93.14.pdf" Type="http://schemas.openxmlformats.org/officeDocument/2006/relationships/hyperlink" Id="rId79"/>
    <Relationship TargetMode="External" Target="https://www.legis.iowa.gov/docs/iac/rule/441.93.11.pdf" Type="http://schemas.openxmlformats.org/officeDocument/2006/relationships/hyperlink" Id="rId80"/>
    <Relationship TargetMode="External" Target="https://www.legis.iowa.gov/docs/iac/rule/441.93.13.pdf" Type="http://schemas.openxmlformats.org/officeDocument/2006/relationships/hyperlink" Id="rId81"/>
    <Relationship TargetMode="External" Target="https://www.legis.iowa.gov/docs/iac/rule/441.93.14.pdf" Type="http://schemas.openxmlformats.org/officeDocument/2006/relationships/hyperlink" Id="rId82"/>
    <Relationship TargetMode="External" Target="https://www.legis.iowa.gov/docs/iac/rule/441.93.8.pdf" Type="http://schemas.openxmlformats.org/officeDocument/2006/relationships/hyperlink" Id="rId83"/>
    <Relationship TargetMode="External" Target="https://www.legis.iowa.gov/docs/iac/rule/441.170.2.pdf" Type="http://schemas.openxmlformats.org/officeDocument/2006/relationships/hyperlink" Id="rId84"/>
    <Relationship TargetMode="External" Target="https://www.legis.iowa.gov/docs/iac/rule/441.93.14.pdf" Type="http://schemas.openxmlformats.org/officeDocument/2006/relationships/hyperlink" Id="rId85"/>
    <Relationship TargetMode="External" Target="https://www.legis.iowa.gov/docs/iac/rule/441.93.14.pdf" Type="http://schemas.openxmlformats.org/officeDocument/2006/relationships/hyperlink" Id="rId86"/>
    <Relationship TargetMode="External" Target="https://www.legis.iowa.gov/docs/iac/rule/441.93.9.pdf" Type="http://schemas.openxmlformats.org/officeDocument/2006/relationships/hyperlink" Id="rId87"/>
    <Relationship TargetMode="External" Target="https://www.legis.iowa.gov/docs/iac/rule/441.93.9.pdf" Type="http://schemas.openxmlformats.org/officeDocument/2006/relationships/hyperlink" Id="rId88"/>
    <Relationship TargetMode="External" Target="https://www.legis.iowa.gov/docs/iac/rule/441.93.9.pdf" Type="http://schemas.openxmlformats.org/officeDocument/2006/relationships/hyperlink" Id="rId89"/>
    <Relationship TargetMode="External" Target="https://www.legis.iowa.gov/docs/iac/rule/441.93.4.pdf" Type="http://schemas.openxmlformats.org/officeDocument/2006/relationships/hyperlink" Id="rId90"/>
    <Relationship TargetMode="External" Target="https://www.legis.iowa.gov/docs/iac/rule/441.93.9.pdf" Type="http://schemas.openxmlformats.org/officeDocument/2006/relationships/hyperlink" Id="rId91"/>
    <Relationship TargetMode="External" Target="https://www.legis.iowa.gov/docs/iac/rule/441.93.9.pdf" Type="http://schemas.openxmlformats.org/officeDocument/2006/relationships/hyperlink" Id="rId92"/>
    <Relationship TargetMode="External" Target="https://www.legis.iowa.gov/docs/iac/rule/441.93.11.pdf" Type="http://schemas.openxmlformats.org/officeDocument/2006/relationships/hyperlink" Id="rId93"/>
    <Relationship TargetMode="External" Target="https://www.legis.iowa.gov/docs/iac/rule/441.93.14.pdf" Type="http://schemas.openxmlformats.org/officeDocument/2006/relationships/hyperlink" Id="rId94"/>
    <Relationship TargetMode="External" Target="https://www.legis.iowa.gov/docs/iac/rule/441.93.13.pdf" Type="http://schemas.openxmlformats.org/officeDocument/2006/relationships/hyperlink" Id="rId95"/>
    <Relationship TargetMode="External" Target="https://www.legis.iowa.gov/docs/iac/rule/441.93.14.pdf" Type="http://schemas.openxmlformats.org/officeDocument/2006/relationships/hyperlink" Id="rId96"/>
    <Relationship TargetMode="External" Target="https://www.legis.iowa.gov/docs/iac/rule/441.93.13.pdf" Type="http://schemas.openxmlformats.org/officeDocument/2006/relationships/hyperlink" Id="rId97"/>
    <Relationship TargetMode="External" Target="https://www.legis.iowa.gov/docs/iac/rule/441.93.10.pdf" Type="http://schemas.openxmlformats.org/officeDocument/2006/relationships/hyperlink" Id="rId98"/>
    <Relationship TargetMode="External" Target="https://www.legis.iowa.gov/docs/iac/chapter/441.16.pdf" Type="http://schemas.openxmlformats.org/officeDocument/2006/relationships/hyperlink" Id="rId99"/>
    <Relationship TargetMode="External" Target="https://www.legis.iowa.gov/docs/iac/rule/441.93.13.pdf" Type="http://schemas.openxmlformats.org/officeDocument/2006/relationships/hyperlink" Id="rId100"/>
    <Relationship TargetMode="External" Target="https://www.legis.iowa.gov/docs/iac/rule/441.93.14.pdf" Type="http://schemas.openxmlformats.org/officeDocument/2006/relationships/hyperlink" Id="rId101"/>
    <Relationship TargetMode="External" Target="https://www.legis.iowa.gov/docs/iac/rule/441.93.13.pdf" Type="http://schemas.openxmlformats.org/officeDocument/2006/relationships/hyperlink" Id="rId102"/>
    <Relationship TargetMode="External" Target="https://www.legis.iowa.gov/docs/iac/rule/441.93.14.pdf" Type="http://schemas.openxmlformats.org/officeDocument/2006/relationships/hyperlink" Id="rId103"/>
    <Relationship TargetMode="External" Target="https://www.legis.iowa.gov/docs/iac/rule/441.93.13.pdf" Type="http://schemas.openxmlformats.org/officeDocument/2006/relationships/hyperlink" Id="rId104"/>
    <Relationship TargetMode="External" Target="https://www.legis.iowa.gov/docs/iac/rule/441.41.24.pdf" Type="http://schemas.openxmlformats.org/officeDocument/2006/relationships/hyperlink" Id="rId105"/>
    <Relationship TargetMode="External" Target="https://www.legis.iowa.gov/docs/iac/rule/441.41.30.pdf" Type="http://schemas.openxmlformats.org/officeDocument/2006/relationships/hyperlink" Id="rId106"/>
    <Relationship TargetMode="External" Target="https://www.legis.iowa.gov/docs/iac/chapter/441.170.pdf" Type="http://schemas.openxmlformats.org/officeDocument/2006/relationships/hyperlink" Id="rId107"/>
    <Relationship TargetMode="External" Target="https://www.legis.iowa.gov/docs/iac/rule/441.170.4.pdf" Type="http://schemas.openxmlformats.org/officeDocument/2006/relationships/hyperlink" Id="rId108"/>
    <Relationship TargetMode="External" Target="https://www.legis.iowa.gov/docs/iac/rule/441.41.27.pdf" Type="http://schemas.openxmlformats.org/officeDocument/2006/relationships/hyperlink" Id="rId109"/>
    <Relationship TargetMode="External" Target="https://www.legis.iowa.gov/docs/iac/rule/441.7.4.pdf" Type="http://schemas.openxmlformats.org/officeDocument/2006/relationships/hyperlink" Id="rId110"/>
    <Relationship TargetMode="External" Target="https://www.legis.iowa.gov/docs/iac/rule/441.7.4.pdf" Type="http://schemas.openxmlformats.org/officeDocument/2006/relationships/hyperlink" Id="rId111"/>
    <Relationship TargetMode="External" Target="https://www.legis.iowa.gov/docs/iac/rule/441.170.9.pdf" Type="http://schemas.openxmlformats.org/officeDocument/2006/relationships/hyperlink" Id="rId112"/>
    <Relationship TargetMode="External" Target="https://www.legis.iowa.gov/docs/iac/chapter/481.90.pdf" Type="http://schemas.openxmlformats.org/officeDocument/2006/relationships/hyperlink" Id="rId113"/>
    <Relationship TargetMode="External" Target="https://www.legis.iowa.gov/docs/iac/rule/441.46.25.pdf" Type="http://schemas.openxmlformats.org/officeDocument/2006/relationships/hyperlink" Id="rId114"/>
    <Relationship TargetMode="External" Target="https://www.legis.iowa.gov/docs/iac/rule/441.41.24.pdf" Type="http://schemas.openxmlformats.org/officeDocument/2006/relationships/hyperlink" Id="rId115"/>
    <Relationship TargetMode="External" Target="https://www.legis.iowa.gov/docs/iac/rule/441.93.14.pdf" Type="http://schemas.openxmlformats.org/officeDocument/2006/relationships/hyperlink" Id="rId116"/>
    <Relationship TargetMode="External" Target="https://www.legis.iowa.gov/docs/iac/rule/441.93.13.pdf" Type="http://schemas.openxmlformats.org/officeDocument/2006/relationships/hyperlink" Id="rId117"/>
    <Relationship TargetMode="External" Target="https://www.legis.iowa.gov/docs/iac/rule/441.93.13.pdf" Type="http://schemas.openxmlformats.org/officeDocument/2006/relationships/hyperlink" Id="rId118"/>
    <Relationship TargetMode="External" Target="https://www.legis.iowa.gov/docs/iac/rule/441.93.10.pdf" Type="http://schemas.openxmlformats.org/officeDocument/2006/relationships/hyperlink" Id="rId119"/>
    <Relationship TargetMode="External" Target="https://www.legis.iowa.gov/docs/iac/rule/441.93.13.pdf" Type="http://schemas.openxmlformats.org/officeDocument/2006/relationships/hyperlink" Id="rId120"/>
    <Relationship TargetMode="External" Target="https://www.legis.iowa.gov/docs/iac/rule/441.93.13.pdf" Type="http://schemas.openxmlformats.org/officeDocument/2006/relationships/hyperlink" Id="rId121"/>
    <Relationship TargetMode="External" Target="https://www.legis.iowa.gov/docs/iac/rule/441.93.13.pdf" Type="http://schemas.openxmlformats.org/officeDocument/2006/relationships/hyperlink" Id="rId122"/>
    <Relationship TargetMode="External" Target="https://www.legis.iowa.gov/docs/iac/rule/441.93.13.pdf" Type="http://schemas.openxmlformats.org/officeDocument/2006/relationships/hyperlink" Id="rId123"/>
    <Relationship TargetMode="External" Target="https://www.legis.iowa.gov/docs/iac/rule/441.93.8.pdf" Type="http://schemas.openxmlformats.org/officeDocument/2006/relationships/hyperlink" Id="rId124"/>
    <Relationship TargetMode="External" Target="https://www.legis.iowa.gov/docs/iac/rule/441.93.13.pdf" Type="http://schemas.openxmlformats.org/officeDocument/2006/relationships/hyperlink" Id="rId125"/>
    <Relationship TargetMode="External" Target="https://www.legis.iowa.gov/docs/iac/rule/441.93.14.pdf" Type="http://schemas.openxmlformats.org/officeDocument/2006/relationships/hyperlink" Id="rId126"/>
    <Relationship TargetMode="External" Target="https://www.legis.iowa.gov/docs/iac/rule/441.93.14.pdf" Type="http://schemas.openxmlformats.org/officeDocument/2006/relationships/hyperlink" Id="rId127"/>
    <Relationship TargetMode="External" Target="https://www.legis.iowa.gov/docs/iac/rule/441.41.24.pdf" Type="http://schemas.openxmlformats.org/officeDocument/2006/relationships/hyperlink" Id="rId128"/>
    <Relationship TargetMode="External" Target="https://www.legis.iowa.gov/docs/iac/rule/441.41.24.pdf" Type="http://schemas.openxmlformats.org/officeDocument/2006/relationships/hyperlink" Id="rId129"/>
    <Relationship TargetMode="External" Target="https://www.legis.iowa.gov/docs/iac/rule/441.93.15.pdf" Type="http://schemas.openxmlformats.org/officeDocument/2006/relationships/hyperlink" Id="rId130"/>
    <Relationship TargetMode="External" Target="https://www.legis.iowa.gov/docs/iac/rule/441.41.25.pdf" Type="http://schemas.openxmlformats.org/officeDocument/2006/relationships/hyperlink" Id="rId131"/>
    <Relationship TargetMode="External" Target="https://www.legis.iowa.gov/docs/iac/chapter/441.7.pdf" Type="http://schemas.openxmlformats.org/officeDocument/2006/relationships/hyperlink" Id="rId132"/>
    <Relationship TargetMode="External" Target="https://www.legis.iowa.gov/docs/iac/rule/441.93.15.pdf" Type="http://schemas.openxmlformats.org/officeDocument/2006/relationships/hyperlink" Id="rId133"/>
    <Relationship TargetMode="External" Target="https://www.legis.iowa.gov/docs/ico/chapter/17A.pdf" Type="http://schemas.openxmlformats.org/officeDocument/2006/relationships/hyperlink" Id="rId134"/>
    <Relationship TargetMode="External" Target="https://www.legis.iowa.gov/docs/iac/chapter/441.7.pdf" Type="http://schemas.openxmlformats.org/officeDocument/2006/relationships/hyperlink" Id="rId135"/>
    <Relationship TargetMode="External" Target="https://www.legis.iowa.gov/docs/iac/rule/441.41.24.pdf" Type="http://schemas.openxmlformats.org/officeDocument/2006/relationships/hyperlink" Id="rId136"/>
    <Relationship TargetMode="External" Target="https://www.legis.iowa.gov/docs/iac/rule/441.41.24.pdf" Type="http://schemas.openxmlformats.org/officeDocument/2006/relationships/hyperlink" Id="rId137"/>
    <Relationship TargetMode="External" Target="https://www.legis.iowa.gov/docs/iac/rule/441.41.24.pdf" Type="http://schemas.openxmlformats.org/officeDocument/2006/relationships/hyperlink" Id="rId138"/>
    <Relationship TargetMode="External" Target="https://www.legis.iowa.gov/docs/iac/rule/441.41.24.pdf" Type="http://schemas.openxmlformats.org/officeDocument/2006/relationships/hyperlink" Id="rId139"/>
    <Relationship TargetMode="External" Target="https://www.legis.iowa.gov/docs/iac/rule/441.41.24.pdf" Type="http://schemas.openxmlformats.org/officeDocument/2006/relationships/hyperlink" Id="rId140"/>
    <Relationship TargetMode="External" Target="https://www.legis.iowa.gov/docs/iac/chapter/441.7.pdf" Type="http://schemas.openxmlformats.org/officeDocument/2006/relationships/hyperlink" Id="rId141"/>
    <Relationship TargetMode="External" Target="https://www.legis.iowa.gov/docs/ico/chapter/17A.pdf" Type="http://schemas.openxmlformats.org/officeDocument/2006/relationships/hyperlink" Id="rId142"/>
    <Relationship TargetMode="External" Target="https://www.legis.iowa.gov/docs/iac/chapter/441.7.pdf" Type="http://schemas.openxmlformats.org/officeDocument/2006/relationships/hyperlink" Id="rId143"/>
    <Relationship TargetMode="External" Target="https://www.legis.iowa.gov/docs/ico/chapter/239B.17.pdf" Type="http://schemas.openxmlformats.org/officeDocument/2006/relationships/hyperlink" Id="rId144"/>
    <Relationship TargetMode="External" Target="https://www.legis.iowa.gov/docs/ico/chapter/239B.22.pdf" Type="http://schemas.openxmlformats.org/officeDocument/2006/relationships/hyperlink" Id="rId1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