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91</w:t>
      </w:r>
    </w:p>
    <w:p>
      <w:pPr>
        <w:spacing w:before="0" w:after="0"/>
        <w:ind w:left="120"/>
        <w:jc w:val="center"/>
      </w:pPr>
      <w:r>
        <w:rPr>
          <w:rFonts w:ascii="Times New Roman" w:hAnsi="Times New Roman"/>
          <w:b w:val="false"/>
          <w:i w:val="false"/>
          <w:color w:val="000000"/>
          <w:sz w:val="21"/>
        </w:rPr>
        <w:t>MEDICARE DRUG SUBSIDY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8/1/30</w:t>
      </w:r>
    </w:p>
    <w:p>
      <w:pPr>
        <w:spacing w:before="0" w:after="0"/>
        <w:ind w:left="120"/>
        <w:jc w:val="both"/>
      </w:pPr>
      <w:r>
        <w:rPr>
          <w:rFonts w:ascii="Times New Roman" w:hAnsi="Times New Roman"/>
          <w:b/>
          <w:i w:val="false"/>
          <w:color w:val="000000"/>
          <w:sz w:val="22"/>
        </w:rPr>
        <w:t>441—91.1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 xml:space="preserve">means a person applying for a Medicare drug subsidy through the department and includes a responsible person or authorized representative acting for an applicant, except for the purposes of subrule </w:t>
      </w:r>
      <w:hyperlink r:id="rId5">
        <w:r>
          <w:rPr>
            <w:rStyle w:val="Hyperlink"/>
            <w:rFonts w:ascii="Times New Roman" w:hAnsi="Times New Roman"/>
            <w:b w:val="false"/>
            <w:i w:val="false"/>
            <w:color w:val="000000"/>
            <w:sz w:val="22"/>
          </w:rPr>
          <w:t>91.2(2)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“Medicare drug subsidy application” </w:t>
      </w:r>
      <w:r>
        <w:rPr>
          <w:rFonts w:ascii="Times New Roman" w:hAnsi="Times New Roman"/>
          <w:b w:val="false"/>
          <w:i w:val="false"/>
          <w:color w:val="000000"/>
          <w:sz w:val="22"/>
        </w:rPr>
        <w:t>means the federal Social Security Administration’s Form SSA-1020B-OCR-SM, Application for Help with Medicare Prescription Drug Plan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representative” </w:t>
      </w:r>
      <w:r>
        <w:rPr>
          <w:rFonts w:ascii="Times New Roman" w:hAnsi="Times New Roman"/>
          <w:b w:val="false"/>
          <w:i w:val="false"/>
          <w:color w:val="000000"/>
          <w:sz w:val="22"/>
        </w:rPr>
        <w:t xml:space="preserve">means a person representing an applicant or recipient as described in </w:t>
      </w:r>
      <w:hyperlink r:id="rId6">
        <w:r>
          <w:rPr>
            <w:rStyle w:val="Hyperlink"/>
            <w:rFonts w:ascii="Times New Roman" w:hAnsi="Times New Roman"/>
            <w:b w:val="false"/>
            <w:i w:val="false"/>
            <w:color w:val="000000"/>
            <w:sz w:val="22"/>
          </w:rPr>
          <w:t>441—subrule 76.9(2)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 xml:space="preserve">means a person receiving a Medicare drug subsidy based on an application filed with the department and includes a responsible person or authorized representative acting for a recipient, except for the purposes of subrule </w:t>
      </w:r>
      <w:hyperlink r:id="rId7">
        <w:r>
          <w:rPr>
            <w:rStyle w:val="Hyperlink"/>
            <w:rFonts w:ascii="Times New Roman" w:hAnsi="Times New Roman"/>
            <w:b w:val="false"/>
            <w:i w:val="false"/>
            <w:color w:val="000000"/>
            <w:sz w:val="22"/>
          </w:rPr>
          <w:t>91.2(2)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person” </w:t>
      </w:r>
      <w:r>
        <w:rPr>
          <w:rFonts w:ascii="Times New Roman" w:hAnsi="Times New Roman"/>
          <w:b w:val="false"/>
          <w:i w:val="false"/>
          <w:color w:val="000000"/>
          <w:sz w:val="22"/>
        </w:rPr>
        <w:t xml:space="preserve">means a person acting on an applicant’s or recipient’s behalf as described in </w:t>
      </w:r>
      <w:hyperlink r:id="rId8">
        <w:r>
          <w:rPr>
            <w:rStyle w:val="Hyperlink"/>
            <w:rFonts w:ascii="Times New Roman" w:hAnsi="Times New Roman"/>
            <w:b w:val="false"/>
            <w:i w:val="false"/>
            <w:color w:val="000000"/>
            <w:sz w:val="22"/>
          </w:rPr>
          <w:t>441—subrule 76.9(1)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9314C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441—91.2</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91.2(1)</w:t>
      </w:r>
      <w:r>
        <w:rPr>
          <w:rFonts w:ascii="Times New Roman" w:hAnsi="Times New Roman"/>
          <w:b w:val="false"/>
          <w:i w:val="false"/>
          <w:color w:val="000000"/>
          <w:sz w:val="22"/>
        </w:rPr>
        <w:t> </w:t>
      </w:r>
      <w:r>
        <w:rPr>
          <w:rFonts w:ascii="Times New Roman" w:hAnsi="Times New Roman"/>
          <w:b w:val="false"/>
          <w:i/>
          <w:color w:val="000000"/>
          <w:sz w:val="22"/>
        </w:rPr>
        <w:t xml:space="preserve">Application filing. </w:t>
      </w:r>
      <w:r>
        <w:rPr>
          <w:rFonts w:ascii="Times New Roman" w:hAnsi="Times New Roman"/>
          <w:b w:val="false"/>
          <w:i w:val="false"/>
          <w:color w:val="000000"/>
          <w:sz w:val="22"/>
        </w:rPr>
        <w:t xml:space="preserve">Any person may apply for the Medicare drug subsidy through the department in accordance with </w:t>
      </w:r>
      <w:hyperlink r:id="rId9">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91.2(2)</w:t>
      </w:r>
      <w:r>
        <w:rPr>
          <w:rFonts w:ascii="Times New Roman" w:hAnsi="Times New Roman"/>
          <w:b w:val="false"/>
          <w:i w:val="false"/>
          <w:color w:val="000000"/>
          <w:sz w:val="22"/>
        </w:rPr>
        <w:t> </w:t>
      </w:r>
      <w:r>
        <w:rPr>
          <w:rFonts w:ascii="Times New Roman" w:hAnsi="Times New Roman"/>
          <w:b w:val="false"/>
          <w:i/>
          <w:color w:val="000000"/>
          <w:sz w:val="22"/>
        </w:rPr>
        <w:t xml:space="preserve">Identifiable application and signature.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identifiable application is an application that contains: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legible name and address of the applicant;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signature of the applicant, a responsible person, or an authorized representative on Form SSA-1020B-OCR-SM, Application for Help with Medicare Prescription Drug Plan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authorized representative signed the application forms on behalf of an applicant, the applicant or a responsible person must also sign the application forms before the application can be approved.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9314C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441—91.3</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determination. </w:t>
      </w:r>
      <w:r>
        <w:rPr>
          <w:rFonts w:ascii="Times New Roman" w:hAnsi="Times New Roman"/>
          <w:b w:val="false"/>
          <w:i w:val="false"/>
          <w:color w:val="000000"/>
          <w:sz w:val="22"/>
        </w:rPr>
        <w:t>The department will determine eligibility for the Medicare drug subsidy pursuant to Section 1860D-14 of the Social Security Act and implement federal regulations at 20 CFR Section 418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91.3(1)</w:t>
      </w:r>
      <w:r>
        <w:rPr>
          <w:rFonts w:ascii="Times New Roman" w:hAnsi="Times New Roman"/>
          <w:b w:val="false"/>
          <w:i w:val="false"/>
          <w:color w:val="000000"/>
          <w:sz w:val="22"/>
        </w:rPr>
        <w:t> </w:t>
      </w:r>
      <w:r>
        <w:rPr>
          <w:rFonts w:ascii="Times New Roman" w:hAnsi="Times New Roman"/>
          <w:b w:val="false"/>
          <w:i/>
          <w:color w:val="000000"/>
          <w:sz w:val="22"/>
        </w:rPr>
        <w:t xml:space="preserve">Cooperation. </w:t>
      </w:r>
      <w:r>
        <w:rPr>
          <w:rFonts w:ascii="Times New Roman" w:hAnsi="Times New Roman"/>
          <w:b w:val="false"/>
          <w:i w:val="false"/>
          <w:color w:val="000000"/>
          <w:sz w:val="22"/>
        </w:rPr>
        <w:t>An applicant must cooperate with the department in the application process. Cooperation may include providing additional information or verification of information, participating in an interview, or signing documents. Failure to cooperate in the application process shall be a basis for denial of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9314C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441—91.4</w:t>
      </w:r>
      <w:r>
        <w:rPr>
          <w:rFonts w:ascii="Times New Roman" w:hAnsi="Times New Roman"/>
          <w:b/>
          <w:i w:val="false"/>
          <w:color w:val="000000"/>
          <w:sz w:val="22"/>
        </w:rPr>
        <w:t xml:space="preserve">(249A) </w:t>
      </w:r>
      <w:r>
        <w:rPr>
          <w:rFonts w:ascii="Times New Roman" w:hAnsi="Times New Roman"/>
          <w:b/>
          <w:i w:val="false"/>
          <w:color w:val="000000"/>
          <w:sz w:val="22"/>
        </w:rPr>
        <w:t xml:space="preserve">Effective date. </w:t>
      </w:r>
      <w:r>
        <w:rPr>
          <w:rFonts w:ascii="Times New Roman" w:hAnsi="Times New Roman"/>
          <w:b w:val="false"/>
          <w:i w:val="false"/>
          <w:color w:val="000000"/>
          <w:sz w:val="22"/>
        </w:rPr>
        <w:t xml:space="preserve">The effective date of eligibility will be determined pursuant to </w:t>
      </w:r>
      <w:r>
        <w:rPr>
          <w:rFonts w:ascii="Times New Roman" w:hAnsi="Times New Roman"/>
          <w:b w:val="false"/>
          <w:i w:val="false"/>
          <w:color w:val="000000"/>
          <w:sz w:val="22"/>
        </w:rPr>
        <w:t>42 CFR Part 423</w:t>
      </w:r>
      <w:r>
        <w:rPr>
          <w:rFonts w:ascii="Times New Roman" w:hAnsi="Times New Roman"/>
          <w:b w:val="false"/>
          <w:i w:val="false"/>
          <w:color w:val="000000"/>
          <w:sz w:val="22"/>
        </w:rPr>
        <w:t xml:space="preserve"> as amended to August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9314C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441—91.5</w:t>
      </w:r>
      <w:r>
        <w:rPr>
          <w:rFonts w:ascii="Times New Roman" w:hAnsi="Times New Roman"/>
          <w:b/>
          <w:i w:val="false"/>
          <w:color w:val="000000"/>
          <w:sz w:val="22"/>
        </w:rPr>
        <w:t xml:space="preserve">(249A) </w:t>
      </w:r>
      <w:r>
        <w:rPr>
          <w:rFonts w:ascii="Times New Roman" w:hAnsi="Times New Roman"/>
          <w:b/>
          <w:i w:val="false"/>
          <w:color w:val="000000"/>
          <w:sz w:val="22"/>
        </w:rPr>
        <w:t xml:space="preserve">Changes in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91.5(1)</w:t>
      </w:r>
      <w:r>
        <w:rPr>
          <w:rFonts w:ascii="Times New Roman" w:hAnsi="Times New Roman"/>
          <w:b w:val="false"/>
          <w:i w:val="false"/>
          <w:color w:val="000000"/>
          <w:sz w:val="22"/>
        </w:rPr>
        <w:t> </w:t>
      </w:r>
      <w:r>
        <w:rPr>
          <w:rFonts w:ascii="Times New Roman" w:hAnsi="Times New Roman"/>
          <w:b w:val="false"/>
          <w:i/>
          <w:color w:val="000000"/>
          <w:sz w:val="22"/>
        </w:rPr>
        <w:t xml:space="preserve">Responsibility to report changes. </w:t>
      </w:r>
      <w:r>
        <w:rPr>
          <w:rFonts w:ascii="Times New Roman" w:hAnsi="Times New Roman"/>
          <w:b w:val="false"/>
          <w:i w:val="false"/>
          <w:color w:val="000000"/>
          <w:sz w:val="22"/>
        </w:rPr>
        <w:t>A Medicare drug subsidy applicant or recipient shall report to the department in a timely manner any changes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Care of dependents.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Household composition.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Household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Household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Marital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Medicare eligibility or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Place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91.5(2)</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change. </w:t>
      </w:r>
      <w:r>
        <w:rPr>
          <w:rFonts w:ascii="Times New Roman" w:hAnsi="Times New Roman"/>
          <w:b w:val="false"/>
          <w:i w:val="false"/>
          <w:color w:val="000000"/>
          <w:sz w:val="22"/>
        </w:rPr>
        <w:t>Changes in eligibility or level of subsidy will be effective the month following the month in which the change is reported.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9314C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441—91.6</w:t>
      </w:r>
      <w:r>
        <w:rPr>
          <w:rFonts w:ascii="Times New Roman" w:hAnsi="Times New Roman"/>
          <w:b/>
          <w:i w:val="false"/>
          <w:color w:val="000000"/>
          <w:sz w:val="22"/>
        </w:rPr>
        <w:t xml:space="preserve">(249A) </w:t>
      </w:r>
      <w:r>
        <w:rPr>
          <w:rFonts w:ascii="Times New Roman" w:hAnsi="Times New Roman"/>
          <w:b/>
          <w:i w:val="false"/>
          <w:color w:val="000000"/>
          <w:sz w:val="22"/>
        </w:rPr>
        <w:t xml:space="preserve">Reinvestigation. </w:t>
      </w:r>
      <w:r>
        <w:rPr>
          <w:rFonts w:ascii="Times New Roman" w:hAnsi="Times New Roman"/>
          <w:b w:val="false"/>
          <w:i w:val="false"/>
          <w:color w:val="000000"/>
          <w:sz w:val="22"/>
        </w:rPr>
        <w:t>The department will reinvestigate eligibility as often as the recipient’s circumstances indicate, but in no instance will the period between reinvestigations exceed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91.6(1)</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requested. </w:t>
      </w:r>
      <w:r>
        <w:rPr>
          <w:rFonts w:ascii="Times New Roman" w:hAnsi="Times New Roman"/>
          <w:b w:val="false"/>
          <w:i w:val="false"/>
          <w:color w:val="000000"/>
          <w:sz w:val="22"/>
        </w:rPr>
        <w:t>When requested to do so by the department, the recipient shall complete the Medicare drug subsidy application as part of the reinvestigation process. The application shall be completed within ten working days from the date a written request is issued. Failure to complete the application shall be a basis for cancellation or reduction of the subsidy.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91.6(2)</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requested. </w:t>
      </w:r>
      <w:r>
        <w:rPr>
          <w:rFonts w:ascii="Times New Roman" w:hAnsi="Times New Roman"/>
          <w:b w:val="false"/>
          <w:i w:val="false"/>
          <w:color w:val="000000"/>
          <w:sz w:val="22"/>
        </w:rPr>
        <w:t xml:space="preserve">The recipient shall supply additional information needed to establish eligibility or level of subsidy pursuant to </w:t>
      </w:r>
      <w:hyperlink r:id="rId10">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9314C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441—91.7</w:t>
      </w:r>
      <w:r>
        <w:rPr>
          <w:rFonts w:ascii="Times New Roman" w:hAnsi="Times New Roman"/>
          <w:b/>
          <w:i w:val="false"/>
          <w:color w:val="000000"/>
          <w:sz w:val="22"/>
        </w:rPr>
        <w:t xml:space="preserve">(249A)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An applicant or recipient shall have the right to appeal any adverse action by the department pursuant to </w:t>
      </w:r>
      <w:hyperlink r:id="rId1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9314C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217.6</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Section 1935(a) of the Social Security Act</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1396u-5).</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10/21/05, Notice 7/6/05—published 11/9/05, effective 12/14/05]</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6561C</w:t>
      </w:r>
      <w:r>
        <w:rPr>
          <w:rFonts w:ascii="Times New Roman" w:hAnsi="Times New Roman"/>
          <w:b w:val="false"/>
          <w:i w:val="false"/>
          <w:color w:val="000000"/>
          <w:sz w:val="21"/>
        </w:rPr>
        <w:t xml:space="preserve"> (Notice ARC 6411C, IAB 7/13/22)</w:t>
      </w:r>
      <w:r>
        <w:rPr>
          <w:rFonts w:ascii="Times New Roman" w:hAnsi="Times New Roman"/>
          <w:b w:val="false"/>
          <w:i w:val="false"/>
          <w:color w:val="000000"/>
          <w:sz w:val="21"/>
        </w:rPr>
        <w:t>, IAB 10/5/22, effective 12/1/22]</w:t>
      </w:r>
    </w:p>
    <w:p>
      <w:pPr>
        <w:spacing w:before="0" w:after="0"/>
        <w:ind w:left="120"/>
        <w:jc w:val="center"/>
      </w:pPr>
      <w:r>
        <w:rPr>
          <w:rFonts w:ascii="Times New Roman" w:hAnsi="Times New Roman"/>
          <w:b w:val="false"/>
          <w:i w:val="false"/>
          <w:color w:val="000000"/>
          <w:sz w:val="21"/>
        </w:rPr>
        <w:t>[Filed ARC 9314C</w:t>
      </w:r>
      <w:r>
        <w:rPr>
          <w:rFonts w:ascii="Times New Roman" w:hAnsi="Times New Roman"/>
          <w:b w:val="false"/>
          <w:i w:val="false"/>
          <w:color w:val="000000"/>
          <w:sz w:val="21"/>
        </w:rPr>
        <w:t xml:space="preserve"> (Notice ARC 8573C, IAB 12/25/24)</w:t>
      </w:r>
      <w:r>
        <w:rPr>
          <w:rFonts w:ascii="Times New Roman" w:hAnsi="Times New Roman"/>
          <w:b w:val="false"/>
          <w:i w:val="false"/>
          <w:color w:val="000000"/>
          <w:sz w:val="21"/>
        </w:rPr>
        <w:t>, IAB 5/28/25, effective 8/1/25]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91.2.pdf" Type="http://schemas.openxmlformats.org/officeDocument/2006/relationships/hyperlink" Id="rId5"/>
    <Relationship TargetMode="External" Target="https://www.legis.iowa.gov/docs/iac/rule/441.76.9.pdf" Type="http://schemas.openxmlformats.org/officeDocument/2006/relationships/hyperlink" Id="rId6"/>
    <Relationship TargetMode="External" Target="https://www.legis.iowa.gov/docs/iac/rule/441.91.2.pdf" Type="http://schemas.openxmlformats.org/officeDocument/2006/relationships/hyperlink" Id="rId7"/>
    <Relationship TargetMode="External" Target="https://www.legis.iowa.gov/docs/iac/rule/441.76.9.pdf" Type="http://schemas.openxmlformats.org/officeDocument/2006/relationships/hyperlink" Id="rId8"/>
    <Relationship TargetMode="External" Target="https://www.legis.iowa.gov/docs/iac/chapter/441.76.pdf" Type="http://schemas.openxmlformats.org/officeDocument/2006/relationships/hyperlink" Id="rId9"/>
    <Relationship TargetMode="External" Target="https://www.legis.iowa.gov/docs/iac/chapter/441.76.pdf" Type="http://schemas.openxmlformats.org/officeDocument/2006/relationships/hyperlink" Id="rId10"/>
    <Relationship TargetMode="External" Target="https://www.legis.iowa.gov/docs/iac/chapter/441.7.pdf" Type="http://schemas.openxmlformats.org/officeDocument/2006/relationships/hyperlink" Id="rId11"/>
    <Relationship TargetMode="External" Target="https://www.legis.iowa.gov/docs/ico/chapter/217.6.pdf" Type="http://schemas.openxmlformats.org/officeDocument/2006/relationships/hyperlink" Id="rId12"/>
    <Relationship TargetMode="External" Target="https://www.legis.iowa.gov/docs/ico/chapter/249A.4.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