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w:t>
      </w:r>
    </w:p>
    <w:p>
      <w:pPr>
        <w:spacing w:before="0" w:after="0"/>
        <w:ind w:left="120"/>
        <w:jc w:val="center"/>
      </w:pPr>
      <w:r>
        <w:rPr>
          <w:rFonts w:ascii="Times New Roman" w:hAnsi="Times New Roman"/>
          <w:b w:val="false"/>
          <w:i w:val="false"/>
          <w:color w:val="000000"/>
          <w:sz w:val="21"/>
        </w:rPr>
        <w:t>AMOUNT, DURATION AND SCOPE OF</w:t>
      </w:r>
      <w:r>
        <w:br/>
      </w:r>
      <w:r>
        <w:rPr>
          <w:rFonts w:ascii="Times New Roman" w:hAnsi="Times New Roman"/>
          <w:b w:val="false"/>
          <w:i w:val="false"/>
          <w:color w:val="000000"/>
          <w:sz w:val="21"/>
        </w:rPr>
        <w:t>MEDICAL AND REMEDIAL SERVICES</w:t>
      </w:r>
    </w:p>
    <w:p>
      <w:pPr>
        <w:spacing w:before="0" w:after="0"/>
        <w:ind w:left="120"/>
        <w:jc w:val="center"/>
      </w:pPr>
      <w:r>
        <w:rPr>
          <w:rFonts w:ascii="Times New Roman" w:hAnsi="Times New Roman"/>
          <w:b w:val="false"/>
          <w:i w:val="false"/>
          <w:color w:val="000000"/>
          <w:sz w:val="14"/>
        </w:rPr>
        <w:t>[Prior to 7/1/83, Social Services[770] Ch 78]</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441—78.1</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Physicians’ services. </w:t>
      </w:r>
      <w:r>
        <w:rPr>
          <w:rFonts w:ascii="Times New Roman" w:hAnsi="Times New Roman"/>
          <w:b w:val="false"/>
          <w:i w:val="false"/>
          <w:color w:val="000000"/>
          <w:sz w:val="22"/>
        </w:rPr>
        <w:t>Payment will be approved for all medically necessary services and supplies provided by the physician including services rendered in the physician’s office or clinic, the home, in a hospital, nursing home or elsewhere.</w:t>
      </w:r>
    </w:p>
    <w:p>
      <w:pPr>
        <w:spacing w:before="0" w:after="0"/>
        <w:ind w:left="120"/>
        <w:jc w:val="both"/>
      </w:pPr>
      <w:r>
        <w:rPr>
          <w:rFonts w:ascii="Times New Roman" w:hAnsi="Times New Roman"/>
          <w:b w:val="false"/>
          <w:i w:val="false"/>
          <w:color w:val="000000"/>
          <w:sz w:val="22"/>
        </w:rPr>
        <w:t>Payment shall be made for all services rendered by a doctor of medicine or osteopathy within the scope of this practice and the limitations of state law subject to the following limitations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w:t>
      </w:r>
      <w:r>
        <w:rPr>
          <w:rFonts w:ascii="Times New Roman" w:hAnsi="Times New Roman"/>
          <w:b w:val="false"/>
          <w:i w:val="false"/>
          <w:color w:val="000000"/>
          <w:sz w:val="22"/>
        </w:rPr>
        <w:t> </w:t>
      </w:r>
      <w:r>
        <w:rPr>
          <w:rFonts w:ascii="Times New Roman" w:hAnsi="Times New Roman"/>
          <w:b w:val="false"/>
          <w:i w:val="false"/>
          <w:color w:val="000000"/>
          <w:sz w:val="22"/>
        </w:rPr>
        <w:t>Payment will not be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dispensed by a physician or other legally qualified practitioner (dentist, podiatrist, optometrist, physician assistant, or advanced registered nurse practitioner) unless it is established that there is no licensed retail pharmacy in the community in which the legally qualified practitioner’s office is maintained. Rate of payment shall be established as in subrule </w:t>
      </w:r>
      <w:hyperlink r:id="rId5">
        <w:r>
          <w:rPr>
            <w:rStyle w:val="Hyperlink"/>
            <w:rFonts w:ascii="Times New Roman" w:hAnsi="Times New Roman"/>
            <w:b w:val="false"/>
            <w:i w:val="false"/>
            <w:color w:val="000000"/>
            <w:sz w:val="22"/>
          </w:rPr>
          <w:t>78.2(2)</w:t>
        </w:r>
      </w:hyperlink>
      <w:r>
        <w:rPr>
          <w:rFonts w:ascii="Times New Roman" w:hAnsi="Times New Roman"/>
          <w:b w:val="false"/>
          <w:i w:val="false"/>
          <w:color w:val="000000"/>
          <w:sz w:val="22"/>
        </w:rPr>
        <w:t>, but no professional fee shall be paid. Payment will not be made for biological supplies and drugs provided free of charge to practitioners by the state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of certain foot conditions as specified in </w:t>
      </w:r>
      <w:hyperlink r:id="rId6">
        <w:r>
          <w:rPr>
            <w:rStyle w:val="Hyperlink"/>
            <w:rFonts w:ascii="Times New Roman" w:hAnsi="Times New Roman"/>
            <w:b w:val="false"/>
            <w:i w:val="false"/>
            <w:color w:val="000000"/>
            <w:sz w:val="22"/>
          </w:rPr>
          <w:t>78.5(2)</w:t>
        </w:r>
      </w:hyperlink>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Acupuncture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Unproven or experimental medical and surgical procedures. The criteria in effect in the Medicare program shall be utilized in determining when a given procedure is unproven or experimental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Charges for surgical procedures on the “Outpatient/Same Day Surgery List” produced by the IME medical services unit or associated inpatient care charges when the procedure is performed in a hospital on an inpatient basis unless the physician has secured approval from the hospital’s utilization review department prior to the patient’s admittance to the hospital. Approval shall be granted only when inpatient care is deemed to be medically necessary based on the condition of the patient or when the surgical procedure is not performed as a routine, primary, independent procedure. The “Outpatient/Same Day Surgery List” shall be published by the department in the provider manuals for hospitals and physicians. The “Outpatient/Same Day Surgery List” shall be developed by the IME medical services unit and shall include procedures which can safely and effectively be performed in a doctor’s office or on an outpatient basis in a hospital. The IME medical services unit may add, delete, or modify entries on the “Outpatient/Same Day Surgery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Elective, non-medically necessary cesarean section (C-section) deliveries.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w:t>
      </w:r>
      <w:r>
        <w:rPr>
          <w:rFonts w:ascii="Times New Roman" w:hAnsi="Times New Roman"/>
          <w:b w:val="false"/>
          <w:i w:val="false"/>
          <w:color w:val="000000"/>
          <w:sz w:val="22"/>
        </w:rPr>
        <w:t> </w:t>
      </w:r>
      <w:r>
        <w:rPr>
          <w:rFonts w:ascii="Times New Roman" w:hAnsi="Times New Roman"/>
          <w:b w:val="false"/>
          <w:i w:val="false"/>
          <w:color w:val="000000"/>
          <w:sz w:val="22"/>
        </w:rPr>
        <w:t>Drugs and supplies may be covered when prescribed by a legally qualified practitioner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are covered as provided by rule </w:t>
      </w:r>
      <w:hyperlink r:id="rId7">
        <w:r>
          <w:rPr>
            <w:rStyle w:val="Hyperlink"/>
            <w:rFonts w:ascii="Times New Roman" w:hAnsi="Times New Roman"/>
            <w:b w:val="false"/>
            <w:i w:val="false"/>
            <w:color w:val="000000"/>
            <w:sz w:val="22"/>
          </w:rPr>
          <w:t>441—78.2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supplies are payable when ordered by a legally qualified practitioner for a specific rather than incidental use, subject to the conditions specified in rule </w:t>
      </w:r>
      <w:hyperlink r:id="rId8">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 When a member is receiving care in a nursing facility or residential care facility, payment will be approved only for the following supplies when prescribed by a legally qualified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Disposable irrigation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catheterization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Indwelling Foley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Disposable saline enemas.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Diabetic supplies including needles and syringes, blood glucose test strips, and diabetic urine test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records are required for all drugs as specified in Iowa Code sections </w:t>
      </w:r>
      <w:hyperlink r:id="rId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155A.29</w:t>
        </w:r>
      </w:hyperlink>
      <w:r>
        <w:rPr>
          <w:rFonts w:ascii="Times New Roman" w:hAnsi="Times New Roman"/>
          <w:b w:val="false"/>
          <w:i w:val="false"/>
          <w:color w:val="000000"/>
          <w:sz w:val="22"/>
        </w:rPr>
        <w:t>. For the purposes of the medical assistance program, prescriptions for medical supplies are required and shall be subject to the same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physician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injections provided they are reasonable, necessary, and related to the diagnosis and treatment of an illness or injury. When billing for an injection, the legally qualified practitioner must specify the brand name of the drug and the manufacturer, the strength of the drug, the amount administered, and the charge of each injection. When the strength and dosage of the drug is not included, payment will be made based on the customary dosage. The following exclusions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injections when they are considered by standards of medical practice not to be specific or effective treatment for the particular condition for which they are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approved for an injection when administered for a reason other than the treatment of a particular condition, illness, or injury. When injecting an amphetamine or legend vitamin, prior approval must be obtained as specified in </w:t>
      </w:r>
      <w:hyperlink r:id="rId12">
        <w:r>
          <w:rPr>
            <w:rStyle w:val="Hyperlink"/>
            <w:rFonts w:ascii="Times New Roman" w:hAnsi="Times New Roman"/>
            <w:b w:val="false"/>
            <w:i w:val="false"/>
            <w:color w:val="000000"/>
            <w:sz w:val="22"/>
          </w:rPr>
          <w:t>78.1(2)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injection is not an indicated method of administration according to accepted standards of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Allergenic extract materials provided the patient for self-administration shall not exceed a 90-day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an injection is determined to fall outside of what is medically reasonable or necessary based on basic standards of medical practice for the required level of care for a particular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vaccines available through the Vaccines for Children (VFC) Program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approved for injections of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any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program, cosmetic, reconstructive, or plastic surgery is surgery which can be expected primarily to improve physical appearance or which is performed primarily for psychological purposes or which restores form but which does not correct or materially improve the bodily functions. When a surgical procedure primarily restores bodily function, whether or not there is also a concomitant improvement in physical appearance, the surgical procedure does not fall within the provisions set forth in this subrule. Surgeries for the purpose of sex reassignment are not considered as restoring bodily function and are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Coverage under the program is generally not available for cosmetic, reconstructive, or plastic surgery. However, under certain limited circumstances payment for otherwise covered services and supplies may be provided in connection with cosmetic, reconstructive, or plastic surgery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Correction of a congenital anomaly;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Restoration of body form following an accidental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Revision of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Generally, coverage is limited to those cosmetic, reconstructive, or plastic surgery procedures performed no later than 12 months subsequent to the related accidental injury or surgical trauma. However, special consideration for exception will be given to cases involving children who may require a growth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performed in connection with certain conditions is specifically excluded. These conditions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Dental congenital anomalies, such as absent tooth buds, malocclusion, and similar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related to transsexualism, hermaphroditism, gender identity disorders, or body dysmorphic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procedures performed primarily for psychological reasons or as a result of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Breast augmentation mammoplasty, surgical insertion of prosthetic testicles, penile implant procedures, and surgeries for the purpose of 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a cosmetic, reconstructive, or plastic surgery procedure does not qualify for coverage under the program, all related services and supplies, including any institutional costs,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is a partial list of cosmetic, reconstructive, or plastic surgery procedures which are not covered under the program. This list is for example purposes only and is not considered all 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procedure performed for personal reasons, to improve the appearance of an obvious feature or part of the body which would be considered by an average observer to be normal and acceptable for the patient’s age or ethnic or racial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surgical procedures which are justified primarily on the basis of a psychological or psychiatric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Augmentation mammoplasties.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Face lifts and other procedures related to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Reduction mammoplasties, unless there is medical documentation of intractable pain not amenable to other forms of treatment as the result of increasingly large pendulous breasts.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Panniculectomy and body sculpture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Repair of sagging eyelids, unless there is demonstrated and medically documented significant impairment of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Rhinoplasties, unless there is evidence of accidental injury occurring within the past six months which resulted in significant obstruction of breathing.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Chemical peeling for facial wrinkles.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Dermabrasion of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Revision of scars resulting from surgery or a disease process, except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Removal of tattoos.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Hair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Electrolysis.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Penile implant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Insertion of prosthetic testicles.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Coverage is available for otherwise covered services and supplies required in the treatment of complications resulting from a noncovered incident or treatment, but only when the subsequent complications represent a separate medical condition such as systemic infection, cardiac arrest, acute drug reaction, or similar conditions. Coverage shall not be extended for any subsequent care or procedure related to the complication that is essentially similar to the initial noncovered care. An example of a complication similar to the initial period of care would be repair of facial scarring resulting from dermabrasion for acne.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legally qualified practitioner’s prescription for medical equipment, appliances, or prosthetic devices shall include the patient’s diagnosis and prognosis, the reason the item is required, and an estimate in months of the duration of the need. Payment will be made in accordance with rule </w:t>
      </w:r>
      <w:hyperlink r:id="rId13">
        <w:r>
          <w:rPr>
            <w:rStyle w:val="Hyperlink"/>
            <w:rFonts w:ascii="Times New Roman" w:hAnsi="Times New Roman"/>
            <w:b w:val="false"/>
            <w:i w:val="false"/>
            <w:color w:val="000000"/>
            <w:sz w:val="22"/>
          </w:rPr>
          <w:t>78.10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the examination to establish the need for orthopedic shoes in accordance with rule </w:t>
      </w:r>
      <w:hyperlink r:id="rId14">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78.1(7)</w:t>
      </w:r>
      <w:r>
        <w:rPr>
          <w:rFonts w:ascii="Times New Roman" w:hAnsi="Times New Roman"/>
          <w:b w:val="false"/>
          <w:i w:val="false"/>
          <w:color w:val="000000"/>
          <w:sz w:val="22"/>
        </w:rPr>
        <w:t> </w:t>
      </w:r>
      <w:r>
        <w:rPr>
          <w:rFonts w:ascii="Times New Roman" w:hAnsi="Times New Roman"/>
          <w:b w:val="false"/>
          <w:i w:val="false"/>
          <w:color w:val="000000"/>
          <w:sz w:val="22"/>
        </w:rPr>
        <w:t>No payment shall be made for the services of a private duty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w:t>
      </w:r>
      <w:r>
        <w:rPr>
          <w:rFonts w:ascii="Times New Roman" w:hAnsi="Times New Roman"/>
          <w:b w:val="false"/>
          <w:i w:val="false"/>
          <w:color w:val="000000"/>
          <w:sz w:val="22"/>
        </w:rPr>
        <w:t> </w:t>
      </w:r>
      <w:r>
        <w:rPr>
          <w:rFonts w:ascii="Times New Roman" w:hAnsi="Times New Roman"/>
          <w:b w:val="false"/>
          <w:i w:val="false"/>
          <w:color w:val="000000"/>
          <w:sz w:val="22"/>
        </w:rPr>
        <w:t>Payment for mileage shall be the same as that in effect in part B of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visits to patients in nursing facilities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only one visit to the same patient in a calendar month. Payment for further visits will be made only when the need for the visits is adequately documented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one patient is seen in a single visit the allowance shall be based on a follow-up home visit. When more than one patient is seen in a single visit, payment shall be based on a follow-up office visit. In the absence of information on the claim, the carrier will assume that more than one patient was seen, and payment approved on that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mileage in connection with nursing home visits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physician to travel outside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not physicians in the community in which the nursing home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tasks related to a resident receiving nursing facility care which are performed by a nurse practitioner, clinical nurse specialist, or physician assistant as specified in </w:t>
      </w:r>
      <w:hyperlink r:id="rId15">
        <w:r>
          <w:rPr>
            <w:rStyle w:val="Hyperlink"/>
            <w:rFonts w:ascii="Times New Roman" w:hAnsi="Times New Roman"/>
            <w:b w:val="false"/>
            <w:i w:val="false"/>
            <w:color w:val="000000"/>
            <w:sz w:val="22"/>
          </w:rPr>
          <w:t>441—paragraph 81.13(13)</w:t>
        </w:r>
        <w:r>
          <w:rPr>
            <w:rFonts w:ascii="Times New Roman" w:hAnsi="Times New Roman"/>
            <w:b w:val="false"/>
            <w:i/>
            <w:color w:val="000000"/>
            <w:sz w:val="22"/>
          </w:rPr>
          <w:t>“e.”</w:t>
        </w:r>
      </w:hyperlink>
      <w:r>
        <w:rPr>
          <w:rFonts w:ascii="Times New Roman" w:hAnsi="Times New Roman"/>
          <w:b w:val="false"/>
          <w:i w:val="false"/>
          <w:color w:val="000000"/>
          <w:sz w:val="22"/>
        </w:rPr>
        <w:t xml:space="preserve"> On-site supervision of the physician is not required for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78.1(10)</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in independent laboratory when it has been certified as eligible to participate in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the same basis as in Medicare for services associated with treatment of chronic renal disease including physician’s services, hospital care, renal transplantation, and hemodialysis, whether performed on an inpatient or outpatient basis. Payment will be made for deductibles and coinsurance for those persons eligible for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Payment will be made to the physician for services rendered by auxiliary personnel employed by the physician and working under the direct personal supervision of the physician, when such services are performed incident to the physician’s professional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Auxiliary personnel are nurses, psychologists, social workers, audiologists, occupational therapists and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auxiliary person is considered to be an employee of the physician if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able to control the manner in which the work is performed, i.e., is able to control when, where and how the work is done. This control need not be actually exercised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Sets work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Establishes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Withholds taxes from the wages of the auxiliary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 in the office setting means the physician must be present in the same office suite, not necessarily the same room, and be available to provide immediate assistance and direction.</w:t>
      </w:r>
    </w:p>
    <w:p>
      <w:pPr>
        <w:spacing w:before="0" w:after="0"/>
        <w:ind w:left="120"/>
        <w:jc w:val="both"/>
      </w:pPr>
      <w:r>
        <w:rPr>
          <w:rFonts w:ascii="Times New Roman" w:hAnsi="Times New Roman"/>
          <w:b w:val="false"/>
          <w:i w:val="false"/>
          <w:color w:val="000000"/>
          <w:sz w:val="22"/>
        </w:rPr>
        <w:t>Direct personal supervision outside the office setting, such as the member’s home, hospital, emergency room, or nursing facility, means the physician must be present in the same room as the auxiliary person.</w:t>
      </w:r>
    </w:p>
    <w:p>
      <w:pPr>
        <w:spacing w:before="0" w:after="0"/>
        <w:ind w:left="120"/>
        <w:jc w:val="both"/>
      </w:pPr>
      <w:r>
        <w:rPr>
          <w:rFonts w:ascii="Times New Roman" w:hAnsi="Times New Roman"/>
          <w:b w:val="false"/>
          <w:i w:val="false"/>
          <w:color w:val="000000"/>
          <w:sz w:val="22"/>
        </w:rPr>
        <w:t>Advanced registered nurse practitioners certified under board of nursing rules in </w:t>
      </w:r>
      <w:hyperlink r:id="rId16">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 xml:space="preserve"> performing services within their scope of practice are exempt from the direct personal supervision requirement for the purpose of reimbursement to the employing physicians. In these exempted circumstances, the employing physicians must still provide general supervision and be available to provide immediate needed assistance by telephone. Advanced registered nurse practitioners who prescribe drugs and medical devices are subject to the guidelines in effect for physicians as specified in rule </w:t>
      </w:r>
      <w:hyperlink r:id="rId17">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xml:space="preserve">A physician assistant licensed under board of physician assistants’ professional licensure rules in </w:t>
      </w:r>
      <w:hyperlink r:id="rId18">
        <w:r>
          <w:rPr>
            <w:rStyle w:val="Hyperlink"/>
            <w:rFonts w:ascii="Times New Roman" w:hAnsi="Times New Roman"/>
            <w:b w:val="false"/>
            <w:i w:val="false"/>
            <w:color w:val="000000"/>
            <w:sz w:val="22"/>
          </w:rPr>
          <w:t>645—</w:t>
        </w:r>
      </w:hyperlink>
      <w:hyperlink r:id="rId19">
        <w:r>
          <w:rPr>
            <w:rStyle w:val="Hyperlink"/>
            <w:rFonts w:ascii="Times New Roman" w:hAnsi="Times New Roman"/>
            <w:b w:val="false"/>
            <w:i w:val="false"/>
            <w:color w:val="000000"/>
            <w:sz w:val="22"/>
          </w:rPr>
          <w:t>Chapters 326 to 329</w:t>
        </w:r>
      </w:hyperlink>
      <w:r>
        <w:rPr>
          <w:rFonts w:ascii="Times New Roman" w:hAnsi="Times New Roman"/>
          <w:b w:val="false"/>
          <w:i w:val="false"/>
          <w:color w:val="000000"/>
          <w:sz w:val="22"/>
        </w:rPr>
        <w:t xml:space="preserve"> is exempt from the direct personal supervision requirement except as expressly required by Iowa Code chapter </w:t>
      </w:r>
      <w:hyperlink r:id="rId2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required by rules in </w:t>
      </w:r>
      <w:hyperlink r:id="rId21">
        <w:r>
          <w:rPr>
            <w:rStyle w:val="Hyperlink"/>
            <w:rFonts w:ascii="Times New Roman" w:hAnsi="Times New Roman"/>
            <w:b w:val="false"/>
            <w:i w:val="false"/>
            <w:color w:val="000000"/>
            <w:sz w:val="22"/>
          </w:rPr>
          <w:t>645—Chapters 326 to 329</w:t>
        </w:r>
      </w:hyperlink>
      <w:r>
        <w:rPr>
          <w:rFonts w:ascii="Times New Roman" w:hAnsi="Times New Roman"/>
          <w:b w:val="false"/>
          <w:i w:val="false"/>
          <w:color w:val="000000"/>
          <w:sz w:val="22"/>
        </w:rPr>
        <w:t xml:space="preserve">. A physician shall be accessible at all times for consultation with a physician assistant unless the physician assistant is providing emergency medical services pursuant to </w:t>
      </w:r>
      <w:hyperlink r:id="rId22">
        <w:r>
          <w:rPr>
            <w:rStyle w:val="Hyperlink"/>
            <w:rFonts w:ascii="Times New Roman" w:hAnsi="Times New Roman"/>
            <w:b w:val="false"/>
            <w:i w:val="false"/>
            <w:color w:val="000000"/>
            <w:sz w:val="22"/>
          </w:rPr>
          <w:t>645—paragraph 327.1(2)</w:t>
        </w:r>
      </w:hyperlink>
      <w:r>
        <w:rPr>
          <w:rFonts w:ascii="Times New Roman" w:hAnsi="Times New Roman"/>
          <w:b w:val="false"/>
          <w:i/>
          <w:color w:val="000000"/>
          <w:sz w:val="22"/>
        </w:rPr>
        <w:t>“n.”</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Physician assistants who prescribe drugs and medical devices are subject to the guidelines in effect for physicians as specified in rule </w:t>
      </w:r>
      <w:hyperlink r:id="rId23">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incident to the professional services of the physician means the service provided by the auxiliary person must be related to the physician’s professional service to the member. If the physician has not or will not perform a personal professional service to the member, the clinical records must document that the physician assigned treatment of the member to the auxiliary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physician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The certification of inpatient hospital care shall be the same as that in effect in part A of Medicare. The hospital admittance record is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78.1(16)</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for sterilization of an individual under the age of 21 or who is mentally incompetent or institutionalized. Payment will be made for sterilization performed on an individual who is aged 21 or older at the time the informed consent is obtained and who is mentally competent and not institutionalized when all the conditions in this subrule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are pertinent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Sterilization means any medical procedure, treatment, or operation performed for the purpose of rendering an individual permanently incapable of reproducing and which is not a necessary part of the treatment of an existing illness or medically indicated as an accompaniment of an operation on the genital urinary tract. Mental illness or retardation is not considered an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Hysterectomy means a medical procedure or operation to remove the uterus.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Mentally incompetent individual means a person who has been declared mentally incompetent by a federal, state or local court of jurisdiction for any purpose, unless the individual has been declared competent for purposes which include the ability to consent to sterilization.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Institutionalized individual means an individual who is involuntarily confined or detained, under a civil or criminal statute, in a correctional or rehabilitative facility, including a mental hospital or other facility for the care and treatment of mental illness, or an individual who is confined under a voluntary commitment in a mental hospital or other facility for the care and treatment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sterilization shall be performed as the result of a voluntary request for the services made by the person on whom the sterilization is performed. The person’s consent for sterilization shall be documented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470-0835 or 470-0835(S), Consent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official sterilization consent form from another state’s Medicaid program that contains all information found on the Iowa form and complies with all applicable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be advised prior to the receipt of consent that no benefits provided under the medical assistance program or other programs administered by the department may be withdrawn or withheld by reason of a decision not to be sterilized.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shall be informed that the consent can be withheld or withdrawn any time prior to the sterilization without prejudicing future care and without loss of other project or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shall be given a complete explanation of the sterilization. The explanation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alternative methods and the effect and impact of the proposed sterilization including the fact that it must be considered to be an irreversible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thorough description of the specific sterilization procedure to be performed and benefits 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attendant discomforts and risks including the type and possible effects of any anesthetic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offer to answer any inquiries the person to be sterilized may have concerning the procedure to be performed. The individual shall be provided a copy of the informed consent form in addition to the oral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30 days and not more than 180 days shall have elapsed following the signing of the informed consent except in the case of premature delivery or emergency abdominal surgery which occurs not less than 72 hours after the informed consent was signed. The informed consent shall have been signed at least 30 days before the expected delivery date for premature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shall be effectively presented to a blind, deaf, hard-of-hearing, or otherwise disabled individual and an interpreter shall be provided when the individual to be sterilized does not understand the language used on the consent form or used by the person obtaining consent. The individual to be sterilized may have a witness of the individual’s choice present when consent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consent form described in paragraph </w:t>
      </w:r>
      <w:hyperlink r:id="rId24">
        <w:r>
          <w:rPr>
            <w:rStyle w:val="Hyperlink"/>
            <w:rFonts w:ascii="Times New Roman" w:hAnsi="Times New Roman"/>
            <w:b w:val="false"/>
            <w:i w:val="false"/>
            <w:color w:val="000000"/>
            <w:sz w:val="22"/>
          </w:rPr>
          <w:t>78.1(16)</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attached to the claim for payment and shall be signed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to be sterilized,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interpreter, when one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who provided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Informed consent shall not be obtained while the individual to be sterilized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labor or childbirth,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Seeking to obtain or obtaining an abortion,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 the influence of alcohol or other substance that affects the individual’s state of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a medically necessary hysterectomy only when it is performed for a purpose other than sterilization and only when one or more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or representative has signed an acknowledgment that she has been informed orally and in writing from the person authorized to perform the hysterectomy that the hysterectomy will make the individual permanently incapable of reproducing,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was already sterile before the hysterectomy, the physician has certified in writing that the individual was already sterile at the time of the hysterectomy and has stated the cause of the sterility,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hysterectomy was performed as a result of a life-threatening emergency situation in which the physician determined that prior acknowledgment was not possible and the physician includes a description of the nature of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78.1(17)</w:t>
      </w:r>
      <w:r>
        <w:rPr>
          <w:rFonts w:ascii="Times New Roman" w:hAnsi="Times New Roman"/>
          <w:b w:val="false"/>
          <w:i w:val="false"/>
          <w:color w:val="000000"/>
          <w:sz w:val="22"/>
        </w:rPr>
        <w:t> </w:t>
      </w:r>
      <w:r>
        <w:rPr>
          <w:rFonts w:ascii="Times New Roman" w:hAnsi="Times New Roman"/>
          <w:b w:val="false"/>
          <w:i w:val="false"/>
          <w:color w:val="000000"/>
          <w:sz w:val="22"/>
        </w:rPr>
        <w:t>Abortions. Payment for an abortion or related service is made when Form 470-0836 is completed for the applicable circumstances and is attached to each claim for services. Payment for an abortion is made under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pregnant woman’s life would be endangered if the fetus were carried to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fetus is physically deformed, mentally deficient or afflicted with a congenital illness and the physician states the medical indication for determining the fetal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rape reported to a law enforcement agency or public or private health agency which may include a family physician within 45 days of the date of occurrence of the incident. The report shall include the name, address, and signature of the person making the report. Form 470-0836 shall be signed by the person receiving the report of the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incest reported to a law enforcement agency or public or private health agency including a family physician no later than 150 days after the date of occurrence. The report shall include the name, address, and signature of the person making the report. Form 470-0836 shall be signed by the person receiving the report of incest.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and procedure for obtaining eyeglasses, contact lenses, and visual aids, shall be the same as described in </w:t>
      </w:r>
      <w:hyperlink r:id="rId25">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 xml:space="preserve">(249A). (Cross reference </w:t>
      </w:r>
      <w:hyperlink r:id="rId26">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78.1(19)</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the IME medical services unit will be required if payment under Medicaid is to be made for certain frequently performed surgical procedures which have a wide variation in the relative frequency the procedures are performed. Preprocedure surgical review applies to surgeries performed in hospitals (outpatient and inpatient) and ambulatory surgical centers. Approval by the IME medical services unit will be granted only if the procedures are determined to be medically necessary based on the condition of the patient and the criteria established by the IME medical services unit and the department. If not so approved by the IME medical services unit, payment will not be made under the program to the physician or to the facility in which the surgery is performed.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78.1(20)</w:t>
      </w:r>
      <w:r>
        <w:rPr>
          <w:rFonts w:ascii="Times New Roman" w:hAnsi="Times New Roman"/>
          <w:b w:val="false"/>
          <w:i w:val="false"/>
          <w:color w:val="000000"/>
          <w:sz w:val="22"/>
        </w:rPr>
        <w:t> </w:t>
      </w:r>
      <w:r>
        <w:rPr>
          <w:rFonts w:ascii="Times New Roman" w:hAnsi="Times New Roman"/>
          <w:b w:val="false"/>
          <w:i w:val="false"/>
          <w:color w:val="000000"/>
          <w:sz w:val="22"/>
        </w:rPr>
        <w:t>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the following organ and tissue transplant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Kidney, cornea, skin, and bone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Allogeneic stem cell transplants for the treatment of aplastic anemia, severe combined immunodeficiency disease (SCID), Wiskott-Aldrich syndrome, follicular lymphoma, Fanconi anemia, paroxysmal nocturnal hemoglobinuria, pure red cell aplasia, amegakaryocytosis/congenital thrombocytopenia, beta thalassemia major, sickle cell disease, Hurler’s syndrome (mucopolysaccharidosis type 1 [MPS-1]), adrenoleukodystrophy, metachromatic leukodystrophy, refractory anemia, agnogenic myeloid metaplasia (myelofibrosis), familial erythrophagocytic lymphohistiocytosis and other histiocytic disorders, acute myelofibrosis, Diamond-Blackfan anemia, epidermolysis bullosa, or the following types of leukemia: acute myelocytic leukemia, chronic myelogenous leukemia, juvenile myelomonocytic leukemia, chronic myelomonocytic leukemia, acute myelogenous leukemia, and acute lymphocytic leukemia.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Autologous stem cell transplants for treatment of the following conditions: acute leukemia; chronic lymphocytic leukemia; plasma cell leukemia; non-Hodgkin’s lymphomas; Hodgkin’s lymphoma; relapsed Hodgkin’s lymphoma; lymphomas presenting poor prognostic features; follicular lymphoma; neuroblastoma; medulloblastoma; advanced Hodgkin’s disease; primitive neuroendocrine tumor (PNET); atypical/rhabdoid tumor (ATRT); Wilms’ tumor; Ewing’s sarcoma; metastatic germ cell tumor; or multiple myeloma.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Liver transplants for persons with extrahepatic biliary atresia or any other form of end-stage liver disease, except that coverage is not provided for persons with a malignancy extending beyond the margins of the liver.</w:t>
      </w:r>
    </w:p>
    <w:p>
      <w:pPr>
        <w:spacing w:before="0" w:after="0"/>
        <w:ind w:left="120"/>
        <w:jc w:val="both"/>
      </w:pPr>
      <w:r>
        <w:rPr>
          <w:rFonts w:ascii="Times New Roman" w:hAnsi="Times New Roman"/>
          <w:b w:val="false"/>
          <w:i w:val="false"/>
          <w:color w:val="000000"/>
          <w:sz w:val="22"/>
        </w:rPr>
        <w:t xml:space="preserve">Liver transplants require preprocedure review by the IME medical services unit. (Cross references 78.1(19) and </w:t>
      </w:r>
      <w:hyperlink r:id="rId27">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Covered liver transplants are payable only when performed in a facility that meets the requirements of </w:t>
      </w:r>
      <w:hyperlink r:id="rId28">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Heart transplants for persons with inoperable congenital heart defects, heart failure, or related conditions. Artificial hearts and ventricular assist devices as a temporary life-support system until a human heart becomes available for transplants are covered. Artificial hearts and ventricular assist devices as a permanent replacement for a human heart are not covered. Heart-lung transplants are covered where bilateral or unilateral lung transplantation with repair of a congenital cardiac defect is contraindicated.</w:t>
      </w:r>
    </w:p>
    <w:p>
      <w:pPr>
        <w:spacing w:before="0" w:after="0"/>
        <w:ind w:left="120"/>
        <w:jc w:val="both"/>
      </w:pPr>
      <w:r>
        <w:rPr>
          <w:rFonts w:ascii="Times New Roman" w:hAnsi="Times New Roman"/>
          <w:b w:val="false"/>
          <w:i w:val="false"/>
          <w:color w:val="000000"/>
          <w:sz w:val="22"/>
        </w:rPr>
        <w:t xml:space="preserve">Heart transplants, heart-lung transplants, artificial hearts, and ventricular assist devices described above require preprocedure review by the IME medical services unit. (Cross references 78.1(19) and </w:t>
      </w:r>
      <w:hyperlink r:id="rId29">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 xml:space="preserve">) Covered heart transplants are payable only when performed in a facility that meets the requirements of </w:t>
      </w:r>
      <w:hyperlink r:id="rId30">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Lung transplants. Lung transplants for persons having end-stage pulmonary disease. Lung transplants require preprocedure review by the IME medical services unit. (Cross references 78.1(19) and </w:t>
      </w:r>
      <w:hyperlink r:id="rId31">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 xml:space="preserve">) Covered transplants are payable only when performed in a facility that meets the requirements of </w:t>
      </w:r>
      <w:hyperlink r:id="rId32">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 xml:space="preserve">. Heart-lung transplants are covered consistent with criteria in subparagraph </w:t>
      </w:r>
      <w:r>
        <w:rPr>
          <w:rFonts w:ascii="Times New Roman" w:hAnsi="Times New Roman"/>
          <w:b w:val="false"/>
          <w:i w:val="false"/>
          <w:color w:val="000000"/>
          <w:sz w:val="22"/>
        </w:rPr>
        <w:t>(5)</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Pancreas transplants for persons with type I diabetes mellitus,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Simultaneous pancreas-kidney transplants and pancreas after kidney transplants are covered.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Pancreas transplants alone are covered for persons exhibiting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history of frequent, acute, and severe metabolic complications (e.g., hypoglycemia, hyperglycemia, or ketoacidosis) requiring medical attention.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Clinical problems with exogenous insulin therapy that are so severe as to be incapacitating.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Consistent failure of insulin-based management to prevent acute complications.</w:t>
      </w:r>
    </w:p>
    <w:p>
      <w:pPr>
        <w:spacing w:before="0" w:after="0"/>
        <w:ind w:left="120"/>
        <w:jc w:val="both"/>
      </w:pPr>
      <w:r>
        <w:rPr>
          <w:rFonts w:ascii="Times New Roman" w:hAnsi="Times New Roman"/>
          <w:b w:val="false"/>
          <w:i w:val="false"/>
          <w:color w:val="000000"/>
          <w:sz w:val="22"/>
        </w:rPr>
        <w:t xml:space="preserve">The pancreas transplants listed under this subparagraph require preprocedure review by the IME medical services unit. (Cross references 78.1(19) and </w:t>
      </w:r>
      <w:hyperlink r:id="rId33">
        <w:r>
          <w:rPr>
            <w:rStyle w:val="Hyperlink"/>
            <w:rFonts w:ascii="Times New Roman" w:hAnsi="Times New Roman"/>
            <w:b w:val="false"/>
            <w:i w:val="false"/>
            <w:color w:val="000000"/>
            <w:sz w:val="22"/>
          </w:rPr>
          <w:t>78.28(1)</w:t>
        </w:r>
        <w:r>
          <w:rPr>
            <w:rFonts w:ascii="Times New Roman" w:hAnsi="Times New Roman"/>
            <w:b w:val="false"/>
            <w:i/>
            <w:color w:val="000000"/>
            <w:sz w:val="22"/>
          </w:rPr>
          <w:t>“f”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Covered transplants are payable only when performed in a facility that meets the requirements of </w:t>
      </w:r>
      <w:hyperlink r:id="rId34">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Transplantation of islet cells or partial pancreatic tissue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Donor expenses incurred directly in connection with a covered transplant are payable. Expenses incurred for complications that arise with respect to the donor are covered only if they are directly and immediately attributed to surgery. Expenses of searching for a donor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transplants must be medically necessary and meet other general requirements of this chapter for physician and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made for any transplant not specifically listed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val="false"/>
          <w:color w:val="000000"/>
          <w:sz w:val="22"/>
        </w:rPr>
        <w:t xml:space="preserve">Utilization review. Utilization review shall be conducted of Medicaid members who access more than 24 outpatient visits in any 12-month period from physicians, advanced registered nurse practitioners, federally qualified health centers, other clinics, and emergency rooms. For the purposes of utilization review, the term “physician” does not include a psychiatrist. Refer to rule </w:t>
      </w:r>
      <w:hyperlink r:id="rId35">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val="false"/>
          <w:color w:val="000000"/>
          <w:sz w:val="22"/>
        </w:rPr>
        <w:t>Risk assessment. 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Enhanced services include health education, social services, nutrition education, and a postpartum home visit. Additional reimbursement shall be provided for obstetrical services related to a high-risk pregnancy. (See description of enhanced services at subrule </w:t>
      </w:r>
      <w:hyperlink r:id="rId36">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val="false"/>
          <w:color w:val="000000"/>
          <w:sz w:val="22"/>
        </w:rPr>
        <w:t>Topical fluoride varnish. Payment shall be made for application of an FDA-approved topical fluoride varnish, as defined by the current version of the Code on Dental Procedures and Nomenclature (CDT) published by the American Dental Association, for the purpose of preventing the worsening of early childhood caries in children aged 0 to 36 months of age, when rendered by physicians or other appropriately licensed practitioners under the supervision of or in collaboration with a physician and who are acting within the scope of their practice, licensure, and other applicable state law, subject to the following provisions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topical fluoride varnish must be provided in conjunction with an early and periodic screening, diagnosis, and treatment (EPSDT) examination which includes a limited oral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Separate payment shall be available only for application of topical fluoride varnish, which shall be at the same rate of reimbursement paid to dentists for providing this service. Separate payment for the limited oral screening shall not be available, as this service is already part of and paid under the EPSDT screening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legal guardians, or other authorized caregivers of children receiving application of topical fluoride varnish as part of an EPSDT screening examination shall be informed by the physician or auxiliary staff employed by and under the physician’s supervision that this application is not a substitute for comprehensive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rendering the services under this subrule shall make every reasonable effort to refer or facilitate referral of these children for comprehensive dental care rendered by a dental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shall be governed pursuant to </w:t>
      </w:r>
      <w:hyperlink r:id="rId37">
        <w:r>
          <w:rPr>
            <w:rStyle w:val="Hyperlink"/>
            <w:rFonts w:ascii="Times New Roman" w:hAnsi="Times New Roman"/>
            <w:b w:val="false"/>
            <w:i w:val="false"/>
            <w:color w:val="000000"/>
            <w:sz w:val="22"/>
          </w:rPr>
          <w:t>subrule 78.28(2)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0846C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1052C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1297C</w:t>
      </w:r>
      <w:r>
        <w:rPr>
          <w:rFonts w:ascii="Times New Roman" w:hAnsi="Times New Roman"/>
          <w:b w:val="false"/>
          <w:i w:val="false"/>
          <w:color w:val="000000"/>
          <w:sz w:val="16"/>
        </w:rPr>
        <w:t>, IAB 2/5/14,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5418C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w:t>
      </w:r>
      <w:r>
        <w:rPr>
          <w:rFonts w:ascii="Times New Roman" w:hAnsi="Times New Roman"/>
          <w:b/>
          <w:i w:val="false"/>
          <w:color w:val="000000"/>
          <w:sz w:val="22"/>
        </w:rPr>
        <w:t xml:space="preserve">(249A) </w:t>
      </w:r>
      <w:r>
        <w:rPr>
          <w:rFonts w:ascii="Times New Roman" w:hAnsi="Times New Roman"/>
          <w:b/>
          <w:i w:val="false"/>
          <w:color w:val="000000"/>
          <w:sz w:val="22"/>
        </w:rPr>
        <w:t xml:space="preserve">Prescribed outpatient drugs. </w:t>
      </w:r>
      <w:r>
        <w:rPr>
          <w:rFonts w:ascii="Times New Roman" w:hAnsi="Times New Roman"/>
          <w:b w:val="false"/>
          <w:i w:val="false"/>
          <w:color w:val="000000"/>
          <w:sz w:val="22"/>
        </w:rPr>
        <w:t xml:space="preserve">Payment will be made for “covered outpatient drugs”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1396r-8(k)(2)-(4) subject to the conditions and limitations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w:t>
      </w:r>
      <w:r>
        <w:rPr>
          <w:rFonts w:ascii="Times New Roman" w:hAnsi="Times New Roman"/>
          <w:b w:val="false"/>
          <w:i w:val="false"/>
          <w:color w:val="000000"/>
          <w:sz w:val="22"/>
        </w:rPr>
        <w:t> </w:t>
      </w:r>
      <w:r>
        <w:rPr>
          <w:rFonts w:ascii="Times New Roman" w:hAnsi="Times New Roman"/>
          <w:b w:val="false"/>
          <w:i/>
          <w:color w:val="000000"/>
          <w:sz w:val="22"/>
        </w:rPr>
        <w:t xml:space="preserve">Qualified prescriber. </w:t>
      </w:r>
      <w:r>
        <w:rPr>
          <w:rFonts w:ascii="Times New Roman" w:hAnsi="Times New Roman"/>
          <w:b w:val="false"/>
          <w:i w:val="false"/>
          <w:color w:val="000000"/>
          <w:sz w:val="22"/>
        </w:rPr>
        <w:t xml:space="preserve">All drugs are covered only if prescribed or ordered by an Iowa Medicaid-enrolled practitioner licensed or registered to prescribe as specified in Iowa Code section </w:t>
      </w:r>
      <w:hyperlink r:id="rId39">
        <w:r>
          <w:rPr>
            <w:rStyle w:val="Hyperlink"/>
            <w:rFonts w:ascii="Times New Roman" w:hAnsi="Times New Roman"/>
            <w:b w:val="false"/>
            <w:i w:val="false"/>
            <w:color w:val="000000"/>
            <w:sz w:val="22"/>
          </w:rPr>
          <w:t>155A.3(38)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w:t>
      </w:r>
      <w:r>
        <w:rPr>
          <w:rFonts w:ascii="Times New Roman" w:hAnsi="Times New Roman"/>
          <w:b w:val="false"/>
          <w:i w:val="false"/>
          <w:color w:val="000000"/>
          <w:sz w:val="22"/>
        </w:rPr>
        <w:t> </w:t>
      </w:r>
      <w:r>
        <w:rPr>
          <w:rFonts w:ascii="Times New Roman" w:hAnsi="Times New Roman"/>
          <w:b w:val="false"/>
          <w:i/>
          <w:color w:val="000000"/>
          <w:sz w:val="22"/>
        </w:rPr>
        <w:t xml:space="preserve">Prescription required. </w:t>
      </w:r>
      <w:r>
        <w:rPr>
          <w:rFonts w:ascii="Times New Roman" w:hAnsi="Times New Roman"/>
          <w:b w:val="false"/>
          <w:i w:val="false"/>
          <w:color w:val="000000"/>
          <w:sz w:val="22"/>
        </w:rPr>
        <w:t xml:space="preserve">As a condition of payment for all drugs, including “nonprescription” or “over-the-counter” drugs that may otherwise be dispensed without a prescription or drug order, a prescription or drug order shall be transmitted as specified in Iowa Code sections </w:t>
      </w:r>
      <w:hyperlink r:id="rId40">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by the practitioner to the pharmacy, subject to the provisions of Iowa Code section </w:t>
      </w:r>
      <w:hyperlink r:id="rId43">
        <w:r>
          <w:rPr>
            <w:rStyle w:val="Hyperlink"/>
            <w:rFonts w:ascii="Times New Roman" w:hAnsi="Times New Roman"/>
            <w:b w:val="false"/>
            <w:i w:val="false"/>
            <w:color w:val="000000"/>
            <w:sz w:val="22"/>
          </w:rPr>
          <w:t>155A.29</w:t>
        </w:r>
      </w:hyperlink>
      <w:r>
        <w:rPr>
          <w:rFonts w:ascii="Times New Roman" w:hAnsi="Times New Roman"/>
          <w:b w:val="false"/>
          <w:i w:val="false"/>
          <w:color w:val="000000"/>
          <w:sz w:val="22"/>
        </w:rPr>
        <w:t xml:space="preserve"> regarding refills. All prescriptions or drug orders shall be available for audit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w:t>
      </w:r>
      <w:r>
        <w:rPr>
          <w:rFonts w:ascii="Times New Roman" w:hAnsi="Times New Roman"/>
          <w:b w:val="false"/>
          <w:i w:val="false"/>
          <w:color w:val="000000"/>
          <w:sz w:val="22"/>
        </w:rPr>
        <w:t> </w:t>
      </w:r>
      <w:r>
        <w:rPr>
          <w:rFonts w:ascii="Times New Roman" w:hAnsi="Times New Roman"/>
          <w:b w:val="false"/>
          <w:i/>
          <w:color w:val="000000"/>
          <w:sz w:val="22"/>
        </w:rPr>
        <w:t xml:space="preserve">Qualified source. </w:t>
      </w:r>
      <w:r>
        <w:rPr>
          <w:rFonts w:ascii="Times New Roman" w:hAnsi="Times New Roman"/>
          <w:b w:val="false"/>
          <w:i w:val="false"/>
          <w:color w:val="000000"/>
          <w:sz w:val="22"/>
        </w:rPr>
        <w:t>All drugs are covered only if marketed by manufacturers that have signed a Medicaid rebate agreement with the Secretary of Health and Human Services in accordance with Public Law 101-508 (Omnibus Budget Reconciliation Act of 1990).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w:t>
      </w:r>
      <w:r>
        <w:rPr>
          <w:rFonts w:ascii="Times New Roman" w:hAnsi="Times New Roman"/>
          <w:b w:val="false"/>
          <w:i w:val="false"/>
          <w:color w:val="000000"/>
          <w:sz w:val="22"/>
        </w:rPr>
        <w:t> </w:t>
      </w:r>
      <w:r>
        <w:rPr>
          <w:rFonts w:ascii="Times New Roman" w:hAnsi="Times New Roman"/>
          <w:b w:val="false"/>
          <w:i/>
          <w:color w:val="000000"/>
          <w:sz w:val="22"/>
        </w:rPr>
        <w:t xml:space="preserve">Prescription drugs. </w:t>
      </w:r>
      <w:r>
        <w:rPr>
          <w:rFonts w:ascii="Times New Roman" w:hAnsi="Times New Roman"/>
          <w:b w:val="false"/>
          <w:i w:val="false"/>
          <w:color w:val="000000"/>
          <w:sz w:val="22"/>
        </w:rPr>
        <w:t>Drugs that may be dispensed only upon a prescription are covered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is required as specified in the preferred drug list published by the department pursuant to Iowa Code section </w:t>
      </w:r>
      <w:hyperlink r:id="rId4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any drug requiring prior authorization, reimbursement will be made for a 72-hour or three-day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the manufacturer or labeler of a mental health prescription drug that has a significant variation in therapeutic or side effect profile from other drugs in the same therapeutic class enters into a contract to provide the state with a supplemental rebate, the drug may be placed on the preferred drug list as nonpreferred, with prior authorization required. However, prior authorization shall not be required for such a drug for a member whose regimen on the drug was established before January 1, 2011, as verified by documented pharmacy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mental health prescription drugs requiring prior authorization that have a significant variation in therapeutic or side effect profile from other drugs in the same therapeutic class, reimbursement will be made for up to a seven-day supply pending prior authorization. A request for prior authorization shall be deemed approved if the prescriber: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Has on file with the department current contact information, including a current fax number, and a signed Form 470-4914, Fax Confidentiality Certificate,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Does not receive a notice of approval or disapproval within 48 hours of a request for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shall be governed pursuant to subrule </w:t>
      </w:r>
      <w:hyperlink r:id="rId45">
        <w:r>
          <w:rPr>
            <w:rStyle w:val="Hyperlink"/>
            <w:rFonts w:ascii="Times New Roman" w:hAnsi="Times New Roman"/>
            <w:b w:val="false"/>
            <w:i w:val="false"/>
            <w:color w:val="000000"/>
            <w:sz w:val="22"/>
          </w:rPr>
          <w:t>78.28(2)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is not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whose prescribed use is not for a medically accepted indication as defined by </w:t>
      </w:r>
      <w:r>
        <w:rPr>
          <w:rFonts w:ascii="Times New Roman" w:hAnsi="Times New Roman"/>
          <w:b w:val="false"/>
          <w:i w:val="false"/>
          <w:color w:val="000000"/>
          <w:sz w:val="22"/>
        </w:rPr>
        <w:t>Section 1927(k)(6)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Drugs used for anorexia, weight gain, or weight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Drugs used for cosmetic purposes or hair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Otherwise covered outpatient drugs if the manufacturer seeks to require as a condition of sale that associated tests or monitoring services be purchased exclusively from the manufacturer or the manufacturer’s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Drugs described in Section 107(c)(3) of the Drug Amendments of 1962 and identical, similar, or related drugs (within the meaning of Section 310.6(b)(1) of Title 21 of the Code of Federal Regulations (drugs identified through the Drug Efficacy Study Implementation (DESI)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any “Part D eligible individual”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 member who is not enrolled in a Medicare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Drugs prescribed for fertility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Drugs used for the treatment of sexual or erectile dysfunction, except when used to treat a condition other than sexual or erectile dysfunction for which the drug has been approved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drugs for which the prescription was executed in written (and nonelectronic) form unless the prescription was executed on a tamper-resistant pad, as required by </w:t>
      </w:r>
      <w:r>
        <w:rPr>
          <w:rFonts w:ascii="Times New Roman" w:hAnsi="Times New Roman"/>
          <w:b w:val="false"/>
          <w:i w:val="false"/>
          <w:color w:val="000000"/>
          <w:sz w:val="22"/>
        </w:rPr>
        <w:t>Section 1903(i)(23)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1396b(i)(23)).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used for symptomatic relief of cough and colds, except for nonprescription drugs listed at subrule </w:t>
      </w:r>
      <w:hyperlink r:id="rId46">
        <w:r>
          <w:rPr>
            <w:rStyle w:val="Hyperlink"/>
            <w:rFonts w:ascii="Times New Roman" w:hAnsi="Times New Roman"/>
            <w:b w:val="false"/>
            <w:i w:val="false"/>
            <w:color w:val="000000"/>
            <w:sz w:val="22"/>
          </w:rPr>
          <w:t>78.2(5)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Investigational drugs, including drugs that are the subject of an investigational new drug (IND) application allowed to proceed by the U.S. Food and Drug Administration (FDA) but that do not meet the definition of a covered outpatient drug in </w:t>
      </w:r>
      <w:r>
        <w:rPr>
          <w:rFonts w:ascii="Times New Roman" w:hAnsi="Times New Roman"/>
          <w:b w:val="false"/>
          <w:i w:val="false"/>
          <w:color w:val="000000"/>
          <w:sz w:val="22"/>
        </w:rPr>
        <w:t>42 U.S.C. 1396r</w:t>
      </w:r>
      <w:r>
        <w:rPr>
          <w:rFonts w:ascii="Times New Roman" w:hAnsi="Times New Roman"/>
          <w:b w:val="false"/>
          <w:i w:val="false"/>
          <w:color w:val="000000"/>
          <w:sz w:val="22"/>
        </w:rPr>
        <w:t>-8(k)(2)-(4).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w:t>
      </w:r>
      <w:r>
        <w:rPr>
          <w:rFonts w:ascii="Times New Roman" w:hAnsi="Times New Roman"/>
          <w:b w:val="false"/>
          <w:i w:val="false"/>
          <w:color w:val="000000"/>
          <w:sz w:val="22"/>
        </w:rPr>
        <w:t> </w:t>
      </w:r>
      <w:r>
        <w:rPr>
          <w:rFonts w:ascii="Times New Roman" w:hAnsi="Times New Roman"/>
          <w:b w:val="false"/>
          <w:i/>
          <w:color w:val="000000"/>
          <w:sz w:val="22"/>
        </w:rPr>
        <w:t xml:space="preserve">Nonprescription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drugs that may otherwise be dispensed without a prescription are covered subject to the prior authorization requirements stated below and as specified in the preferred drug list published by the department pursuant to Iowa Code section </w:t>
      </w:r>
      <w:hyperlink r:id="rId47">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Acetaminophen tablets 325 mg, 500 mg</w:t>
      </w:r>
    </w:p>
    <w:p>
      <w:pPr>
        <w:spacing w:before="0" w:after="0"/>
        <w:ind w:left="120"/>
        <w:jc w:val="both"/>
      </w:pPr>
      <w:r>
        <w:rPr>
          <w:rFonts w:ascii="Times New Roman" w:hAnsi="Times New Roman"/>
          <w:b w:val="false"/>
          <w:i w:val="false"/>
          <w:color w:val="000000"/>
          <w:sz w:val="22"/>
        </w:rPr>
        <w:t>Acetaminophen elixir 160 mg/5 ml</w:t>
      </w:r>
    </w:p>
    <w:p>
      <w:pPr>
        <w:spacing w:before="0" w:after="0"/>
        <w:ind w:left="120"/>
        <w:jc w:val="both"/>
      </w:pPr>
      <w:r>
        <w:rPr>
          <w:rFonts w:ascii="Times New Roman" w:hAnsi="Times New Roman"/>
          <w:b w:val="false"/>
          <w:i w:val="false"/>
          <w:color w:val="000000"/>
          <w:sz w:val="22"/>
        </w:rPr>
        <w:t>Acetaminophen solution 100 mg/ml</w:t>
      </w:r>
    </w:p>
    <w:p>
      <w:pPr>
        <w:spacing w:before="0" w:after="0"/>
        <w:ind w:left="120"/>
        <w:jc w:val="both"/>
      </w:pPr>
      <w:r>
        <w:rPr>
          <w:rFonts w:ascii="Times New Roman" w:hAnsi="Times New Roman"/>
          <w:b w:val="false"/>
          <w:i w:val="false"/>
          <w:color w:val="000000"/>
          <w:sz w:val="22"/>
        </w:rPr>
        <w:t>Acetaminophen suppositories 120 mg</w:t>
      </w:r>
    </w:p>
    <w:p>
      <w:pPr>
        <w:spacing w:before="0" w:after="0"/>
        <w:ind w:left="120"/>
        <w:jc w:val="both"/>
      </w:pPr>
      <w:r>
        <w:rPr>
          <w:rFonts w:ascii="Times New Roman" w:hAnsi="Times New Roman"/>
          <w:b w:val="false"/>
          <w:i w:val="false"/>
          <w:color w:val="000000"/>
          <w:sz w:val="22"/>
        </w:rPr>
        <w:t>Artificial tears ophthalmic solution</w:t>
      </w:r>
    </w:p>
    <w:p>
      <w:pPr>
        <w:spacing w:before="0" w:after="0"/>
        <w:ind w:left="120"/>
        <w:jc w:val="both"/>
      </w:pPr>
      <w:r>
        <w:rPr>
          <w:rFonts w:ascii="Times New Roman" w:hAnsi="Times New Roman"/>
          <w:b w:val="false"/>
          <w:i w:val="false"/>
          <w:color w:val="000000"/>
          <w:sz w:val="22"/>
        </w:rPr>
        <w:t>Artificial tears ophthalmic ointment</w:t>
      </w:r>
    </w:p>
    <w:p>
      <w:pPr>
        <w:spacing w:before="0" w:after="0"/>
        <w:ind w:left="120"/>
        <w:jc w:val="both"/>
      </w:pPr>
      <w:r>
        <w:rPr>
          <w:rFonts w:ascii="Times New Roman" w:hAnsi="Times New Roman"/>
          <w:b w:val="false"/>
          <w:i w:val="false"/>
          <w:color w:val="000000"/>
          <w:sz w:val="22"/>
        </w:rPr>
        <w:t>Aspirin tablets 81 mg, chewable</w:t>
      </w:r>
    </w:p>
    <w:p>
      <w:pPr>
        <w:spacing w:before="0" w:after="0"/>
        <w:ind w:left="120"/>
        <w:jc w:val="both"/>
      </w:pPr>
      <w:r>
        <w:rPr>
          <w:rFonts w:ascii="Times New Roman" w:hAnsi="Times New Roman"/>
          <w:b w:val="false"/>
          <w:i w:val="false"/>
          <w:color w:val="000000"/>
          <w:sz w:val="22"/>
        </w:rPr>
        <w:t>Aspirin tablets 81 mg, 325 mg, and 650 mg oral</w:t>
      </w:r>
    </w:p>
    <w:p>
      <w:pPr>
        <w:spacing w:before="0" w:after="0"/>
        <w:ind w:left="120"/>
        <w:jc w:val="both"/>
      </w:pPr>
      <w:r>
        <w:rPr>
          <w:rFonts w:ascii="Times New Roman" w:hAnsi="Times New Roman"/>
          <w:b w:val="false"/>
          <w:i w:val="false"/>
          <w:color w:val="000000"/>
          <w:sz w:val="22"/>
        </w:rPr>
        <w:t>Aspirin tablets, enteric coated 325 mg, 650 mg, 81 mg</w:t>
      </w:r>
    </w:p>
    <w:p>
      <w:pPr>
        <w:spacing w:before="0" w:after="0"/>
        <w:ind w:left="120"/>
        <w:jc w:val="both"/>
      </w:pPr>
      <w:r>
        <w:rPr>
          <w:rFonts w:ascii="Times New Roman" w:hAnsi="Times New Roman"/>
          <w:b w:val="false"/>
          <w:i w:val="false"/>
          <w:color w:val="000000"/>
          <w:sz w:val="22"/>
        </w:rPr>
        <w:t>Aspirin tablets, buffered 325 mg</w:t>
      </w:r>
    </w:p>
    <w:p>
      <w:pPr>
        <w:spacing w:before="0" w:after="0"/>
        <w:ind w:left="120"/>
        <w:jc w:val="both"/>
      </w:pPr>
      <w:r>
        <w:rPr>
          <w:rFonts w:ascii="Times New Roman" w:hAnsi="Times New Roman"/>
          <w:b w:val="false"/>
          <w:i w:val="false"/>
          <w:color w:val="000000"/>
          <w:sz w:val="22"/>
        </w:rPr>
        <w:t>Bacitracin ointment 500 units/gm</w:t>
      </w:r>
    </w:p>
    <w:p>
      <w:pPr>
        <w:spacing w:before="0" w:after="0"/>
        <w:ind w:left="120"/>
        <w:jc w:val="both"/>
      </w:pPr>
      <w:r>
        <w:rPr>
          <w:rFonts w:ascii="Times New Roman" w:hAnsi="Times New Roman"/>
          <w:b w:val="false"/>
          <w:i w:val="false"/>
          <w:color w:val="000000"/>
          <w:sz w:val="22"/>
        </w:rPr>
        <w:t>Benzoyl peroxide 5%, gel, lotion</w:t>
      </w:r>
    </w:p>
    <w:p>
      <w:pPr>
        <w:spacing w:before="0" w:after="0"/>
        <w:ind w:left="120"/>
        <w:jc w:val="both"/>
      </w:pPr>
      <w:r>
        <w:rPr>
          <w:rFonts w:ascii="Times New Roman" w:hAnsi="Times New Roman"/>
          <w:b w:val="false"/>
          <w:i w:val="false"/>
          <w:color w:val="000000"/>
          <w:sz w:val="22"/>
        </w:rPr>
        <w:t>Benzoyl peroxide 10%, gel, lotion</w:t>
      </w:r>
    </w:p>
    <w:p>
      <w:pPr>
        <w:spacing w:before="0" w:after="0"/>
        <w:ind w:left="120"/>
        <w:jc w:val="both"/>
      </w:pPr>
      <w:r>
        <w:rPr>
          <w:rFonts w:ascii="Times New Roman" w:hAnsi="Times New Roman"/>
          <w:b w:val="false"/>
          <w:i w:val="false"/>
          <w:color w:val="000000"/>
          <w:sz w:val="22"/>
        </w:rPr>
        <w:t>Cetirizine hydrochloride liquid 1 mg/ml</w:t>
      </w:r>
    </w:p>
    <w:p>
      <w:pPr>
        <w:spacing w:before="0" w:after="0"/>
        <w:ind w:left="120"/>
        <w:jc w:val="both"/>
      </w:pPr>
      <w:r>
        <w:rPr>
          <w:rFonts w:ascii="Times New Roman" w:hAnsi="Times New Roman"/>
          <w:b w:val="false"/>
          <w:i w:val="false"/>
          <w:color w:val="000000"/>
          <w:sz w:val="22"/>
        </w:rPr>
        <w:t>Cetirizine hydrochloride tablets 5 mg</w:t>
      </w:r>
    </w:p>
    <w:p>
      <w:pPr>
        <w:spacing w:before="0" w:after="0"/>
        <w:ind w:left="120"/>
        <w:jc w:val="both"/>
      </w:pPr>
      <w:r>
        <w:rPr>
          <w:rFonts w:ascii="Times New Roman" w:hAnsi="Times New Roman"/>
          <w:b w:val="false"/>
          <w:i w:val="false"/>
          <w:color w:val="000000"/>
          <w:sz w:val="22"/>
        </w:rPr>
        <w:t>Cetirizine hydrochloride tablets 10 mg</w:t>
      </w:r>
    </w:p>
    <w:p>
      <w:pPr>
        <w:spacing w:before="0" w:after="0"/>
        <w:ind w:left="120"/>
        <w:jc w:val="both"/>
      </w:pPr>
      <w:r>
        <w:rPr>
          <w:rFonts w:ascii="Times New Roman" w:hAnsi="Times New Roman"/>
          <w:b w:val="false"/>
          <w:i w:val="false"/>
          <w:color w:val="000000"/>
          <w:sz w:val="22"/>
        </w:rPr>
        <w:t>Chlorpheniramine maleate tablets 4 mg</w:t>
      </w:r>
    </w:p>
    <w:p>
      <w:pPr>
        <w:spacing w:before="0" w:after="0"/>
        <w:ind w:left="120"/>
        <w:jc w:val="both"/>
      </w:pPr>
      <w:r>
        <w:rPr>
          <w:rFonts w:ascii="Times New Roman" w:hAnsi="Times New Roman"/>
          <w:b w:val="false"/>
          <w:i w:val="false"/>
          <w:color w:val="000000"/>
          <w:sz w:val="22"/>
        </w:rPr>
        <w:t>Clotrimazole vaginal cream 1%</w:t>
      </w:r>
    </w:p>
    <w:p>
      <w:pPr>
        <w:spacing w:before="0" w:after="0"/>
        <w:ind w:left="120"/>
        <w:jc w:val="both"/>
      </w:pPr>
      <w:r>
        <w:rPr>
          <w:rFonts w:ascii="Times New Roman" w:hAnsi="Times New Roman"/>
          <w:b w:val="false"/>
          <w:i w:val="false"/>
          <w:color w:val="000000"/>
          <w:sz w:val="22"/>
        </w:rPr>
        <w:t>Diphenhydramine hydrochloride capsules 25 mg</w:t>
      </w:r>
    </w:p>
    <w:p>
      <w:pPr>
        <w:spacing w:before="0" w:after="0"/>
        <w:ind w:left="120"/>
        <w:jc w:val="both"/>
      </w:pPr>
      <w:r>
        <w:rPr>
          <w:rFonts w:ascii="Times New Roman" w:hAnsi="Times New Roman"/>
          <w:b w:val="false"/>
          <w:i w:val="false"/>
          <w:color w:val="000000"/>
          <w:sz w:val="22"/>
        </w:rPr>
        <w:t>Diphenhydramine hydrochloride elixir, liquid, and syrup 12.5 mg/5 ml</w:t>
      </w:r>
    </w:p>
    <w:p>
      <w:pPr>
        <w:spacing w:before="0" w:after="0"/>
        <w:ind w:left="120"/>
        <w:jc w:val="both"/>
      </w:pPr>
      <w:r>
        <w:rPr>
          <w:rFonts w:ascii="Times New Roman" w:hAnsi="Times New Roman"/>
          <w:b w:val="false"/>
          <w:i w:val="false"/>
          <w:color w:val="000000"/>
          <w:sz w:val="22"/>
        </w:rPr>
        <w:t>Epinephrine racemic solution 2.25%</w:t>
      </w:r>
    </w:p>
    <w:p>
      <w:pPr>
        <w:spacing w:before="0" w:after="0"/>
        <w:ind w:left="120"/>
        <w:jc w:val="both"/>
      </w:pPr>
      <w:r>
        <w:rPr>
          <w:rFonts w:ascii="Times New Roman" w:hAnsi="Times New Roman"/>
          <w:b w:val="false"/>
          <w:i w:val="false"/>
          <w:color w:val="000000"/>
          <w:sz w:val="22"/>
        </w:rPr>
        <w:t>Ferrous sulfate solution 75 mg/0.6 ml (15 mg/0.6 ml elemental iron)</w:t>
      </w:r>
    </w:p>
    <w:p>
      <w:pPr>
        <w:spacing w:before="0" w:after="0"/>
        <w:ind w:left="120"/>
        <w:jc w:val="both"/>
      </w:pPr>
      <w:r>
        <w:rPr>
          <w:rFonts w:ascii="Times New Roman" w:hAnsi="Times New Roman"/>
          <w:b w:val="false"/>
          <w:i w:val="false"/>
          <w:color w:val="000000"/>
          <w:sz w:val="22"/>
        </w:rPr>
        <w:t>Ferrous sulfate tablets 325 mg</w:t>
      </w:r>
    </w:p>
    <w:p>
      <w:pPr>
        <w:spacing w:before="0" w:after="0"/>
        <w:ind w:left="120"/>
        <w:jc w:val="both"/>
      </w:pPr>
      <w:r>
        <w:rPr>
          <w:rFonts w:ascii="Times New Roman" w:hAnsi="Times New Roman"/>
          <w:b w:val="false"/>
          <w:i w:val="false"/>
          <w:color w:val="000000"/>
          <w:sz w:val="22"/>
        </w:rPr>
        <w:t>Ferrous sulfate elixir 220 mg/5 ml</w:t>
      </w:r>
    </w:p>
    <w:p>
      <w:pPr>
        <w:spacing w:before="0" w:after="0"/>
        <w:ind w:left="120"/>
        <w:jc w:val="both"/>
      </w:pPr>
      <w:r>
        <w:rPr>
          <w:rFonts w:ascii="Times New Roman" w:hAnsi="Times New Roman"/>
          <w:b w:val="false"/>
          <w:i w:val="false"/>
          <w:color w:val="000000"/>
          <w:sz w:val="22"/>
        </w:rPr>
        <w:t>Ferrous sulfate drops 75 mg/0.6 ml</w:t>
      </w:r>
    </w:p>
    <w:p>
      <w:pPr>
        <w:spacing w:before="0" w:after="0"/>
        <w:ind w:left="120"/>
        <w:jc w:val="both"/>
      </w:pPr>
      <w:r>
        <w:rPr>
          <w:rFonts w:ascii="Times New Roman" w:hAnsi="Times New Roman"/>
          <w:b w:val="false"/>
          <w:i w:val="false"/>
          <w:color w:val="000000"/>
          <w:sz w:val="22"/>
        </w:rPr>
        <w:t>Ferrous gluconate tablets 325 mg</w:t>
      </w:r>
    </w:p>
    <w:p>
      <w:pPr>
        <w:spacing w:before="0" w:after="0"/>
        <w:ind w:left="120"/>
        <w:jc w:val="both"/>
      </w:pPr>
      <w:r>
        <w:rPr>
          <w:rFonts w:ascii="Times New Roman" w:hAnsi="Times New Roman"/>
          <w:b w:val="false"/>
          <w:i w:val="false"/>
          <w:color w:val="000000"/>
          <w:sz w:val="22"/>
        </w:rPr>
        <w:t>Ferrous fumarate tablets 325 mg</w:t>
      </w:r>
    </w:p>
    <w:p>
      <w:pPr>
        <w:spacing w:before="0" w:after="0"/>
        <w:ind w:left="120"/>
        <w:jc w:val="both"/>
      </w:pPr>
      <w:r>
        <w:rPr>
          <w:rFonts w:ascii="Times New Roman" w:hAnsi="Times New Roman"/>
          <w:b w:val="false"/>
          <w:i w:val="false"/>
          <w:color w:val="000000"/>
          <w:sz w:val="22"/>
        </w:rPr>
        <w:t>Guaifenesin 100 mg/5 ml with dextromethorphan 10 mg/5 ml liquid</w:t>
      </w:r>
    </w:p>
    <w:p>
      <w:pPr>
        <w:spacing w:before="0" w:after="0"/>
        <w:ind w:left="120"/>
        <w:jc w:val="both"/>
      </w:pPr>
      <w:r>
        <w:rPr>
          <w:rFonts w:ascii="Times New Roman" w:hAnsi="Times New Roman"/>
          <w:b w:val="false"/>
          <w:i w:val="false"/>
          <w:color w:val="000000"/>
          <w:sz w:val="22"/>
        </w:rPr>
        <w:t>Ibuprofen suspension 100 mg/5 ml</w:t>
      </w:r>
    </w:p>
    <w:p>
      <w:pPr>
        <w:spacing w:before="0" w:after="0"/>
        <w:ind w:left="120"/>
        <w:jc w:val="both"/>
      </w:pPr>
      <w:r>
        <w:rPr>
          <w:rFonts w:ascii="Times New Roman" w:hAnsi="Times New Roman"/>
          <w:b w:val="false"/>
          <w:i w:val="false"/>
          <w:color w:val="000000"/>
          <w:sz w:val="22"/>
        </w:rPr>
        <w:t>Ibuprofen tablets 200 mg</w:t>
      </w:r>
    </w:p>
    <w:p>
      <w:pPr>
        <w:spacing w:before="0" w:after="0"/>
        <w:ind w:left="120"/>
        <w:jc w:val="both"/>
      </w:pPr>
      <w:r>
        <w:rPr>
          <w:rFonts w:ascii="Times New Roman" w:hAnsi="Times New Roman"/>
          <w:b w:val="false"/>
          <w:i w:val="false"/>
          <w:color w:val="000000"/>
          <w:sz w:val="22"/>
        </w:rPr>
        <w:t>Insulin</w:t>
      </w:r>
    </w:p>
    <w:p>
      <w:pPr>
        <w:spacing w:before="0" w:after="0"/>
        <w:ind w:left="120"/>
        <w:jc w:val="both"/>
      </w:pPr>
      <w:r>
        <w:rPr>
          <w:rFonts w:ascii="Times New Roman" w:hAnsi="Times New Roman"/>
          <w:b w:val="false"/>
          <w:i w:val="false"/>
          <w:color w:val="000000"/>
          <w:sz w:val="22"/>
        </w:rPr>
        <w:t>Lactic acid (ammonium lactate) lotion 12%</w:t>
      </w:r>
    </w:p>
    <w:p>
      <w:pPr>
        <w:spacing w:before="0" w:after="0"/>
        <w:ind w:left="120"/>
        <w:jc w:val="both"/>
      </w:pPr>
      <w:r>
        <w:rPr>
          <w:rFonts w:ascii="Times New Roman" w:hAnsi="Times New Roman"/>
          <w:b w:val="false"/>
          <w:i w:val="false"/>
          <w:color w:val="000000"/>
          <w:sz w:val="22"/>
        </w:rPr>
        <w:t>Levonorgestrel 1.5 mg</w:t>
      </w:r>
    </w:p>
    <w:p>
      <w:pPr>
        <w:spacing w:before="0" w:after="0"/>
        <w:ind w:left="120"/>
        <w:jc w:val="both"/>
      </w:pPr>
      <w:r>
        <w:rPr>
          <w:rFonts w:ascii="Times New Roman" w:hAnsi="Times New Roman"/>
          <w:b w:val="false"/>
          <w:i w:val="false"/>
          <w:color w:val="000000"/>
          <w:sz w:val="22"/>
        </w:rPr>
        <w:t>Loperamide hydrochloride liquid 1 mg/5 ml</w:t>
      </w:r>
    </w:p>
    <w:p>
      <w:pPr>
        <w:spacing w:before="0" w:after="0"/>
        <w:ind w:left="120"/>
        <w:jc w:val="both"/>
      </w:pPr>
      <w:r>
        <w:rPr>
          <w:rFonts w:ascii="Times New Roman" w:hAnsi="Times New Roman"/>
          <w:b w:val="false"/>
          <w:i w:val="false"/>
          <w:color w:val="000000"/>
          <w:sz w:val="22"/>
        </w:rPr>
        <w:t>Loperamide hydrochloride liquid 1 mg/7.5 ml</w:t>
      </w:r>
    </w:p>
    <w:p>
      <w:pPr>
        <w:spacing w:before="0" w:after="0"/>
        <w:ind w:left="120"/>
        <w:jc w:val="both"/>
      </w:pPr>
      <w:r>
        <w:rPr>
          <w:rFonts w:ascii="Times New Roman" w:hAnsi="Times New Roman"/>
          <w:b w:val="false"/>
          <w:i w:val="false"/>
          <w:color w:val="000000"/>
          <w:sz w:val="22"/>
        </w:rPr>
        <w:t>Loperamide hydrochloride tablets 2 mg</w:t>
      </w:r>
    </w:p>
    <w:p>
      <w:pPr>
        <w:spacing w:before="0" w:after="0"/>
        <w:ind w:left="120"/>
        <w:jc w:val="both"/>
      </w:pPr>
      <w:r>
        <w:rPr>
          <w:rFonts w:ascii="Times New Roman" w:hAnsi="Times New Roman"/>
          <w:b w:val="false"/>
          <w:i w:val="false"/>
          <w:color w:val="000000"/>
          <w:sz w:val="22"/>
        </w:rPr>
        <w:t>Loratadine syrup 5 mg/5 ml</w:t>
      </w:r>
    </w:p>
    <w:p>
      <w:pPr>
        <w:spacing w:before="0" w:after="0"/>
        <w:ind w:left="120"/>
        <w:jc w:val="both"/>
      </w:pPr>
      <w:r>
        <w:rPr>
          <w:rFonts w:ascii="Times New Roman" w:hAnsi="Times New Roman"/>
          <w:b w:val="false"/>
          <w:i w:val="false"/>
          <w:color w:val="000000"/>
          <w:sz w:val="22"/>
        </w:rPr>
        <w:t>Loratadine tablets 10 mg</w:t>
      </w:r>
    </w:p>
    <w:p>
      <w:pPr>
        <w:spacing w:before="0" w:after="0"/>
        <w:ind w:left="120"/>
        <w:jc w:val="both"/>
      </w:pPr>
      <w:r>
        <w:rPr>
          <w:rFonts w:ascii="Times New Roman" w:hAnsi="Times New Roman"/>
          <w:b w:val="false"/>
          <w:i w:val="false"/>
          <w:color w:val="000000"/>
          <w:sz w:val="22"/>
        </w:rPr>
        <w:t>Magnesium hydroxide suspension 400 mg/5 ml</w:t>
      </w:r>
    </w:p>
    <w:p>
      <w:pPr>
        <w:spacing w:before="0" w:after="0"/>
        <w:ind w:left="120"/>
        <w:jc w:val="both"/>
      </w:pPr>
      <w:r>
        <w:rPr>
          <w:rFonts w:ascii="Times New Roman" w:hAnsi="Times New Roman"/>
          <w:b w:val="false"/>
          <w:i w:val="false"/>
          <w:color w:val="000000"/>
          <w:sz w:val="22"/>
        </w:rPr>
        <w:t>Meclizine hydrochloride tablets 12.5 mg, 25 mg oral and chewable</w:t>
      </w:r>
    </w:p>
    <w:p>
      <w:pPr>
        <w:spacing w:before="0" w:after="0"/>
        <w:ind w:left="120"/>
        <w:jc w:val="both"/>
      </w:pPr>
      <w:r>
        <w:rPr>
          <w:rFonts w:ascii="Times New Roman" w:hAnsi="Times New Roman"/>
          <w:b w:val="false"/>
          <w:i w:val="false"/>
          <w:color w:val="000000"/>
          <w:sz w:val="22"/>
        </w:rPr>
        <w:t>Miconazole nitrate cream 2% topical and vaginal</w:t>
      </w:r>
    </w:p>
    <w:p>
      <w:pPr>
        <w:spacing w:before="0" w:after="0"/>
        <w:ind w:left="120"/>
        <w:jc w:val="both"/>
      </w:pPr>
      <w:r>
        <w:rPr>
          <w:rFonts w:ascii="Times New Roman" w:hAnsi="Times New Roman"/>
          <w:b w:val="false"/>
          <w:i w:val="false"/>
          <w:color w:val="000000"/>
          <w:sz w:val="22"/>
        </w:rPr>
        <w:t>Miconazole nitrate vaginal suppositories, 100 mg</w:t>
      </w:r>
    </w:p>
    <w:p>
      <w:pPr>
        <w:spacing w:before="0" w:after="0"/>
        <w:ind w:left="120"/>
        <w:jc w:val="both"/>
      </w:pPr>
      <w:r>
        <w:rPr>
          <w:rFonts w:ascii="Times New Roman" w:hAnsi="Times New Roman"/>
          <w:b w:val="false"/>
          <w:i w:val="false"/>
          <w:color w:val="000000"/>
          <w:sz w:val="22"/>
        </w:rPr>
        <w:t xml:space="preserve"> Mineral products with prior authorization</w:t>
      </w:r>
    </w:p>
    <w:p>
      <w:pPr>
        <w:spacing w:before="0" w:after="0"/>
        <w:ind w:left="120"/>
        <w:jc w:val="both"/>
      </w:pPr>
      <w:r>
        <w:rPr>
          <w:rFonts w:ascii="Times New Roman" w:hAnsi="Times New Roman"/>
          <w:b w:val="false"/>
          <w:i w:val="false"/>
          <w:color w:val="000000"/>
          <w:sz w:val="22"/>
        </w:rPr>
        <w:t>Neomycin-bacitracin-polymyxin ointment</w:t>
      </w:r>
    </w:p>
    <w:p>
      <w:pPr>
        <w:spacing w:before="0" w:after="0"/>
        <w:ind w:left="120"/>
        <w:jc w:val="both"/>
      </w:pPr>
      <w:r>
        <w:rPr>
          <w:rFonts w:ascii="Times New Roman" w:hAnsi="Times New Roman"/>
          <w:b w:val="false"/>
          <w:i w:val="false"/>
          <w:color w:val="000000"/>
          <w:sz w:val="22"/>
        </w:rPr>
        <w:t>Nicotine gum 2 mg, 4 mg</w:t>
      </w:r>
    </w:p>
    <w:p>
      <w:pPr>
        <w:spacing w:before="0" w:after="0"/>
        <w:ind w:left="120"/>
        <w:jc w:val="both"/>
      </w:pPr>
      <w:r>
        <w:rPr>
          <w:rFonts w:ascii="Times New Roman" w:hAnsi="Times New Roman"/>
          <w:b w:val="false"/>
          <w:i w:val="false"/>
          <w:color w:val="000000"/>
          <w:sz w:val="22"/>
        </w:rPr>
        <w:t>Nicotine lozenge 2 mg, 4 mg</w:t>
      </w:r>
    </w:p>
    <w:p>
      <w:pPr>
        <w:spacing w:before="0" w:after="0"/>
        <w:ind w:left="120"/>
        <w:jc w:val="both"/>
      </w:pPr>
      <w:r>
        <w:rPr>
          <w:rFonts w:ascii="Times New Roman" w:hAnsi="Times New Roman"/>
          <w:b w:val="false"/>
          <w:i w:val="false"/>
          <w:color w:val="000000"/>
          <w:sz w:val="22"/>
        </w:rPr>
        <w:t>Nicotine patch 7 mg/day, 14 mg/day and 21 mg/day</w:t>
      </w:r>
    </w:p>
    <w:p>
      <w:pPr>
        <w:spacing w:before="0" w:after="0"/>
        <w:ind w:left="120"/>
        <w:jc w:val="both"/>
      </w:pPr>
      <w:r>
        <w:rPr>
          <w:rFonts w:ascii="Times New Roman" w:hAnsi="Times New Roman"/>
          <w:b w:val="false"/>
          <w:i w:val="false"/>
          <w:color w:val="000000"/>
          <w:sz w:val="22"/>
        </w:rPr>
        <w:t>Pediatric oral electrolyte solutions</w:t>
      </w:r>
    </w:p>
    <w:p>
      <w:pPr>
        <w:spacing w:before="0" w:after="0"/>
        <w:ind w:left="120"/>
        <w:jc w:val="both"/>
      </w:pPr>
      <w:r>
        <w:rPr>
          <w:rFonts w:ascii="Times New Roman" w:hAnsi="Times New Roman"/>
          <w:b w:val="false"/>
          <w:i w:val="false"/>
          <w:color w:val="000000"/>
          <w:sz w:val="22"/>
        </w:rPr>
        <w:t>Permethrin lotion 1%</w:t>
      </w:r>
    </w:p>
    <w:p>
      <w:pPr>
        <w:spacing w:before="0" w:after="0"/>
        <w:ind w:left="120"/>
        <w:jc w:val="both"/>
      </w:pPr>
      <w:r>
        <w:rPr>
          <w:rFonts w:ascii="Times New Roman" w:hAnsi="Times New Roman"/>
          <w:b w:val="false"/>
          <w:i w:val="false"/>
          <w:color w:val="000000"/>
          <w:sz w:val="22"/>
        </w:rPr>
        <w:t>Polyethylene glycol 3350 powder</w:t>
      </w:r>
    </w:p>
    <w:p>
      <w:pPr>
        <w:spacing w:before="0" w:after="0"/>
        <w:ind w:left="120"/>
        <w:jc w:val="both"/>
      </w:pPr>
      <w:r>
        <w:rPr>
          <w:rFonts w:ascii="Times New Roman" w:hAnsi="Times New Roman"/>
          <w:b w:val="false"/>
          <w:i w:val="false"/>
          <w:color w:val="000000"/>
          <w:sz w:val="22"/>
        </w:rPr>
        <w:t>Pseudoephedrine hydrochloride tablets 30 mg, 60 mg</w:t>
      </w:r>
    </w:p>
    <w:p>
      <w:pPr>
        <w:spacing w:before="0" w:after="0"/>
        <w:ind w:left="120"/>
        <w:jc w:val="both"/>
      </w:pPr>
      <w:r>
        <w:rPr>
          <w:rFonts w:ascii="Times New Roman" w:hAnsi="Times New Roman"/>
          <w:b w:val="false"/>
          <w:i w:val="false"/>
          <w:color w:val="000000"/>
          <w:sz w:val="22"/>
        </w:rPr>
        <w:t>Pseudoephedrine hydrochloride liquid 30 mg/5 ml</w:t>
      </w:r>
    </w:p>
    <w:p>
      <w:pPr>
        <w:spacing w:before="0" w:after="0"/>
        <w:ind w:left="120"/>
        <w:jc w:val="both"/>
      </w:pPr>
      <w:r>
        <w:rPr>
          <w:rFonts w:ascii="Times New Roman" w:hAnsi="Times New Roman"/>
          <w:b w:val="false"/>
          <w:i w:val="false"/>
          <w:color w:val="000000"/>
          <w:sz w:val="22"/>
        </w:rPr>
        <w:t>Pyrethrins-piperonyl butoxide liquid 0.33-4%</w:t>
      </w:r>
    </w:p>
    <w:p>
      <w:pPr>
        <w:spacing w:before="0" w:after="0"/>
        <w:ind w:left="120"/>
        <w:jc w:val="both"/>
      </w:pPr>
      <w:r>
        <w:rPr>
          <w:rFonts w:ascii="Times New Roman" w:hAnsi="Times New Roman"/>
          <w:b w:val="false"/>
          <w:i w:val="false"/>
          <w:color w:val="000000"/>
          <w:sz w:val="22"/>
        </w:rPr>
        <w:t>Pyrethrins-piperonyl butoxide shampoo 0.3-3%</w:t>
      </w:r>
    </w:p>
    <w:p>
      <w:pPr>
        <w:spacing w:before="0" w:after="0"/>
        <w:ind w:left="120"/>
        <w:jc w:val="both"/>
      </w:pPr>
      <w:r>
        <w:rPr>
          <w:rFonts w:ascii="Times New Roman" w:hAnsi="Times New Roman"/>
          <w:b w:val="false"/>
          <w:i w:val="false"/>
          <w:color w:val="000000"/>
          <w:sz w:val="22"/>
        </w:rPr>
        <w:t>Pyrethrins-piperonyl butoxide shampoo 0.33-4%</w:t>
      </w:r>
    </w:p>
    <w:p>
      <w:pPr>
        <w:spacing w:before="0" w:after="0"/>
        <w:ind w:left="120"/>
        <w:jc w:val="both"/>
      </w:pPr>
      <w:r>
        <w:rPr>
          <w:rFonts w:ascii="Times New Roman" w:hAnsi="Times New Roman"/>
          <w:b w:val="false"/>
          <w:i w:val="false"/>
          <w:color w:val="000000"/>
          <w:sz w:val="22"/>
        </w:rPr>
        <w:t>Salicylic acid liquid 17%</w:t>
      </w:r>
    </w:p>
    <w:p>
      <w:pPr>
        <w:spacing w:before="0" w:after="0"/>
        <w:ind w:left="120"/>
        <w:jc w:val="both"/>
      </w:pPr>
      <w:r>
        <w:rPr>
          <w:rFonts w:ascii="Times New Roman" w:hAnsi="Times New Roman"/>
          <w:b w:val="false"/>
          <w:i w:val="false"/>
          <w:color w:val="000000"/>
          <w:sz w:val="22"/>
        </w:rPr>
        <w:t>Senna tablets 187 mg</w:t>
      </w:r>
    </w:p>
    <w:p>
      <w:pPr>
        <w:spacing w:before="0" w:after="0"/>
        <w:ind w:left="120"/>
        <w:jc w:val="both"/>
      </w:pPr>
      <w:r>
        <w:rPr>
          <w:rFonts w:ascii="Times New Roman" w:hAnsi="Times New Roman"/>
          <w:b w:val="false"/>
          <w:i w:val="false"/>
          <w:color w:val="000000"/>
          <w:sz w:val="22"/>
        </w:rPr>
        <w:t>Sennosides-docusate sodium tablets 8.6 mg-50 mg</w:t>
      </w:r>
    </w:p>
    <w:p>
      <w:pPr>
        <w:spacing w:before="0" w:after="0"/>
        <w:ind w:left="120"/>
        <w:jc w:val="both"/>
      </w:pPr>
      <w:r>
        <w:rPr>
          <w:rFonts w:ascii="Times New Roman" w:hAnsi="Times New Roman"/>
          <w:b w:val="false"/>
          <w:i w:val="false"/>
          <w:color w:val="000000"/>
          <w:sz w:val="22"/>
        </w:rPr>
        <w:t>Sennosides syrup 8.8 mg/5 ml</w:t>
      </w:r>
    </w:p>
    <w:p>
      <w:pPr>
        <w:spacing w:before="0" w:after="0"/>
        <w:ind w:left="120"/>
        <w:jc w:val="both"/>
      </w:pPr>
      <w:r>
        <w:rPr>
          <w:rFonts w:ascii="Times New Roman" w:hAnsi="Times New Roman"/>
          <w:b w:val="false"/>
          <w:i w:val="false"/>
          <w:color w:val="000000"/>
          <w:sz w:val="22"/>
        </w:rPr>
        <w:t>Sennosides tablets 8.6 mg</w:t>
      </w:r>
    </w:p>
    <w:p>
      <w:pPr>
        <w:spacing w:before="0" w:after="0"/>
        <w:ind w:left="120"/>
        <w:jc w:val="both"/>
      </w:pPr>
      <w:r>
        <w:rPr>
          <w:rFonts w:ascii="Times New Roman" w:hAnsi="Times New Roman"/>
          <w:b w:val="false"/>
          <w:i w:val="false"/>
          <w:color w:val="000000"/>
          <w:sz w:val="22"/>
        </w:rPr>
        <w:t>Sodium bicarbonate tablets 325 mg</w:t>
      </w:r>
    </w:p>
    <w:p>
      <w:pPr>
        <w:spacing w:before="0" w:after="0"/>
        <w:ind w:left="120"/>
        <w:jc w:val="both"/>
      </w:pPr>
      <w:r>
        <w:rPr>
          <w:rFonts w:ascii="Times New Roman" w:hAnsi="Times New Roman"/>
          <w:b w:val="false"/>
          <w:i w:val="false"/>
          <w:color w:val="000000"/>
          <w:sz w:val="22"/>
        </w:rPr>
        <w:t>Sodium bicarbonate tablets 650 mg</w:t>
      </w:r>
    </w:p>
    <w:p>
      <w:pPr>
        <w:spacing w:before="0" w:after="0"/>
        <w:ind w:left="120"/>
        <w:jc w:val="both"/>
      </w:pPr>
      <w:r>
        <w:rPr>
          <w:rFonts w:ascii="Times New Roman" w:hAnsi="Times New Roman"/>
          <w:b w:val="false"/>
          <w:i w:val="false"/>
          <w:color w:val="000000"/>
          <w:sz w:val="22"/>
        </w:rPr>
        <w:t>Sodium chloride hypertonic ophthalmic ointment 5%</w:t>
      </w:r>
    </w:p>
    <w:p>
      <w:pPr>
        <w:spacing w:before="0" w:after="0"/>
        <w:ind w:left="120"/>
        <w:jc w:val="both"/>
      </w:pPr>
      <w:r>
        <w:rPr>
          <w:rFonts w:ascii="Times New Roman" w:hAnsi="Times New Roman"/>
          <w:b w:val="false"/>
          <w:i w:val="false"/>
          <w:color w:val="000000"/>
          <w:sz w:val="22"/>
        </w:rPr>
        <w:t>Sodium chloride hypertonic ophthalmic solution 5%</w:t>
      </w:r>
    </w:p>
    <w:p>
      <w:pPr>
        <w:spacing w:before="0" w:after="0"/>
        <w:ind w:left="120"/>
        <w:jc w:val="both"/>
      </w:pPr>
      <w:r>
        <w:rPr>
          <w:rFonts w:ascii="Times New Roman" w:hAnsi="Times New Roman"/>
          <w:b w:val="false"/>
          <w:i w:val="false"/>
          <w:color w:val="000000"/>
          <w:sz w:val="22"/>
        </w:rPr>
        <w:t>Tolnaftate 1% cream, solution, powder</w:t>
      </w:r>
    </w:p>
    <w:p>
      <w:pPr>
        <w:spacing w:before="0" w:after="0"/>
        <w:ind w:left="120"/>
        <w:jc w:val="both"/>
      </w:pPr>
      <w:r>
        <w:rPr>
          <w:rFonts w:ascii="Times New Roman" w:hAnsi="Times New Roman"/>
          <w:b w:val="false"/>
          <w:i w:val="false"/>
          <w:color w:val="000000"/>
          <w:sz w:val="22"/>
        </w:rPr>
        <w:t>Vitamins, single and multiple with prior authorization</w:t>
      </w:r>
    </w:p>
    <w:p>
      <w:pPr>
        <w:spacing w:before="0" w:after="0"/>
        <w:ind w:left="120"/>
        <w:jc w:val="both"/>
      </w:pPr>
      <w:r>
        <w:rPr>
          <w:rFonts w:ascii="Times New Roman" w:hAnsi="Times New Roman"/>
          <w:b w:val="false"/>
          <w:i w:val="false"/>
          <w:color w:val="000000"/>
          <w:sz w:val="22"/>
        </w:rPr>
        <w:t xml:space="preserve">Other nonprescription drugs listed as preferred in the preferred drug list published by the department pursuant to Iowa Code section </w:t>
      </w:r>
      <w:hyperlink r:id="rId48">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Nonprescription drugs for use in a nursing facility, PMIC, or ICF/ID shall be included in the per diem rate paid to the nursing facility, PMIC, or ICF/ID.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and dispensed.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w:t>
      </w:r>
      <w:r>
        <w:rPr>
          <w:rFonts w:ascii="Times New Roman" w:hAnsi="Times New Roman"/>
          <w:b w:val="false"/>
          <w:i w:val="false"/>
          <w:color w:val="000000"/>
          <w:sz w:val="22"/>
        </w:rPr>
        <w:t>When it is not therapeutically contraindicated, the legally qualified practitioner shall prescribe a one-month supply of covered prescription and nonprescription medication. Medications listed on the 90-day generic maintenance supply drug list published on the department’s website and contraceptives may be prescribed in three-month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Quantity dispensed. </w:t>
      </w:r>
      <w:r>
        <w:rPr>
          <w:rFonts w:ascii="Times New Roman" w:hAnsi="Times New Roman"/>
          <w:b w:val="false"/>
          <w:i w:val="false"/>
          <w:color w:val="000000"/>
          <w:sz w:val="22"/>
        </w:rPr>
        <w:t xml:space="preserve">A prescribed drug must be dispensed in the quantity specified on the prescription unless it is prohibited by the Medicaid pharmacy program requirements, the pharmacy is using unit dose dispensing, or the specified quantity is not available in the pharmacy when the prescription is dispensed or in a quantity permitted pursuant to Iowa Code section </w:t>
      </w:r>
      <w:hyperlink r:id="rId49">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c.</w:t>
      </w:r>
      <w:r>
        <w:rPr>
          <w:rFonts w:ascii="Times New Roman" w:hAnsi="Times New Roman"/>
          <w:b w:val="false"/>
          <w:i w:val="false"/>
          <w:color w:val="000000"/>
          <w:sz w:val="22"/>
        </w:rPr>
        <w:t>  </w:t>
      </w:r>
      <w:r>
        <w:rPr>
          <w:rFonts w:ascii="Times New Roman" w:hAnsi="Times New Roman"/>
          <w:b w:val="false"/>
          <w:i/>
          <w:color w:val="000000"/>
          <w:sz w:val="22"/>
        </w:rPr>
        <w:t xml:space="preserve">Prescription refills.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 refills shall be performed and recorded in a manner consistent with existent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Automatic refills.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Automatic refills are allowed. Participation in an automatic refill program is voluntary and opt-in only, on a drug-by-drug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must have: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Easy-to-locate contact information through telephone, the program’s website, or both;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Easy-to-understand patient materials on how to select or unselect drug(s) for inclusion and how to disenroll;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Confirmation that the member wants to continue in the automatic refill program at least annually;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of continued medical necessity provided by the Medicaid member or person acting as an authorized representative of the member, before the member receives the medication at the pharmacy or before the medication is mailed or delivered to the member, without which confirmation the drug(s) must be credited back to the Medicaid program;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Records of all consents, which must be in electronic or written format and must be available for review by auditors.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w:t>
      </w:r>
      <w:r>
        <w:rPr>
          <w:rFonts w:ascii="Times New Roman" w:hAnsi="Times New Roman"/>
          <w:b w:val="false"/>
          <w:i w:val="false"/>
          <w:color w:val="000000"/>
          <w:sz w:val="22"/>
        </w:rPr>
        <w:t> </w:t>
      </w:r>
      <w:r>
        <w:rPr>
          <w:rFonts w:ascii="Times New Roman" w:hAnsi="Times New Roman"/>
          <w:b w:val="false"/>
          <w:i/>
          <w:color w:val="000000"/>
          <w:sz w:val="22"/>
        </w:rPr>
        <w:t xml:space="preserve">Lowest cost item. </w:t>
      </w:r>
      <w:r>
        <w:rPr>
          <w:rFonts w:ascii="Times New Roman" w:hAnsi="Times New Roman"/>
          <w:b w:val="false"/>
          <w:i w:val="false"/>
          <w:color w:val="000000"/>
          <w:sz w:val="22"/>
        </w:rPr>
        <w:t>The pharmacist shall dispense the lowest cost item in stock that meets the requirements of the practitioner as shown on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w:t>
      </w: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In accordance with Public Law 101-508 (Omnibus Budget Reconciliation Act of 1990), a pharmacist shall offer to discuss information regarding the use of the medication with each Medicaid member or the caregiver of a member presenting a prescription. The consultation is not required if the person refuses the consultation. Standards for the content of the consultation shall be found in rules of the Iowa board of pharmacy.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8097B</w:t>
      </w:r>
      <w:r>
        <w:rPr>
          <w:rFonts w:ascii="Times New Roman" w:hAnsi="Times New Roman"/>
          <w:b w:val="false"/>
          <w:i w:val="false"/>
          <w:color w:val="000000"/>
          <w:sz w:val="16"/>
        </w:rPr>
        <w:t>, IAB 9/9/09,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9175B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9699B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9834B</w:t>
      </w:r>
      <w:r>
        <w:rPr>
          <w:rFonts w:ascii="Times New Roman" w:hAnsi="Times New Roman"/>
          <w:b w:val="false"/>
          <w:i w:val="false"/>
          <w:color w:val="000000"/>
          <w:sz w:val="16"/>
        </w:rPr>
        <w:t>, IAB 11/2/11, effective 11/1/11</w:t>
      </w:r>
      <w:r>
        <w:rPr>
          <w:rFonts w:ascii="Times New Roman" w:hAnsi="Times New Roman"/>
          <w:b w:val="false"/>
          <w:i w:val="false"/>
          <w:color w:val="000000"/>
          <w:sz w:val="16"/>
        </w:rPr>
        <w:t xml:space="preserve">; </w:t>
      </w:r>
      <w:r>
        <w:rPr>
          <w:rFonts w:ascii="Times New Roman" w:hAnsi="Times New Roman"/>
          <w:b/>
          <w:i w:val="false"/>
          <w:color w:val="000000"/>
          <w:sz w:val="16"/>
        </w:rPr>
        <w:t>ARC 9882B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9981B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0580C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2930C</w:t>
      </w:r>
      <w:r>
        <w:rPr>
          <w:rFonts w:ascii="Times New Roman" w:hAnsi="Times New Roman"/>
          <w:b w:val="false"/>
          <w:i w:val="false"/>
          <w:color w:val="000000"/>
          <w:sz w:val="16"/>
        </w:rPr>
        <w:t>, IAB 2/1/17, effective 4/1/17</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5175C</w:t>
      </w:r>
      <w:r>
        <w:rPr>
          <w:rFonts w:ascii="Times New Roman" w:hAnsi="Times New Roman"/>
          <w:b w:val="false"/>
          <w:i w:val="false"/>
          <w:color w:val="000000"/>
          <w:sz w:val="16"/>
        </w:rPr>
        <w:t>, IAB 9/9/20, effective 6/1/21</w:t>
      </w:r>
      <w:r>
        <w:rPr>
          <w:rFonts w:ascii="Times New Roman" w:hAnsi="Times New Roman"/>
          <w:b w:val="false"/>
          <w:i w:val="false"/>
          <w:color w:val="000000"/>
          <w:sz w:val="16"/>
        </w:rPr>
        <w:t xml:space="preserve">; </w:t>
      </w:r>
      <w:r>
        <w:rPr>
          <w:rFonts w:ascii="Times New Roman" w:hAnsi="Times New Roman"/>
          <w:b/>
          <w:i w:val="false"/>
          <w:color w:val="000000"/>
          <w:sz w:val="16"/>
        </w:rPr>
        <w:t>ARC 5364C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i w:val="false"/>
          <w:color w:val="000000"/>
          <w:sz w:val="16"/>
        </w:rPr>
        <w:t>ARC 8204C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w:t>
      </w:r>
      <w:r>
        <w:rPr>
          <w:rFonts w:ascii="Times New Roman" w:hAnsi="Times New Roman"/>
          <w:b/>
          <w:i w:val="false"/>
          <w:color w:val="000000"/>
          <w:sz w:val="22"/>
        </w:rPr>
        <w:t xml:space="preserve">(249A) </w:t>
      </w:r>
      <w:r>
        <w:rPr>
          <w:rFonts w:ascii="Times New Roman" w:hAnsi="Times New Roman"/>
          <w:b/>
          <w:i w:val="false"/>
          <w:color w:val="000000"/>
          <w:sz w:val="22"/>
        </w:rPr>
        <w:t xml:space="preserve">Inpatient hospital services. </w:t>
      </w:r>
      <w:r>
        <w:rPr>
          <w:rFonts w:ascii="Times New Roman" w:hAnsi="Times New Roman"/>
          <w:b w:val="false"/>
          <w:i w:val="false"/>
          <w:color w:val="000000"/>
          <w:sz w:val="22"/>
        </w:rPr>
        <w:t xml:space="preserve">Payment for inpatient hospital admission is approved when it meets the criteria for inpatient hospital care as determined by the Iowa Medicaid enterprise. All cases are subject to random retrospective review and may be subject to a more intensive retrospective review if abuse is suspected. In addition, transfers, outliers, and readmissions within 31 days are subject to random review. Selected admissions and procedures are subject to a 100 percent review before the services are rendered. Medicaid payment for inpatient hospital admissions and continued stays are approved when the admissions and continued stays are determined to meet the criteria for inpatient hospital care. (Cross reference </w:t>
      </w:r>
      <w:hyperlink r:id="rId51">
        <w:r>
          <w:rPr>
            <w:rStyle w:val="Hyperlink"/>
            <w:rFonts w:ascii="Times New Roman" w:hAnsi="Times New Roman"/>
            <w:b w:val="false"/>
            <w:i w:val="false"/>
            <w:color w:val="000000"/>
            <w:sz w:val="22"/>
          </w:rPr>
          <w:t>78.28(6)</w:t>
        </w:r>
      </w:hyperlink>
      <w:r>
        <w:rPr>
          <w:rFonts w:ascii="Times New Roman" w:hAnsi="Times New Roman"/>
          <w:b w:val="false"/>
          <w:i w:val="false"/>
          <w:color w:val="000000"/>
          <w:sz w:val="22"/>
        </w:rPr>
        <w:t>) The criteria are available from the IME Medical Services Unit, 100 Army Post Road, Des Moines, Iowa 50315, or in local hospital utilization review offices. No payment will be made for waiver days.</w:t>
      </w:r>
    </w:p>
    <w:p>
      <w:pPr>
        <w:spacing w:before="0" w:after="0"/>
        <w:ind w:left="120"/>
        <w:jc w:val="both"/>
      </w:pPr>
      <w:r>
        <w:rPr>
          <w:rFonts w:ascii="Times New Roman" w:hAnsi="Times New Roman"/>
          <w:b w:val="false"/>
          <w:i w:val="false"/>
          <w:color w:val="000000"/>
          <w:sz w:val="22"/>
        </w:rPr>
        <w:t xml:space="preserve">See rule </w:t>
      </w:r>
      <w:hyperlink r:id="rId52">
        <w:r>
          <w:rPr>
            <w:rStyle w:val="Hyperlink"/>
            <w:rFonts w:ascii="Times New Roman" w:hAnsi="Times New Roman"/>
            <w:b w:val="false"/>
            <w:i w:val="false"/>
            <w:color w:val="000000"/>
            <w:sz w:val="22"/>
          </w:rPr>
          <w:t>441—78.31</w:t>
        </w:r>
      </w:hyperlink>
      <w:r>
        <w:rPr>
          <w:rFonts w:ascii="Times New Roman" w:hAnsi="Times New Roman"/>
          <w:b w:val="false"/>
          <w:i w:val="false"/>
          <w:color w:val="000000"/>
          <w:sz w:val="22"/>
        </w:rPr>
        <w:t>(249A) for policies regarding payment of hospital outpatient services.</w:t>
      </w:r>
    </w:p>
    <w:p>
      <w:pPr>
        <w:spacing w:before="0" w:after="0"/>
        <w:ind w:left="120"/>
        <w:jc w:val="both"/>
      </w:pPr>
      <w:r>
        <w:rPr>
          <w:rFonts w:ascii="Times New Roman" w:hAnsi="Times New Roman"/>
          <w:b w:val="false"/>
          <w:i w:val="false"/>
          <w:color w:val="000000"/>
          <w:sz w:val="22"/>
        </w:rPr>
        <w:t xml:space="preserve">If the recipient is eligible for inpatient or outpatient hospital care through the Medicare program, payment will be made for deductibles and coinsurance as set out in </w:t>
      </w:r>
      <w:hyperlink r:id="rId53">
        <w:r>
          <w:rPr>
            <w:rStyle w:val="Hyperlink"/>
            <w:rFonts w:ascii="Times New Roman" w:hAnsi="Times New Roman"/>
            <w:b w:val="false"/>
            <w:i w:val="false"/>
            <w:color w:val="000000"/>
            <w:sz w:val="22"/>
          </w:rPr>
          <w:t>441—subrule 79.1(22)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DRG payment calculations include any special services required by the hospital, including a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w:t>
      </w:r>
      <w:r>
        <w:rPr>
          <w:rFonts w:ascii="Times New Roman" w:hAnsi="Times New Roman"/>
          <w:b w:val="false"/>
          <w:i w:val="false"/>
          <w:color w:val="000000"/>
          <w:sz w:val="22"/>
        </w:rPr>
        <w:t> </w:t>
      </w:r>
      <w:r>
        <w:rPr>
          <w:rFonts w:ascii="Times New Roman" w:hAnsi="Times New Roman"/>
          <w:b w:val="false"/>
          <w:i w:val="false"/>
          <w:color w:val="000000"/>
          <w:sz w:val="22"/>
        </w:rPr>
        <w:t>Payment for Medicaid-certified physical rehabilitation units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w:t>
      </w:r>
      <w:r>
        <w:rPr>
          <w:rFonts w:ascii="Times New Roman" w:hAnsi="Times New Roman"/>
          <w:b w:val="false"/>
          <w:i w:val="false"/>
          <w:color w:val="000000"/>
          <w:sz w:val="22"/>
        </w:rPr>
        <w:t> </w:t>
      </w:r>
      <w:r>
        <w:rPr>
          <w:rFonts w:ascii="Times New Roman" w:hAnsi="Times New Roman"/>
          <w:b w:val="false"/>
          <w:i w:val="false"/>
          <w:color w:val="000000"/>
          <w:sz w:val="22"/>
        </w:rPr>
        <w:t>No payment will be approved for private duty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78.3(3)</w:t>
      </w:r>
      <w:r>
        <w:rPr>
          <w:rFonts w:ascii="Times New Roman" w:hAnsi="Times New Roman"/>
          <w:b w:val="false"/>
          <w:i w:val="false"/>
          <w:color w:val="000000"/>
          <w:sz w:val="22"/>
        </w:rPr>
        <w:t> </w:t>
      </w:r>
      <w:r>
        <w:rPr>
          <w:rFonts w:ascii="Times New Roman" w:hAnsi="Times New Roman"/>
          <w:b w:val="false"/>
          <w:i w:val="false"/>
          <w:color w:val="000000"/>
          <w:sz w:val="22"/>
        </w:rPr>
        <w:t>Certification of inpatient hospital care shall be the same as that in effect in part A of Medicare. The hospital admittance records are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w:t>
      </w:r>
      <w:r>
        <w:rPr>
          <w:rFonts w:ascii="Times New Roman" w:hAnsi="Times New Roman"/>
          <w:b w:val="false"/>
          <w:i w:val="false"/>
          <w:color w:val="000000"/>
          <w:sz w:val="22"/>
        </w:rPr>
        <w:t> </w:t>
      </w:r>
      <w:r>
        <w:rPr>
          <w:rFonts w:ascii="Times New Roman" w:hAnsi="Times New Roman"/>
          <w:b w:val="false"/>
          <w:i w:val="false"/>
          <w:color w:val="000000"/>
          <w:sz w:val="22"/>
        </w:rPr>
        <w:t>Services provided for intestinal or gastric bypass surgery for treatment of obesity requires prior approval, which must be obtained by the attending physician before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provided inpatients subject to the same provisions specified in </w:t>
      </w:r>
      <w:hyperlink r:id="rId54">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to (10) except for </w:t>
      </w:r>
      <w:hyperlink r:id="rId56">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The basis of payment for drugs administered to inpatients is through the DRG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and supplies provided outpatients subject to the same provisions specified in </w:t>
      </w:r>
      <w:hyperlink r:id="rId57">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through </w:t>
      </w:r>
      <w:hyperlink r:id="rId58">
        <w:r>
          <w:rPr>
            <w:rStyle w:val="Hyperlink"/>
            <w:rFonts w:ascii="Times New Roman" w:hAnsi="Times New Roman"/>
            <w:b w:val="false"/>
            <w:i w:val="false"/>
            <w:color w:val="000000"/>
            <w:sz w:val="22"/>
          </w:rPr>
          <w:t>78.2(4)</w:t>
        </w:r>
      </w:hyperlink>
      <w:r>
        <w:rPr>
          <w:rFonts w:ascii="Times New Roman" w:hAnsi="Times New Roman"/>
          <w:b w:val="false"/>
          <w:i w:val="false"/>
          <w:color w:val="000000"/>
          <w:sz w:val="22"/>
        </w:rPr>
        <w:t xml:space="preserve"> except for </w:t>
      </w:r>
      <w:hyperlink r:id="rId59">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The basis of payment for drugs provided outpatients is through a combination of Medicaid-determined fee schedules and ambulatory payment classification, pursuant to </w:t>
      </w:r>
      <w:hyperlink r:id="rId60">
        <w:r>
          <w:rPr>
            <w:rStyle w:val="Hyperlink"/>
            <w:rFonts w:ascii="Times New Roman" w:hAnsi="Times New Roman"/>
            <w:b w:val="false"/>
            <w:i w:val="false"/>
            <w:color w:val="000000"/>
            <w:sz w:val="22"/>
          </w:rPr>
          <w:t>441—subrule 79.1(16)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w:t>
      </w:r>
      <w:r>
        <w:rPr>
          <w:rFonts w:ascii="Times New Roman" w:hAnsi="Times New Roman"/>
          <w:b w:val="false"/>
          <w:i w:val="false"/>
          <w:color w:val="000000"/>
          <w:sz w:val="22"/>
        </w:rPr>
        <w:t> </w:t>
      </w:r>
      <w:r>
        <w:rPr>
          <w:rFonts w:ascii="Times New Roman" w:hAnsi="Times New Roman"/>
          <w:b w:val="false"/>
          <w:i w:val="false"/>
          <w:color w:val="000000"/>
          <w:sz w:val="22"/>
        </w:rPr>
        <w:t>Payment for nursing care provided by a hospital shall be made to those hospitals which have been certified by the department of inspections and appeals as meeting the standards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tests for purposes of diagnosis and treatment shall be made only when the tests are specifically ordered for the diagnosis and treatment of a particular patient’s condition by the attending physician or other licensed practitioner acting within the scope of practice as defined by law, who is responsible for that patient’s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inpatient acute psychiatric intensive care services that meet the criteria in this subrule, pursuant to </w:t>
      </w:r>
      <w:hyperlink r:id="rId61">
        <w:r>
          <w:rPr>
            <w:rStyle w:val="Hyperlink"/>
            <w:rFonts w:ascii="Times New Roman" w:hAnsi="Times New Roman"/>
            <w:b w:val="false"/>
            <w:i w:val="false"/>
            <w:color w:val="000000"/>
            <w:sz w:val="22"/>
          </w:rPr>
          <w:t>441—paragraph 79.1(5)</w:t>
        </w:r>
      </w:hyperlink>
      <w:r>
        <w:rPr>
          <w:rFonts w:ascii="Times New Roman" w:hAnsi="Times New Roman"/>
          <w:b w:val="false"/>
          <w:i/>
          <w:color w:val="000000"/>
          <w:sz w:val="22"/>
        </w:rPr>
        <w:t>“i.”</w:t>
      </w:r>
      <w:r>
        <w:rPr>
          <w:rFonts w:ascii="Times New Roman" w:hAnsi="Times New Roman"/>
          <w:b w:val="false"/>
          <w:i w:val="false"/>
          <w:color w:val="000000"/>
          <w:sz w:val="22"/>
        </w:rPr>
        <w:t xml:space="preserve"> This inpatient rate is only applicable to individuals 18 to 64 years of age. All inpatient acute psychiatric intensive care services shall require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“Acute psychiatric intensive care” is defined as care provided for a condition with rapid onset that is accompanied by severe symptoms and is generally of brief duration, requiring emergency treatment and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meet the need for acute psychiatric intensive care, the patient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serious mental illness as defined in </w:t>
      </w:r>
      <w:hyperlink r:id="rId62">
        <w:r>
          <w:rPr>
            <w:rStyle w:val="Hyperlink"/>
            <w:rFonts w:ascii="Times New Roman" w:hAnsi="Times New Roman"/>
            <w:b w:val="false"/>
            <w:i w:val="false"/>
            <w:color w:val="000000"/>
            <w:sz w:val="22"/>
          </w:rPr>
          <w:t>441—subrule 77.47(1)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current, severe, imminent risk of serious harm to self or others;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Display additional complexity of need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Complex comorbidities, including intellectual or developmental disability, autism spectrum disorder, substance use disorders, or traumatic brain injuries;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history of violence or current aggression that is secondary to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patient transfer that has been rejected by inpatient level of care by one or more hospitals due to severity of symptoms;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Lack of responsiveness to typical interventions or a condition that is treatment refractory;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Disorganized psychotic state or manic thought process that impairs the ability to function or risks the safety of the patient or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 that causes disruption to the general milieu of the unit (i.e., instigating other patients in negative ways);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elopement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atypical reason that the treating mental health provider feels that additional resources are needed to keep the patient and others around the patient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must have a documented need for acute intensive care requiring increased or specialized staffing, equipment, or facilities, based on two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Fall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Restraints or seclusion room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for complex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Acutely impaired cognitive functioning from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interventions to address acute complex mental illness and comorbidities;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Safety protocols in place to address the physical risk posed to staff, other patients, 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Elopement risk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sterilizations in accordance with </w:t>
      </w:r>
      <w:hyperlink r:id="rId63">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78.3(10)</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organ and tissue transplant services, as specified in subrule </w:t>
      </w:r>
      <w:hyperlink r:id="rId64">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xml:space="preserve">. Kidney, cornea, skin, bone, allogeneic bone marrow, autologous bone marrow, heart, liver, and lung transplants are covered as specified in subrule </w:t>
      </w:r>
      <w:hyperlink r:id="rId65">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Lung transplants are payable at Medicare-designated lung transplant centers only. Heart and liver transplants are payable when performed at facilities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Recipient selection and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Selection.</w:t>
      </w:r>
      <w:r>
        <w:rPr>
          <w:rFonts w:ascii="Times New Roman" w:hAnsi="Times New Roman"/>
          <w:b w:val="false"/>
          <w:i w:val="false"/>
          <w:color w:val="000000"/>
          <w:sz w:val="22"/>
        </w:rPr>
        <w:t xml:space="preserve"> The transplant center must have written criteria based on medical need for transplantation for final facility selection of recipients. These criteria should include an equitable, consistent and practical protocol for selection of recipients. The criteria must be at least as strict as those specified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xml:space="preserve"> The transplant center will provide a written plan for recipient education. It shall include educational plans for recipient, family and significant others during all phases of the program. These phases shall include:</w:t>
      </w:r>
    </w:p>
    <w:p>
      <w:pPr>
        <w:spacing w:before="0" w:after="0"/>
        <w:ind w:left="120"/>
        <w:jc w:val="both"/>
      </w:pPr>
      <w:r>
        <w:rPr>
          <w:rFonts w:ascii="Times New Roman" w:hAnsi="Times New Roman"/>
          <w:b w:val="false"/>
          <w:i w:val="false"/>
          <w:color w:val="000000"/>
          <w:sz w:val="22"/>
        </w:rPr>
        <w:t>Intake.</w:t>
      </w:r>
    </w:p>
    <w:p>
      <w:pPr>
        <w:spacing w:before="0" w:after="0"/>
        <w:ind w:left="120"/>
        <w:jc w:val="both"/>
      </w:pPr>
      <w:r>
        <w:rPr>
          <w:rFonts w:ascii="Times New Roman" w:hAnsi="Times New Roman"/>
          <w:b w:val="false"/>
          <w:i w:val="false"/>
          <w:color w:val="000000"/>
          <w:sz w:val="22"/>
        </w:rPr>
        <w:t>Preparation and waiting period.</w:t>
      </w:r>
    </w:p>
    <w:p>
      <w:pPr>
        <w:spacing w:before="0" w:after="0"/>
        <w:ind w:left="120"/>
        <w:jc w:val="both"/>
      </w:pPr>
      <w:r>
        <w:rPr>
          <w:rFonts w:ascii="Times New Roman" w:hAnsi="Times New Roman"/>
          <w:b w:val="false"/>
          <w:i w:val="false"/>
          <w:color w:val="000000"/>
          <w:sz w:val="22"/>
        </w:rPr>
        <w:t>Preadmission.</w:t>
      </w:r>
    </w:p>
    <w:p>
      <w:pPr>
        <w:spacing w:before="0" w:after="0"/>
        <w:ind w:left="120"/>
        <w:jc w:val="both"/>
      </w:pPr>
      <w:r>
        <w:rPr>
          <w:rFonts w:ascii="Times New Roman" w:hAnsi="Times New Roman"/>
          <w:b w:val="false"/>
          <w:i w:val="false"/>
          <w:color w:val="000000"/>
          <w:sz w:val="22"/>
        </w:rPr>
        <w:t>Hospitalization.</w:t>
      </w:r>
    </w:p>
    <w:p>
      <w:pPr>
        <w:spacing w:before="0" w:after="0"/>
        <w:ind w:left="120"/>
        <w:jc w:val="both"/>
      </w:pPr>
      <w:r>
        <w:rPr>
          <w:rFonts w:ascii="Times New Roman" w:hAnsi="Times New Roman"/>
          <w:b w:val="false"/>
          <w:i w:val="false"/>
          <w:color w:val="000000"/>
          <w:sz w:val="22"/>
        </w:rPr>
        <w:t>Discharge planning.</w:t>
      </w:r>
    </w:p>
    <w:p>
      <w:pPr>
        <w:spacing w:before="0" w:after="0"/>
        <w:ind w:left="120"/>
        <w:jc w:val="both"/>
      </w:pPr>
      <w:r>
        <w:rPr>
          <w:rFonts w:ascii="Times New Roman" w:hAnsi="Times New Roman"/>
          <w:b w:val="false"/>
          <w:i w:val="false"/>
          <w:color w:val="000000"/>
          <w:sz w:val="22"/>
        </w:rPr>
        <w:t>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Staffing and resource commitment.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Transplant surgeon.</w:t>
      </w:r>
      <w:r>
        <w:rPr>
          <w:rFonts w:ascii="Times New Roman" w:hAnsi="Times New Roman"/>
          <w:b w:val="false"/>
          <w:i w:val="false"/>
          <w:color w:val="000000"/>
          <w:sz w:val="22"/>
        </w:rPr>
        <w:t xml:space="preserve"> The transplant center must have on staff a qualified transplant surgeon.</w:t>
      </w:r>
    </w:p>
    <w:p>
      <w:pPr>
        <w:spacing w:before="0" w:after="0"/>
        <w:ind w:left="120"/>
        <w:jc w:val="both"/>
      </w:pPr>
      <w:r>
        <w:rPr>
          <w:rFonts w:ascii="Times New Roman" w:hAnsi="Times New Roman"/>
          <w:b w:val="false"/>
          <w:i w:val="false"/>
          <w:color w:val="000000"/>
          <w:sz w:val="22"/>
        </w:rPr>
        <w:t>The surgeon must have received at least one year of training at a transplant center approved by the American Society of Transplant Surgeons under the direction of an experienced transplant surgeon and must have had at least two years of experience in all facets of transplant surgery specific to the surgeon’s specialty. This experience must include management of recipients’ presurgical and postsurgical care and actual experience as a member of a transplant team at the institution. The transplant surgeon will have an understanding of the principles of and demonstrated expertise in the use of immunosuppressive therapy.</w:t>
      </w:r>
    </w:p>
    <w:p>
      <w:pPr>
        <w:spacing w:before="0" w:after="0"/>
        <w:ind w:left="120"/>
        <w:jc w:val="both"/>
      </w:pPr>
      <w:r>
        <w:rPr>
          <w:rFonts w:ascii="Times New Roman" w:hAnsi="Times New Roman"/>
          <w:b w:val="false"/>
          <w:i w:val="false"/>
          <w:color w:val="000000"/>
          <w:sz w:val="22"/>
        </w:rPr>
        <w:t>The transplant surgeon will be certified by the American Board of Thoracic Surgery or equivalent for heart transplants and the American Board of Surgery or equivalent for liver transplants.</w:t>
      </w:r>
    </w:p>
    <w:p>
      <w:pPr>
        <w:spacing w:before="0" w:after="0"/>
        <w:ind w:left="120"/>
        <w:jc w:val="both"/>
      </w:pPr>
      <w:r>
        <w:rPr>
          <w:rFonts w:ascii="Times New Roman" w:hAnsi="Times New Roman"/>
          <w:b w:val="false"/>
          <w:i w:val="false"/>
          <w:color w:val="000000"/>
          <w:sz w:val="22"/>
        </w:rPr>
        <w:t>The transplant surgeon will be the defined leader of a stable, established transplant team that has a strong commitment to the transplant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Transplant team.</w:t>
      </w:r>
      <w:r>
        <w:rPr>
          <w:rFonts w:ascii="Times New Roman" w:hAnsi="Times New Roman"/>
          <w:b w:val="false"/>
          <w:i w:val="false"/>
          <w:color w:val="000000"/>
          <w:sz w:val="22"/>
        </w:rPr>
        <w:t xml:space="preserve"> The transplant team will be clearly defined with leadership and corresponding responsibilities of all team members identified.</w:t>
      </w:r>
    </w:p>
    <w:p>
      <w:pPr>
        <w:spacing w:before="0" w:after="0"/>
        <w:ind w:left="120"/>
        <w:jc w:val="both"/>
      </w:pPr>
      <w:r>
        <w:rPr>
          <w:rFonts w:ascii="Times New Roman" w:hAnsi="Times New Roman"/>
          <w:b w:val="false"/>
          <w:i w:val="false"/>
          <w:color w:val="000000"/>
          <w:sz w:val="22"/>
        </w:rPr>
        <w:t>The team should consist of:</w:t>
      </w:r>
    </w:p>
    <w:p>
      <w:pPr>
        <w:spacing w:before="0" w:after="0"/>
        <w:ind w:left="120"/>
        <w:jc w:val="both"/>
      </w:pPr>
      <w:r>
        <w:rPr>
          <w:rFonts w:ascii="Times New Roman" w:hAnsi="Times New Roman"/>
          <w:b w:val="false"/>
          <w:i w:val="false"/>
          <w:color w:val="000000"/>
          <w:sz w:val="22"/>
        </w:rPr>
        <w:t>A surgeon director.</w:t>
      </w:r>
    </w:p>
    <w:p>
      <w:pPr>
        <w:spacing w:before="0" w:after="0"/>
        <w:ind w:left="120"/>
        <w:jc w:val="both"/>
      </w:pPr>
      <w:r>
        <w:rPr>
          <w:rFonts w:ascii="Times New Roman" w:hAnsi="Times New Roman"/>
          <w:b w:val="false"/>
          <w:i w:val="false"/>
          <w:color w:val="000000"/>
          <w:sz w:val="22"/>
        </w:rPr>
        <w:t>A board-certified internist or pediatrician with training and expertise in organ transplantation medicine and clinical use of immunosuppressive regimens.</w:t>
      </w:r>
    </w:p>
    <w:p>
      <w:pPr>
        <w:spacing w:before="0" w:after="0"/>
        <w:ind w:left="120"/>
        <w:jc w:val="both"/>
      </w:pPr>
      <w:r>
        <w:rPr>
          <w:rFonts w:ascii="Times New Roman" w:hAnsi="Times New Roman"/>
          <w:b w:val="false"/>
          <w:i w:val="false"/>
          <w:color w:val="000000"/>
          <w:sz w:val="22"/>
        </w:rPr>
        <w:t>The transplant center will assume responsibility for initial training and continuing education of the transplant team and ancillary personnel. The center will maintain records that demonstrate competency in achieving, maintaining and improving skills in the distinct areas of expertise of each of the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Physicians.</w:t>
      </w:r>
      <w:r>
        <w:rPr>
          <w:rFonts w:ascii="Times New Roman" w:hAnsi="Times New Roman"/>
          <w:b w:val="false"/>
          <w:i w:val="false"/>
          <w:color w:val="000000"/>
          <w:sz w:val="22"/>
        </w:rPr>
        <w:t xml:space="preserve"> The transplant center will have on staff or available for consultation physicians with the following areas of expertise:</w:t>
      </w:r>
    </w:p>
    <w:p>
      <w:pPr>
        <w:spacing w:before="0" w:after="0"/>
        <w:ind w:left="120"/>
        <w:jc w:val="both"/>
      </w:pP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Hepatology.</w:t>
      </w:r>
    </w:p>
    <w:p>
      <w:pPr>
        <w:spacing w:before="0" w:after="0"/>
        <w:ind w:left="120"/>
        <w:jc w:val="both"/>
      </w:pPr>
      <w:r>
        <w:rPr>
          <w:rFonts w:ascii="Times New Roman" w:hAnsi="Times New Roman"/>
          <w:b w:val="false"/>
          <w:i w:val="false"/>
          <w:color w:val="000000"/>
          <w:sz w:val="22"/>
        </w:rPr>
        <w:t>Immunology.</w:t>
      </w:r>
    </w:p>
    <w:p>
      <w:pPr>
        <w:spacing w:before="0" w:after="0"/>
        <w:ind w:left="120"/>
        <w:jc w:val="both"/>
      </w:pPr>
      <w:r>
        <w:rPr>
          <w:rFonts w:ascii="Times New Roman" w:hAnsi="Times New Roman"/>
          <w:b w:val="false"/>
          <w:i w:val="false"/>
          <w:color w:val="000000"/>
          <w:sz w:val="22"/>
        </w:rPr>
        <w:t>Infectious diseases.</w:t>
      </w:r>
    </w:p>
    <w:p>
      <w:pPr>
        <w:spacing w:before="0" w:after="0"/>
        <w:ind w:left="120"/>
        <w:jc w:val="both"/>
      </w:pPr>
      <w:r>
        <w:rPr>
          <w:rFonts w:ascii="Times New Roman" w:hAnsi="Times New Roman"/>
          <w:b w:val="false"/>
          <w:i w:val="false"/>
          <w:color w:val="000000"/>
          <w:sz w:val="22"/>
        </w:rPr>
        <w:t>Nephrology.</w:t>
      </w:r>
    </w:p>
    <w:p>
      <w:pPr>
        <w:spacing w:before="0" w:after="0"/>
        <w:ind w:left="120"/>
        <w:jc w:val="both"/>
      </w:pPr>
      <w:r>
        <w:rPr>
          <w:rFonts w:ascii="Times New Roman" w:hAnsi="Times New Roman"/>
          <w:b w:val="false"/>
          <w:i w:val="false"/>
          <w:color w:val="000000"/>
          <w:sz w:val="22"/>
        </w:rPr>
        <w:t>Neurology.</w:t>
      </w:r>
    </w:p>
    <w:p>
      <w:pPr>
        <w:spacing w:before="0" w:after="0"/>
        <w:ind w:left="120"/>
        <w:jc w:val="both"/>
      </w:pPr>
      <w:r>
        <w:rPr>
          <w:rFonts w:ascii="Times New Roman" w:hAnsi="Times New Roman"/>
          <w:b w:val="false"/>
          <w:i w:val="false"/>
          <w:color w:val="000000"/>
          <w:sz w:val="22"/>
        </w:rPr>
        <w:t>Pathology.</w:t>
      </w:r>
    </w:p>
    <w:p>
      <w:pPr>
        <w:spacing w:before="0" w:after="0"/>
        <w:ind w:left="120"/>
        <w:jc w:val="both"/>
      </w:pP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Pulmonary medicine.</w:t>
      </w:r>
    </w:p>
    <w:p>
      <w:pPr>
        <w:spacing w:before="0" w:after="0"/>
        <w:ind w:left="120"/>
        <w:jc w:val="both"/>
      </w:pPr>
      <w:r>
        <w:rPr>
          <w:rFonts w:ascii="Times New Roman" w:hAnsi="Times New Roman"/>
          <w:b w:val="false"/>
          <w:i w:val="false"/>
          <w:color w:val="000000"/>
          <w:sz w:val="22"/>
        </w:rPr>
        <w:t>Radiology.</w:t>
      </w:r>
    </w:p>
    <w:p>
      <w:pPr>
        <w:spacing w:before="0" w:after="0"/>
        <w:ind w:left="120"/>
        <w:jc w:val="both"/>
      </w:pPr>
      <w:r>
        <w:rPr>
          <w:rFonts w:ascii="Times New Roman" w:hAnsi="Times New Roman"/>
          <w:b w:val="false"/>
          <w:i w:val="false"/>
          <w:color w:val="000000"/>
          <w:sz w:val="22"/>
        </w:rPr>
        <w:t>Rehabilitation medicine.</w:t>
      </w:r>
    </w:p>
    <w:p>
      <w:pPr>
        <w:spacing w:before="0" w:after="0"/>
        <w:ind w:left="120"/>
        <w:jc w:val="both"/>
      </w:pPr>
      <w:r>
        <w:rPr>
          <w:rFonts w:ascii="Times New Roman" w:hAnsi="Times New Roman"/>
          <w:b w:val="false"/>
          <w:i w:val="false"/>
          <w:color w:val="000000"/>
          <w:sz w:val="22"/>
        </w:rPr>
        <w:t>Liaison with the recipient’s permanent physician is established for the purpose of providing continuity and management of the recipient’s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Support personnel and resources.</w:t>
      </w:r>
      <w:r>
        <w:rPr>
          <w:rFonts w:ascii="Times New Roman" w:hAnsi="Times New Roman"/>
          <w:b w:val="false"/>
          <w:i w:val="false"/>
          <w:color w:val="000000"/>
          <w:sz w:val="22"/>
        </w:rPr>
        <w:t xml:space="preserve"> The center must have a commitment of sufficient resources and planning for implementation and operation of the transplant program. Indicators of the commitment will include the following:</w:t>
      </w:r>
    </w:p>
    <w:p>
      <w:pPr>
        <w:spacing w:before="0" w:after="0"/>
        <w:ind w:left="120"/>
        <w:jc w:val="both"/>
      </w:pPr>
      <w:r>
        <w:rPr>
          <w:rFonts w:ascii="Times New Roman" w:hAnsi="Times New Roman"/>
          <w:b w:val="false"/>
          <w:i w:val="false"/>
          <w:color w:val="000000"/>
          <w:sz w:val="22"/>
        </w:rPr>
        <w:t>Persons with expertise in the following areas available at the transplant center:</w:t>
      </w:r>
    </w:p>
    <w:p>
      <w:pPr>
        <w:spacing w:before="0" w:after="0"/>
        <w:ind w:left="120"/>
        <w:jc w:val="both"/>
      </w:pP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Blood bank services.</w:t>
      </w:r>
    </w:p>
    <w:p>
      <w:pPr>
        <w:spacing w:before="0" w:after="0"/>
        <w:ind w:left="120"/>
        <w:jc w:val="both"/>
      </w:pP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Cardiovascular surgery.</w:t>
      </w:r>
    </w:p>
    <w:p>
      <w:pPr>
        <w:spacing w:before="0" w:after="0"/>
        <w:ind w:left="120"/>
        <w:jc w:val="both"/>
      </w:pP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Dietary services.</w:t>
      </w:r>
    </w:p>
    <w:p>
      <w:pPr>
        <w:spacing w:before="0" w:after="0"/>
        <w:ind w:left="120"/>
        <w:jc w:val="both"/>
      </w:pP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Laboratory services (pathology, microbiology, immunology, tissue typing, and monitoring of immunosuppressive drugs).</w:t>
      </w:r>
    </w:p>
    <w:p>
      <w:pPr>
        <w:spacing w:before="0" w:after="0"/>
        <w:ind w:left="120"/>
        <w:jc w:val="both"/>
      </w:pPr>
      <w:r>
        <w:rPr>
          <w:rFonts w:ascii="Times New Roman" w:hAnsi="Times New Roman"/>
          <w:b w:val="false"/>
          <w:i w:val="false"/>
          <w:color w:val="000000"/>
          <w:sz w:val="22"/>
        </w:rPr>
        <w:t>Legal counsel familiar with transplantation laws and regulations.</w:t>
      </w:r>
    </w:p>
    <w:p>
      <w:pPr>
        <w:spacing w:before="0" w:after="0"/>
        <w:ind w:left="120"/>
        <w:jc w:val="both"/>
      </w:pPr>
      <w:r>
        <w:rPr>
          <w:rFonts w:ascii="Times New Roman" w:hAnsi="Times New Roman"/>
          <w:b w:val="false"/>
          <w:i w:val="false"/>
          <w:color w:val="000000"/>
          <w:sz w:val="22"/>
        </w:rPr>
        <w:t>Nursing service department with staff available who have expertise in the care of transplant recipients, especially in managing immunosuppressed patients and hemodynamic support.</w:t>
      </w:r>
    </w:p>
    <w:p>
      <w:pPr>
        <w:spacing w:before="0" w:after="0"/>
        <w:ind w:left="120"/>
        <w:jc w:val="both"/>
      </w:pPr>
      <w:r>
        <w:rPr>
          <w:rFonts w:ascii="Times New Roman" w:hAnsi="Times New Roman"/>
          <w:b w:val="false"/>
          <w:i w:val="false"/>
          <w:color w:val="000000"/>
          <w:sz w:val="22"/>
        </w:rPr>
        <w:t>Respiratory therapy.</w:t>
      </w:r>
    </w:p>
    <w:p>
      <w:pPr>
        <w:spacing w:before="0" w:after="0"/>
        <w:ind w:left="120"/>
        <w:jc w:val="both"/>
      </w:pPr>
      <w:r>
        <w:rPr>
          <w:rFonts w:ascii="Times New Roman" w:hAnsi="Times New Roman"/>
          <w:b w:val="false"/>
          <w:i w:val="false"/>
          <w:color w:val="000000"/>
          <w:sz w:val="22"/>
        </w:rPr>
        <w:t>Pharmaceutical services.</w:t>
      </w:r>
    </w:p>
    <w:p>
      <w:pPr>
        <w:spacing w:before="0" w:after="0"/>
        <w:ind w:left="120"/>
        <w:jc w:val="both"/>
      </w:pP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Psycho-social.</w:t>
      </w:r>
    </w:p>
    <w:p>
      <w:pPr>
        <w:spacing w:before="0" w:after="0"/>
        <w:ind w:left="120"/>
        <w:jc w:val="both"/>
      </w:pPr>
      <w:r>
        <w:rPr>
          <w:rFonts w:ascii="Times New Roman" w:hAnsi="Times New Roman"/>
          <w:b w:val="false"/>
          <w:i w:val="false"/>
          <w:color w:val="000000"/>
          <w:sz w:val="22"/>
        </w:rPr>
        <w:t>The center will have active cardiovascular, medical, and surgical programs with the ability and willingness to perform diagnostic and evaluative procedures appropriate to transplants on an emergency and ongoing basis.</w:t>
      </w:r>
    </w:p>
    <w:p>
      <w:pPr>
        <w:spacing w:before="0" w:after="0"/>
        <w:ind w:left="120"/>
        <w:jc w:val="both"/>
      </w:pPr>
      <w:r>
        <w:rPr>
          <w:rFonts w:ascii="Times New Roman" w:hAnsi="Times New Roman"/>
          <w:b w:val="false"/>
          <w:i w:val="false"/>
          <w:color w:val="000000"/>
          <w:sz w:val="22"/>
        </w:rPr>
        <w:t>The center will have designated an adequate number of intensive care and general service beds to support the transplant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xml:space="preserve"> Each transplant center must have direct local 24-hour per day access to histocompatibility testing facilities. These facilities must meet the Standards for Histocompatibility Testing set forth by the Committee on Quality Assurance and Standards of the American Society for Histocompatibility and Immunogenetics (ASHI). As specified by ASHI, the director of the facility shall hold a doctoral degree in biological science, or be a physician, and subsequent to graduation shall have had four years’ experience in immunology, two of which were devoted to formal training in human histocompatibility testing, documented to be professionally competent by external measures such as national proficiency testing, participation in national or international workshops or publications in peer-reviewed journals. The laboratory must successfully participate in a regional or national testing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Experience and survival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Experience.</w:t>
      </w:r>
      <w:r>
        <w:rPr>
          <w:rFonts w:ascii="Times New Roman" w:hAnsi="Times New Roman"/>
          <w:b w:val="false"/>
          <w:i w:val="false"/>
          <w:color w:val="000000"/>
          <w:sz w:val="22"/>
        </w:rPr>
        <w:t xml:space="preserve"> Centers will be given a minimum volume requirement of 12 heart or 12 liver transplants that should be met within one year. Due to special considerations such as patient case mix or donor availability, an additional one year conditional approval may be given if the minimum volume is not met the first year.</w:t>
      </w:r>
    </w:p>
    <w:p>
      <w:pPr>
        <w:spacing w:before="0" w:after="0"/>
        <w:ind w:left="120"/>
        <w:jc w:val="both"/>
      </w:pPr>
      <w:r>
        <w:rPr>
          <w:rFonts w:ascii="Times New Roman" w:hAnsi="Times New Roman"/>
          <w:b w:val="false"/>
          <w:i w:val="false"/>
          <w:color w:val="000000"/>
          <w:sz w:val="22"/>
        </w:rPr>
        <w:t>For approval of an extrarenal organ transplant program it is highly desirable that the institution: 1. has available a complete team of surgeons, physicians, and other specialists with specific experience in transplantation of that organ, or 2. has an established approved renal transplant program at that institution and personnel with expertise in the extrarenal organ system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Survival rates.</w:t>
      </w:r>
      <w:r>
        <w:rPr>
          <w:rFonts w:ascii="Times New Roman" w:hAnsi="Times New Roman"/>
          <w:b w:val="false"/>
          <w:i w:val="false"/>
          <w:color w:val="000000"/>
          <w:sz w:val="22"/>
        </w:rPr>
        <w:t xml:space="preserve"> The transplant center will achieve a record of acceptable performance consistent with the performance and outcomes at other successful designated transplant centers. The center will collect and maintain recipient and graft survival and complication rates. A level of satisfactory success and safety will be demonstrated with bases for substantial probability of continued performance at an acceptable level.</w:t>
      </w:r>
    </w:p>
    <w:p>
      <w:pPr>
        <w:spacing w:before="0" w:after="0"/>
        <w:ind w:left="120"/>
        <w:jc w:val="both"/>
      </w:pPr>
      <w:r>
        <w:rPr>
          <w:rFonts w:ascii="Times New Roman" w:hAnsi="Times New Roman"/>
          <w:b w:val="false"/>
          <w:i w:val="false"/>
          <w:color w:val="000000"/>
          <w:sz w:val="22"/>
        </w:rPr>
        <w:t>To encourage a high level of performance, transplant programs must achieve and maintain a minimum one-year patient survival rate of 70 percent for heart transplants and 50 percent for liver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Organ procurement. </w:t>
      </w:r>
      <w:r>
        <w:rPr>
          <w:rFonts w:ascii="Times New Roman" w:hAnsi="Times New Roman"/>
          <w:b w:val="false"/>
          <w:i w:val="false"/>
          <w:color w:val="000000"/>
          <w:sz w:val="22"/>
        </w:rPr>
        <w:t>The transplant center will participate in a nationwide organ procurement and typing network.</w:t>
      </w:r>
    </w:p>
    <w:p>
      <w:pPr>
        <w:spacing w:before="0" w:after="0"/>
        <w:ind w:left="120"/>
        <w:jc w:val="both"/>
      </w:pPr>
      <w:r>
        <w:rPr>
          <w:rFonts w:ascii="Times New Roman" w:hAnsi="Times New Roman"/>
          <w:b w:val="false"/>
          <w:i w:val="false"/>
          <w:color w:val="000000"/>
          <w:sz w:val="22"/>
        </w:rPr>
        <w:t>Detailed plans must exist for organ procurement yielding viable transplantable organs in reasonable numbers, meeting established legal and ethical criteria.</w:t>
      </w:r>
    </w:p>
    <w:p>
      <w:pPr>
        <w:spacing w:before="0" w:after="0"/>
        <w:ind w:left="120"/>
        <w:jc w:val="both"/>
      </w:pPr>
      <w:r>
        <w:rPr>
          <w:rFonts w:ascii="Times New Roman" w:hAnsi="Times New Roman"/>
          <w:b w:val="false"/>
          <w:i w:val="false"/>
          <w:color w:val="000000"/>
          <w:sz w:val="22"/>
        </w:rPr>
        <w:t>The transplant center must be a member of the National Organ Procurement and Transplant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of data, research, review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Maintenance of data.</w:t>
      </w:r>
      <w:r>
        <w:rPr>
          <w:rFonts w:ascii="Times New Roman" w:hAnsi="Times New Roman"/>
          <w:b w:val="false"/>
          <w:i w:val="false"/>
          <w:color w:val="000000"/>
          <w:sz w:val="22"/>
        </w:rPr>
        <w:t xml:space="preserve"> The transplant center will collect and maintain data on the following:</w:t>
      </w:r>
    </w:p>
    <w:p>
      <w:pPr>
        <w:spacing w:before="0" w:after="0"/>
        <w:ind w:left="120"/>
        <w:jc w:val="both"/>
      </w:pPr>
      <w:r>
        <w:rPr>
          <w:rFonts w:ascii="Times New Roman" w:hAnsi="Times New Roman"/>
          <w:b w:val="false"/>
          <w:i w:val="false"/>
          <w:color w:val="000000"/>
          <w:sz w:val="22"/>
        </w:rPr>
        <w:t>Risk and benefit.</w:t>
      </w:r>
    </w:p>
    <w:p>
      <w:pPr>
        <w:spacing w:before="0" w:after="0"/>
        <w:ind w:left="120"/>
        <w:jc w:val="both"/>
      </w:pPr>
      <w:r>
        <w:rPr>
          <w:rFonts w:ascii="Times New Roman" w:hAnsi="Times New Roman"/>
          <w:b w:val="false"/>
          <w:i w:val="false"/>
          <w:color w:val="000000"/>
          <w:sz w:val="22"/>
        </w:rPr>
        <w:t>Morbidity and mortality.</w:t>
      </w:r>
    </w:p>
    <w:p>
      <w:pPr>
        <w:spacing w:before="0" w:after="0"/>
        <w:ind w:left="120"/>
        <w:jc w:val="both"/>
      </w:pPr>
      <w:r>
        <w:rPr>
          <w:rFonts w:ascii="Times New Roman" w:hAnsi="Times New Roman"/>
          <w:b w:val="false"/>
          <w:i w:val="false"/>
          <w:color w:val="000000"/>
          <w:sz w:val="22"/>
        </w:rPr>
        <w:t>Long-term survival.</w:t>
      </w:r>
    </w:p>
    <w:p>
      <w:pPr>
        <w:spacing w:before="0" w:after="0"/>
        <w:ind w:left="120"/>
        <w:jc w:val="both"/>
      </w:pPr>
      <w:r>
        <w:rPr>
          <w:rFonts w:ascii="Times New Roman" w:hAnsi="Times New Roman"/>
          <w:b w:val="false"/>
          <w:i w:val="false"/>
          <w:color w:val="000000"/>
          <w:sz w:val="22"/>
        </w:rPr>
        <w:t>Quality of life.</w:t>
      </w:r>
    </w:p>
    <w:p>
      <w:pPr>
        <w:spacing w:before="0" w:after="0"/>
        <w:ind w:left="120"/>
        <w:jc w:val="both"/>
      </w:pPr>
      <w:r>
        <w:rPr>
          <w:rFonts w:ascii="Times New Roman" w:hAnsi="Times New Roman"/>
          <w:b w:val="false"/>
          <w:i w:val="false"/>
          <w:color w:val="000000"/>
          <w:sz w:val="22"/>
        </w:rPr>
        <w:t>Recipient demographic information.</w:t>
      </w:r>
    </w:p>
    <w:p>
      <w:pPr>
        <w:spacing w:before="0" w:after="0"/>
        <w:ind w:left="120"/>
        <w:jc w:val="both"/>
      </w:pPr>
      <w:r>
        <w:rPr>
          <w:rFonts w:ascii="Times New Roman" w:hAnsi="Times New Roman"/>
          <w:b w:val="false"/>
          <w:i w:val="false"/>
          <w:color w:val="000000"/>
          <w:sz w:val="22"/>
        </w:rPr>
        <w:t>These data should be maintained in the computer at the transplant center monthly.</w:t>
      </w:r>
    </w:p>
    <w:p>
      <w:pPr>
        <w:spacing w:before="0" w:after="0"/>
        <w:ind w:left="120"/>
        <w:jc w:val="both"/>
      </w:pPr>
      <w:r>
        <w:rPr>
          <w:rFonts w:ascii="Times New Roman" w:hAnsi="Times New Roman"/>
          <w:b w:val="false"/>
          <w:i w:val="false"/>
          <w:color w:val="000000"/>
          <w:sz w:val="22"/>
        </w:rPr>
        <w:t>The transplant center will submit the above data to the United Network of Organ Sharing yearly.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Research.</w:t>
      </w:r>
      <w:r>
        <w:rPr>
          <w:rFonts w:ascii="Times New Roman" w:hAnsi="Times New Roman"/>
          <w:b w:val="false"/>
          <w:i w:val="false"/>
          <w:color w:val="000000"/>
          <w:sz w:val="22"/>
        </w:rPr>
        <w:t xml:space="preserve"> The transplant center will have a plan for and a commitment to research.</w:t>
      </w:r>
    </w:p>
    <w:p>
      <w:pPr>
        <w:spacing w:before="0" w:after="0"/>
        <w:ind w:left="120"/>
        <w:jc w:val="both"/>
      </w:pPr>
      <w:r>
        <w:rPr>
          <w:rFonts w:ascii="Times New Roman" w:hAnsi="Times New Roman"/>
          <w:b w:val="false"/>
          <w:i w:val="false"/>
          <w:color w:val="000000"/>
          <w:sz w:val="22"/>
        </w:rPr>
        <w:t>Ongoing research regarding the transplanted organs is required.</w:t>
      </w:r>
    </w:p>
    <w:p>
      <w:pPr>
        <w:spacing w:before="0" w:after="0"/>
        <w:ind w:left="120"/>
        <w:jc w:val="both"/>
      </w:pPr>
      <w:r>
        <w:rPr>
          <w:rFonts w:ascii="Times New Roman" w:hAnsi="Times New Roman"/>
          <w:b w:val="false"/>
          <w:i w:val="false"/>
          <w:color w:val="000000"/>
          <w:sz w:val="22"/>
        </w:rPr>
        <w:t>The transplant center will have a program in graduate medical education or have a formal agreement with a teaching institution for affiliation with a graduate medical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Review and evaluation.</w:t>
      </w:r>
      <w:r>
        <w:rPr>
          <w:rFonts w:ascii="Times New Roman" w:hAnsi="Times New Roman"/>
          <w:b w:val="false"/>
          <w:i w:val="false"/>
          <w:color w:val="000000"/>
          <w:sz w:val="22"/>
        </w:rPr>
        <w:t xml:space="preserve"> The transplant center will have a plan for ongoing evaluation of the transplantation program.</w:t>
      </w:r>
    </w:p>
    <w:p>
      <w:pPr>
        <w:spacing w:before="0" w:after="0"/>
        <w:ind w:left="120"/>
        <w:jc w:val="both"/>
      </w:pPr>
      <w:r>
        <w:rPr>
          <w:rFonts w:ascii="Times New Roman" w:hAnsi="Times New Roman"/>
          <w:b w:val="false"/>
          <w:i w:val="false"/>
          <w:color w:val="000000"/>
          <w:sz w:val="22"/>
        </w:rPr>
        <w:t>The transplant center will have a detailed plan for review and evaluation of recipient selection, preoperative, operative, postoperative and long-term management of the recipient.</w:t>
      </w:r>
    </w:p>
    <w:p>
      <w:pPr>
        <w:spacing w:before="0" w:after="0"/>
        <w:ind w:left="120"/>
        <w:jc w:val="both"/>
      </w:pPr>
      <w:r>
        <w:rPr>
          <w:rFonts w:ascii="Times New Roman" w:hAnsi="Times New Roman"/>
          <w:b w:val="false"/>
          <w:i w:val="false"/>
          <w:color w:val="000000"/>
          <w:sz w:val="22"/>
        </w:rPr>
        <w:t>The transplant center will conduct concurrent ongoing studies to ensure high quality services are provided in the transplantation program.</w:t>
      </w:r>
    </w:p>
    <w:p>
      <w:pPr>
        <w:spacing w:before="0" w:after="0"/>
        <w:ind w:left="120"/>
        <w:jc w:val="both"/>
      </w:pPr>
      <w:r>
        <w:rPr>
          <w:rFonts w:ascii="Times New Roman" w:hAnsi="Times New Roman"/>
          <w:b w:val="false"/>
          <w:i w:val="false"/>
          <w:color w:val="000000"/>
          <w:sz w:val="22"/>
        </w:rPr>
        <w:t>The transplant center will provide information to members of the transplant team and ancillary staff regarding the findings of the quality assurance studies. This information will be utilized to provide education geared toward interventions to improve staff performance and reduce complications occurring in the transplant process.</w:t>
      </w:r>
    </w:p>
    <w:p>
      <w:pPr>
        <w:spacing w:before="0" w:after="0"/>
        <w:ind w:left="120"/>
        <w:jc w:val="both"/>
      </w:pPr>
      <w:r>
        <w:rPr>
          <w:rFonts w:ascii="Times New Roman" w:hAnsi="Times New Roman"/>
          <w:b w:val="false"/>
          <w:i w:val="false"/>
          <w:color w:val="000000"/>
          <w:sz w:val="22"/>
        </w:rPr>
        <w:t>The transplant center will maintain records of all quality assurance and peer review activities concerning the transplantation program to document identification of problems or potential problems, intervention, education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 Medicare-designated heart, liver, or lung transplant facility needs only to submit evidence of this designation to the Iowa Medicaid enterprise provider services unit. The application procedure for other heart and liver facilities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original and two copies of the application must be submitted on 8½ by 11 inch paper, signed by a person authorized to do so. The facility must be a participating hospital under Medicaid and must specify its provider number, and the name and telephone number of a contact person should there be questions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and data must be clearly stated, well organized and appropriately indexed to aid in its review against the criteria specified in this rule. Each page must be numbered.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the application should be organized into five sections corresponding to each of the five major criteria and addressing, in order, each of the subcriteria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should be mailed to the Iowa Medicaid enterprise provider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facilities. </w:t>
      </w:r>
      <w:r>
        <w:rPr>
          <w:rFonts w:ascii="Times New Roman" w:hAnsi="Times New Roman"/>
          <w:b w:val="false"/>
          <w:i w:val="false"/>
          <w:color w:val="000000"/>
          <w:sz w:val="22"/>
        </w:rPr>
        <w:t>An organized review committee will be established to evaluate performance and survival statistics and make recommendations regarding approval as a designated transplant center based on acceptable performance standards established by the review organization and approved by the Medicaid agency.</w:t>
      </w:r>
    </w:p>
    <w:p>
      <w:pPr>
        <w:spacing w:before="0" w:after="0"/>
        <w:ind w:left="120"/>
        <w:jc w:val="both"/>
      </w:pPr>
      <w:r>
        <w:rPr>
          <w:rFonts w:ascii="Times New Roman" w:hAnsi="Times New Roman"/>
          <w:b w:val="false"/>
          <w:i w:val="false"/>
          <w:color w:val="000000"/>
          <w:sz w:val="22"/>
        </w:rPr>
        <w:t>There will be established protocol for the systematic evaluation of patient outcome including survival statistics.</w:t>
      </w:r>
    </w:p>
    <w:p>
      <w:pPr>
        <w:spacing w:before="0" w:after="0"/>
        <w:ind w:left="120"/>
        <w:jc w:val="both"/>
      </w:pPr>
      <w:r>
        <w:rPr>
          <w:rFonts w:ascii="Times New Roman" w:hAnsi="Times New Roman"/>
          <w:b w:val="false"/>
          <w:i w:val="false"/>
          <w:color w:val="000000"/>
          <w:sz w:val="22"/>
        </w:rPr>
        <w:t>Once a facility applies for approval and is approved as a heart or liver transplant facility for Medicaid purposes, it is obliged to report immediately to the department any events or changes which would affect its approved status. Specifically, a facility must report any significant decrease in its experience level or survival rates, the transplantation of patients who do not meet its patient selection criteria, the loss of key members of the transplant team, or any other major changes that could affect the performance of heart or liver transplants at the facility. Changes from the terms of approval may lead to withdrawal of approval for Medicaid coverage of heart or liver transplants performed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inpatient hospital care rendered a patient in connection with dental treatment only when the mental, physical, or emotional condition of the patient prevents the dentist from providing this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an assessment fee as specified in 441—paragraphs </w:t>
      </w:r>
      <w:hyperlink r:id="rId66">
        <w:r>
          <w:rPr>
            <w:rStyle w:val="Hyperlink"/>
            <w:rFonts w:ascii="Times New Roman" w:hAnsi="Times New Roman"/>
            <w:b w:val="false"/>
            <w:i w:val="false"/>
            <w:color w:val="000000"/>
            <w:sz w:val="22"/>
          </w:rPr>
          <w:t>79.1(16)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
        </w:r>
        <w:r>
          <w:rPr>
            <w:rFonts w:ascii="Times New Roman" w:hAnsi="Times New Roman"/>
            <w:b w:val="false"/>
            <w:i/>
            <w:color w:val="000000"/>
            <w:sz w:val="22"/>
          </w:rPr>
          <w:t>“r”</w:t>
        </w:r>
      </w:hyperlink>
      <w:r>
        <w:rPr>
          <w:rFonts w:ascii="Times New Roman" w:hAnsi="Times New Roman"/>
          <w:b w:val="false"/>
          <w:i w:val="false"/>
          <w:color w:val="000000"/>
          <w:sz w:val="22"/>
        </w:rPr>
        <w:t xml:space="preserve"> to determine if a medical emergency exists.</w:t>
      </w:r>
    </w:p>
    <w:p>
      <w:pPr>
        <w:spacing w:before="0" w:after="0"/>
        <w:ind w:left="120"/>
        <w:jc w:val="both"/>
      </w:pPr>
      <w:r>
        <w:rPr>
          <w:rFonts w:ascii="Times New Roman" w:hAnsi="Times New Roman"/>
          <w:b w:val="false"/>
          <w:i w:val="false"/>
          <w:color w:val="000000"/>
          <w:sz w:val="22"/>
        </w:rPr>
        <w:t>Medical emergency is defined as a sudden or unforeseen occurrence or combination of circumstances presenting a substantial risk to an individual’s health unless immediate medical treatment is given.</w:t>
      </w:r>
    </w:p>
    <w:p>
      <w:pPr>
        <w:spacing w:before="0" w:after="0"/>
        <w:ind w:left="120"/>
        <w:jc w:val="both"/>
      </w:pPr>
      <w:r>
        <w:rPr>
          <w:rFonts w:ascii="Times New Roman" w:hAnsi="Times New Roman"/>
          <w:b w:val="false"/>
          <w:i w:val="false"/>
          <w:color w:val="000000"/>
          <w:sz w:val="22"/>
        </w:rPr>
        <w:t>The determination of whether a medical emergency exists will be based on the patient’s medical condition including presenting symptoms and medical history prior to treatment 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the IME medical services unit to require the skilled nursing care level of care shall be made at an amount equal to the sum of the direct care rate component limit for Medicare-certified hospital-based nursing facilities pursuant to </w:t>
      </w:r>
      <w:hyperlink r:id="rId68">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plus the non-direct care rate component limit for Medicare-certified hospital-based nursing facilities pursuant to </w:t>
      </w:r>
      <w:hyperlink r:id="rId69">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with the rate component limits being revised July 1, 2001, and every second year thereafter. This rate is effective (a) as of the date of notice by the IME medical services unit that the lower level of care is required or (b) for the days the IME medical services unit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the IME medical services unit to require nursing facility level of care shall be made at an amount equal to the sum of the direct care rate component limit for Medicaid nursing facilities pursuant to </w:t>
      </w:r>
      <w:hyperlink r:id="rId70">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plus the non-direct care rate component limit for Medicaid nursing facilities pursuant to </w:t>
      </w:r>
      <w:hyperlink r:id="rId71">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with the rate component limits being revised July 1, 2001, and every second year thereafter. This rate is effective (a) as of the date of notice by the IME medical services unit that the lower level of care is required or (b) for the days the IME medical services unit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78.3(15)</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charges associated with surgical procedures normally done and billed on an outpatient hospital basis is subject to review by the IME medical services acute retrospective review team. Such reviews are based on random claim samples that are pulled on a monthly basis. If the information on a given inpatient claim included in that sample does not appear to support the appropriateness of inpatient level of care, that claim is sent to the IME medical director for further review. If the medical director approves the inpatient level of care, the claim is paid. However, if the medical director determines that the care provided could have been rendered at a lower level of care, the hospital and attending physician are notified accordingly. If the hospital agrees with the finding that a lower level of care was appropriate, the hospital submits a new claim for the lower level of care. If the hospital disagrees with the lower level of care finding, the hospital can submit additional documentation for further review. The hospital or attending physician or both may appeal any final determination by the 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78.3(16)</w:t>
      </w:r>
      <w:r>
        <w:rPr>
          <w:rFonts w:ascii="Times New Roman" w:hAnsi="Times New Roman"/>
          <w:b w:val="false"/>
          <w:i w:val="false"/>
          <w:color w:val="000000"/>
          <w:sz w:val="22"/>
        </w:rPr>
        <w:t> </w:t>
      </w:r>
      <w:r>
        <w:rPr>
          <w:rFonts w:ascii="Times New Roman" w:hAnsi="Times New Roman"/>
          <w:b w:val="false"/>
          <w:i w:val="false"/>
          <w:color w:val="000000"/>
          <w:sz w:val="22"/>
        </w:rPr>
        <w:t>Skilled nursing care in “swing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skilled nursing care when provided by a hospital participating in the swing-bed program certified by the department of inspections and appeals and approved by the U.S. Department of Health and Human Services. Payment shall be at an amount equal to the sum of the direct care rate component limit for Medicare-certified hospital-based nursing facilities pursuant to </w:t>
      </w:r>
      <w:hyperlink r:id="rId72">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the non-direct care rate component limit for Medicare-certified hospital-based nursing facilities pursuant to </w:t>
      </w:r>
      <w:hyperlink r:id="rId73">
        <w:r>
          <w:rPr>
            <w:rStyle w:val="Hyperlink"/>
            <w:rFonts w:ascii="Times New Roman" w:hAnsi="Times New Roman"/>
            <w:b w:val="false"/>
            <w:i w:val="false"/>
            <w:color w:val="000000"/>
            <w:sz w:val="22"/>
          </w:rPr>
          <w:t>441—subparagraph 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with the rate component limits being revised July 1, 2001, and every second year thereafter. Swing-bed placement is only intended to be short-term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payment for skilled nursing care provided in a hospital with a certified swing-bed program, for either initial admission or continued stay, will require prior authorization,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 has fewer than 100 beds, excluding beds for newborns and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hospital has an existing certification for a swing-bed program, pursuant to paragraph </w:t>
      </w:r>
      <w:hyperlink r:id="rId74">
        <w:r>
          <w:rPr>
            <w:rStyle w:val="Hyperlink"/>
            <w:rFonts w:ascii="Times New Roman" w:hAnsi="Times New Roman"/>
            <w:b w:val="false"/>
            <w:i w:val="false"/>
            <w:color w:val="000000"/>
            <w:sz w:val="22"/>
          </w:rPr>
          <w:t>78.3(16)</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being admitted for nursing facility or skilled level of care (if the member has Medicare and skilled coverage has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 part of the discharge planning process for a member requiring ongoing skilled nursing care, the hospital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Complete a level of care (LOC) determination describing a member’s LOC needs, using Form 470-5156, Swing Bed Certification.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Contact skilled nursing facilities within a 30-mile radius of the hospital regarding available beds to meet the member’s LOC needs.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Certify that no freestanding skilled nursing facility beds are available for the member within a 30-mile radius of the hospital, which will be able to appropriately meet the member’s needs and that home-based care for the member is not available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Swing-bed stays beyond 14 days will only be approved when there is no appropriate freestanding nursing facility bed available within a 30-mile radius and home-based care for the member is not available or appropriate, as documented by the hospital seeking the swing-bed admission. For the purpose of these criteria, an “appropriate” nursing facility bed is a bed in a Medicaid-participating freestanding nursing facility that provides the LOC required for the member’s medical condition and corresponding LOC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Medicaid member who has been in a swing bed beyond 14 days must be discharged to an appropriate nursing facility bed within a 30-mile radius of the swing-bed hospital or to appropriate home-based care within 72 hours of an appropriate nursing facility bed becoming available.</w:t>
      </w:r>
    </w:p>
    <w:p>
      <w:pPr>
        <w:spacing w:before="0" w:after="0"/>
        <w:ind w:left="120"/>
        <w:jc w:val="both"/>
      </w:pPr>
      <w:r>
        <w:rPr>
          <w:rFonts w:ascii="Times New Roman" w:hAnsi="Times New Roman"/>
          <w:b w:val="false"/>
          <w:i w:val="false"/>
          <w:color w:val="000000"/>
          <w:sz w:val="22"/>
        </w:rPr>
        <w:t>Preadmission screening and resident review (PASRR) rules still apply for members being transferred to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78.3(18)</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hospitals are to be reimbursed for certain frequently performed surgical procedures as set forth under subrule </w:t>
      </w:r>
      <w:hyperlink r:id="rId75">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Preprocedure review is also required for other types of major surgical procedures, such as organ transplants. Criteria are available from the IME medical services unit. (Cross reference </w:t>
      </w:r>
      <w:hyperlink r:id="rId76">
        <w:r>
          <w:rPr>
            <w:rStyle w:val="Hyperlink"/>
            <w:rFonts w:ascii="Times New Roman" w:hAnsi="Times New Roman"/>
            <w:b w:val="false"/>
            <w:i w:val="false"/>
            <w:color w:val="000000"/>
            <w:sz w:val="22"/>
          </w:rPr>
          <w:t>78.28(6)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0194C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0354C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0844C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1054C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6781C</w:t>
      </w:r>
      <w:r>
        <w:rPr>
          <w:rFonts w:ascii="Times New Roman" w:hAnsi="Times New Roman"/>
          <w:b w:val="false"/>
          <w:i w:val="false"/>
          <w:color w:val="000000"/>
          <w:sz w:val="16"/>
        </w:rPr>
        <w:t>, IAB 12/28/22,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w:t>
      </w:r>
      <w:r>
        <w:rPr>
          <w:rFonts w:ascii="Times New Roman" w:hAnsi="Times New Roman"/>
          <w:b/>
          <w:i w:val="false"/>
          <w:color w:val="000000"/>
          <w:sz w:val="22"/>
        </w:rPr>
        <w:t xml:space="preserve">(249A) </w:t>
      </w:r>
      <w:r>
        <w:rPr>
          <w:rFonts w:ascii="Times New Roman" w:hAnsi="Times New Roman"/>
          <w:b/>
          <w:i w:val="false"/>
          <w:color w:val="000000"/>
          <w:sz w:val="22"/>
        </w:rPr>
        <w:t xml:space="preserve">Dentists. </w:t>
      </w:r>
      <w:r>
        <w:rPr>
          <w:rFonts w:ascii="Times New Roman" w:hAnsi="Times New Roman"/>
          <w:b w:val="false"/>
          <w:i w:val="false"/>
          <w:color w:val="000000"/>
          <w:sz w:val="22"/>
        </w:rPr>
        <w:t>Payment will be made for medical and surgical services furnished by a dentist to the extent these services may be performed under state law either by doctors of medicine, osteopathy, dental surgery or dental medicine and would be covered if furnished by doctors of medicine or osteopathy. Services must be reasonable, necessary, and cost-effective for the prevention, diagnosis, and treatment of dental disease or injuries or for oral devices necessary for a medical condition. Payment will also be made for the following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w:t>
      </w:r>
      <w:r>
        <w:rPr>
          <w:rFonts w:ascii="Times New Roman" w:hAnsi="Times New Roman"/>
          <w:b w:val="false"/>
          <w:i w:val="false"/>
          <w:color w:val="000000"/>
          <w:sz w:val="22"/>
        </w:rPr>
        <w:t> </w:t>
      </w:r>
      <w:r>
        <w:rPr>
          <w:rFonts w:ascii="Times New Roman" w:hAnsi="Times New Roman"/>
          <w:b w:val="false"/>
          <w:i/>
          <w:color w:val="000000"/>
          <w:sz w:val="22"/>
        </w:rPr>
        <w:t xml:space="preserve">Preventive services. </w:t>
      </w:r>
      <w:r>
        <w:rPr>
          <w:rFonts w:ascii="Times New Roman" w:hAnsi="Times New Roman"/>
          <w:b w:val="false"/>
          <w:i w:val="false"/>
          <w:color w:val="000000"/>
          <w:sz w:val="22"/>
        </w:rPr>
        <w:t>Payment shall be made for the following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prophylaxis, including necessary scaling and polishing, is payable only once in a six-month period except for persons who, because of a physical or mental condition, need more frequent care. Documentation supporting the need for oral prophylaxis performed more than once in a six-month period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Topical application of fluoride is payable once every 90 days. (This does not include the use of fluoride prophylaxis paste as fluoride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Pit and fissure sealants are payable for placement on deciduous and permanent posterior teeth only. Reimbursement for sealants is restricted to work performed on members through 18 years of age and on members who have a physical or mental condition that impairs their ability to maintain adequate oral hygiene. Replacement sealants are covered when medically necessary, as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Space management services are payable in mixed dentition when premature loss of teeth would permit existing teeth to shift and cause a handicapping malocclusion or there is too little dental ridge to accommodate either the number or the size of teeth and significant dental disease will result if the condition is not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w:t>
      </w:r>
      <w:r>
        <w:rPr>
          <w:rFonts w:ascii="Times New Roman" w:hAnsi="Times New Roman"/>
          <w:b w:val="false"/>
          <w:i w:val="false"/>
          <w:color w:val="000000"/>
          <w:sz w:val="22"/>
        </w:rPr>
        <w:t> </w:t>
      </w:r>
      <w:r>
        <w:rPr>
          <w:rFonts w:ascii="Times New Roman" w:hAnsi="Times New Roman"/>
          <w:b w:val="false"/>
          <w:i/>
          <w:color w:val="000000"/>
          <w:sz w:val="22"/>
        </w:rPr>
        <w:t xml:space="preserve">Diagnostic services. </w:t>
      </w:r>
      <w:r>
        <w:rPr>
          <w:rFonts w:ascii="Times New Roman" w:hAnsi="Times New Roman"/>
          <w:b w:val="false"/>
          <w:i w:val="false"/>
          <w:color w:val="000000"/>
          <w:sz w:val="22"/>
        </w:rPr>
        <w:t>Payment shall be made for the following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comprehensive oral evaluation is payable once per member per dental practice in a three-year period when the member has not been seen by a dentist in the dental practice during the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periodic oral examination is payable once in a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 mouth radiograph survey, consisting of a minimum of 14 periapical films and bite-wing films, or a panoramic radiograph with bite-wings is a payable service once in a five-year period, except when medically necessary to evaluate development and to detect anomalies, injuries and diseases. Full mouth radiograph surveys are not payable under the age of six except when medically necessary. A panographic-type radiography with bite-wings is considered the same as a full mouth radiograph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Supplemental bitewing films are payable only once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Single periapical films are payable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Intraoral radiograph, occlusal.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Extraoral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Posterior-anterior and lateral skull and facial bone radiograph, survey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Temporomandibular joint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Cephalometric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Diagnostic casts are payable only for orthodontic cases or dental implants or when requested by the Iowa Medicaid enterprise medical services unit’s dental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Cone beam images are payable when medically necessary for situations including, but not limited to, detection of tumors, positioning of severely impacted teeth, supernumerary teeth or dental implants.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w:t>
      </w:r>
      <w:r>
        <w:rPr>
          <w:rFonts w:ascii="Times New Roman" w:hAnsi="Times New Roman"/>
          <w:b w:val="false"/>
          <w:i w:val="false"/>
          <w:color w:val="000000"/>
          <w:sz w:val="22"/>
        </w:rPr>
        <w:t> </w:t>
      </w:r>
      <w:r>
        <w:rPr>
          <w:rFonts w:ascii="Times New Roman" w:hAnsi="Times New Roman"/>
          <w:b w:val="false"/>
          <w:i/>
          <w:color w:val="000000"/>
          <w:sz w:val="22"/>
        </w:rPr>
        <w:t xml:space="preserve">Restorative services. </w:t>
      </w:r>
      <w:r>
        <w:rPr>
          <w:rFonts w:ascii="Times New Roman" w:hAnsi="Times New Roman"/>
          <w:b w:val="false"/>
          <w:i w:val="false"/>
          <w:color w:val="000000"/>
          <w:sz w:val="22"/>
        </w:rPr>
        <w:t>Payment shall be made for the following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dental caries is payable in those areas which require immediate attention. Restoration of incipient or nonactive carious lesions are not payable. Carious activity may be considered incipient when there is no penetration of the dento-enamel junction as demonstrated in diagnostic radiographs.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Amalgam alloy and composite resin-type filling materials are reimbursable only once for the same restoration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Crowns are payable when there is at least a fair prognosis for maintaining the tooth as determined by the Iowa Medicaid enterprise medical services unit and a more conservative procedure would not be serviceable.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Stainless steel crowns are limited to primary and permanent posterior teeth and are covered when coronal loss of tooth structure does not allow restoration with an amalgam or composite restoration. Placement on permanent posterior teeth is allowed only for members who have a mental or physical condition that limits their ability to tolerate the procedure for placement of a different crown.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Aesthetic coated stainless steel crowns and stainless steel crowns with a resin window are limited to primary anterior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Laboratory-fabricated crowns, other than stainless steel, are limited to permanent teeth and require prior authorization. Approval shall be granted when coronal loss of tooth structure does not allow restoration with an amalgam or composite restoration or there is evidence of recurring decay surrounding a large existing restoration, a fracture, a broken cusp(s), or an endodontic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Crowns with noble or high noble metals require prior authorization. Approval shall be granted for members who meet the criteria for a laboratory-fabricated crown, other than stainless steel, and who have a documented allergy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Cast post and core, post and composite or post and amalgam in addition to a crown are payable when a tooth is functional and the integrity of the tooth would be jeopardized by no post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as indicated will be made for the following restoration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Amalgam or acrylic buildups, including any pins, are considered a core buildup.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two, or more restorations on one surface of a tooth shall be paid as a one-surface restoration, i.e., mesial occlusal pit and distal occlusal pit of a maxillary molar or mesial and distal occlusal pits of a lower bicuspid.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Occlusal lingual groove of a maxillary molar that extends from the distal occlusal pit and down the distolingual groove will be paid as a two-surface restoration. This restoration and a mesial occlusal pit restoration on the same tooth will be paid as one,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Two separate one-surface restorations are payable as a two-surface restoration (i.e., an occlusal pit restoration and a buccal pit restoration are a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Tooth preparation, temporary restorations, cement bases, pulp capping, impressions, and local anesthesia are included in the restorative fee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Pin retention will be paid on a per-tooth basis and in addition to the final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More than four surfaces on an amalgam restoration will be reimbursed as a “four-surface” amalgam.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amalgam or composite restoration is not payable following a sedative filling in the same tooth unless the sedative filling was placed more than 30 days previously.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78.4(4)</w:t>
      </w:r>
      <w:r>
        <w:rPr>
          <w:rFonts w:ascii="Times New Roman" w:hAnsi="Times New Roman"/>
          <w:b w:val="false"/>
          <w:i w:val="false"/>
          <w:color w:val="000000"/>
          <w:sz w:val="22"/>
        </w:rPr>
        <w:t> </w:t>
      </w:r>
      <w:r>
        <w:rPr>
          <w:rFonts w:ascii="Times New Roman" w:hAnsi="Times New Roman"/>
          <w:b w:val="false"/>
          <w:i/>
          <w:color w:val="000000"/>
          <w:sz w:val="22"/>
        </w:rPr>
        <w:t xml:space="preserve">Periodontal services. </w:t>
      </w:r>
      <w:r>
        <w:rPr>
          <w:rFonts w:ascii="Times New Roman" w:hAnsi="Times New Roman"/>
          <w:b w:val="false"/>
          <w:i w:val="false"/>
          <w:color w:val="000000"/>
          <w:sz w:val="22"/>
        </w:rPr>
        <w:t>Payment may be made for the following 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Full-mouth debridement to enable comprehensive periodontal evaluation and diagnosis is payable once every 24 months. This procedure is not payable on the same date of service when other prophylaxis or periodontal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scaling and root planing is payable once every 24 months when prior approval has been received. Prior approval shall be granted per quadrant when radiographs demonstrate subgingival calculus or loss of crestal bone and when the periodontal probe chart shows evidence of pocket depths of 4 mm or greater. (Cross reference </w:t>
      </w:r>
      <w:hyperlink r:id="rId78">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Periodontal surgical procedures which include gingivoplasty, osseous surgery, and osseous allograft are payable services when prior approval has been received. Payment for these surgical procedures will be approved after periodontal scaling and root planing has been provided, a reevaluation examination has been completed, and the member has demonstrated reasonable oral hygiene. Payment is also allowed for members who are unable to demonstrate reasonable oral hygiene due to a physical or mental condition, or who exhibit evidence of gingival hyperplasia, or who have a deep carious lesion that cannot be otherwise accessed for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Tissue grafts. Pedicle soft tissue graft, free soft tissue graft, and subepithelial connective tissue graft are payable services with prior approval. Authorization shall be granted when the amount of tissue loss is causing problems such as continued bone loss, chronic root sensitivity, complete loss of attached tissue, or difficulty maintaining adequate oral hygiene. (Cross reference </w:t>
      </w:r>
      <w:hyperlink r:id="rId79">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maintenance therapy requires prior authorization. Approval shall be granted for members who have completed periodontal scaling and root planing at least three months prior to the initial periodontal maintenance therapy and the periodontal probe chart shows evidence of pocket depths of 4 mm or greater. (Cross reference </w:t>
      </w:r>
      <w:hyperlink r:id="rId80">
        <w:r>
          <w:rPr>
            <w:rStyle w:val="Hyperlink"/>
            <w:rFonts w:ascii="Times New Roman" w:hAnsi="Times New Roman"/>
            <w:b w:val="false"/>
            <w:i w:val="false"/>
            <w:color w:val="000000"/>
            <w:sz w:val="22"/>
          </w:rPr>
          <w:t>78.28(3)</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Tissue regeneration procedures require prior authorization. Approval shall be granted when radiographs show evidence of recession in relation to the muco-gingival junction and the bone level indicates the tooth has a fair to good long-term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Localized delivery of antimicrobial agents requires prior authorization. Approval shall be granted when at least one year has elapsed since periodontal scaling and root planing was completed, the member has maintained regular periodontal maintenance, and pocket depths remain at a moderate to severe depth with bleeding on probing. Authorization is limited to once per site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w:t>
      </w:r>
      <w:r>
        <w:rPr>
          <w:rFonts w:ascii="Times New Roman" w:hAnsi="Times New Roman"/>
          <w:b w:val="false"/>
          <w:i w:val="false"/>
          <w:color w:val="000000"/>
          <w:sz w:val="22"/>
        </w:rPr>
        <w:t> </w:t>
      </w:r>
      <w:r>
        <w:rPr>
          <w:rFonts w:ascii="Times New Roman" w:hAnsi="Times New Roman"/>
          <w:b w:val="false"/>
          <w:i/>
          <w:color w:val="000000"/>
          <w:sz w:val="22"/>
        </w:rPr>
        <w:t xml:space="preserve">Endodontic services. </w:t>
      </w:r>
      <w:r>
        <w:rPr>
          <w:rFonts w:ascii="Times New Roman" w:hAnsi="Times New Roman"/>
          <w:b w:val="false"/>
          <w:i w:val="false"/>
          <w:color w:val="000000"/>
          <w:sz w:val="22"/>
        </w:rPr>
        <w:t>Payment shall be made for the following endodontic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Root canal treatments on permanent anterior and posterior teeth when there is presence of extensive decay, infection, draining fistulas, severe pain upon chewing or applied pressure, prolonged sensitivity to temperatures, or a discolored tooth indicative of a nonvital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Vital pulpotomies. Cement bases, pulp capping, and insulating liners are considered part of the restoration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Surgical endodontic treatment, including an apicoectomy, performed as a separate surgical procedure; an apicoectomy, performed in conjunction with endodontic procedure; an apical curettage; a root resection; or excision of hyperplastic tissue is payable when nonsurgical treatment has been attempted and a reasonable time of approximately one year has elapsed after which failure has been demonstrated. Surgical endodontic procedures may be indicated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Conventional root canal treatment cannot be successfully completed because canals cannot be negotiated, debrided or obturated due to calcifications, blockages, broken instruments, severe curvatures, and dilacerated roots.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 of problems resulting from conventional treatment including gross underfilling, perforations, and canal blockages with restorative materials. (Cross reference </w:t>
      </w:r>
      <w:hyperlink r:id="rId81">
        <w:r>
          <w:rPr>
            <w:rStyle w:val="Hyperlink"/>
            <w:rFonts w:ascii="Times New Roman" w:hAnsi="Times New Roman"/>
            <w:b w:val="false"/>
            <w:i w:val="false"/>
            <w:color w:val="000000"/>
            <w:sz w:val="22"/>
          </w:rPr>
          <w:t>78.28(3)</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Endodontic retreatment when prior authorization has been received. Authorization for retreatment of a tooth with previous endodontic treatment shall be granted when the conventional treatment has been completed, a reasonable time has elapsed since the initial treatment, and failure has been demonstrated with a radiograph and narrative history. A reasonable period of time is approximately one year if the treating dentist is the same and may be less if the member must see a different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w:t>
      </w:r>
      <w:r>
        <w:rPr>
          <w:rFonts w:ascii="Times New Roman" w:hAnsi="Times New Roman"/>
          <w:b w:val="false"/>
          <w:i w:val="false"/>
          <w:color w:val="000000"/>
          <w:sz w:val="22"/>
        </w:rPr>
        <w:t> </w:t>
      </w:r>
      <w:r>
        <w:rPr>
          <w:rFonts w:ascii="Times New Roman" w:hAnsi="Times New Roman"/>
          <w:b w:val="false"/>
          <w:i/>
          <w:color w:val="000000"/>
          <w:sz w:val="22"/>
        </w:rPr>
        <w:t xml:space="preserve">Oral surgery—medically necessary. </w:t>
      </w:r>
      <w:r>
        <w:rPr>
          <w:rFonts w:ascii="Times New Roman" w:hAnsi="Times New Roman"/>
          <w:b w:val="false"/>
          <w:i w:val="false"/>
          <w:color w:val="000000"/>
          <w:sz w:val="22"/>
        </w:rPr>
        <w:t xml:space="preserve">Payment shall be made for medically necessary oral surgery services furnished by dentists to the extent that these services may be performed under state law either by doctors of medicine, osteopathy, dental surgery or dental medicine and would be covered if furnished by doctors of medicine or osteopathy, as defined in rule </w:t>
      </w:r>
      <w:hyperlink r:id="rId82">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These services will be reimbursed in a manner consistent with the physician’s reimbursement policy. The following surgical procedures are also payable when performed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Extractions, both surgical and nonsurgical.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Impaction (soft tissue impaction, upper or lower) that requires an incision of overlying soft tissue and the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Impaction (partial bony impaction, upper or lower) that requires incision of overlying soft tissue, elevation of a flap, removal of bone and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Impaction (complete bony impaction, upper or lower) that requires incision of overlying soft tissue, elevation of a flap, removal of bone and section of the tooth for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Root recovery (surgical removal of residual root).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Oral antral fistula closure (or antral root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for orthodontic reasons, including ligation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to aid eruption.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Routine postoperative care is considered part of the fee for surgical procedures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postoperative care where need is shown to be beyond normal follow-up care or for postoperative care where the original service was performed by another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w:t>
      </w:r>
      <w:r>
        <w:rPr>
          <w:rFonts w:ascii="Times New Roman" w:hAnsi="Times New Roman"/>
          <w:b w:val="false"/>
          <w:i w:val="false"/>
          <w:color w:val="000000"/>
          <w:sz w:val="22"/>
        </w:rPr>
        <w:t> </w:t>
      </w:r>
      <w:r>
        <w:rPr>
          <w:rFonts w:ascii="Times New Roman" w:hAnsi="Times New Roman"/>
          <w:b w:val="false"/>
          <w:i/>
          <w:color w:val="000000"/>
          <w:sz w:val="22"/>
        </w:rPr>
        <w:t xml:space="preserve">Prosthetic services. </w:t>
      </w:r>
      <w:r>
        <w:rPr>
          <w:rFonts w:ascii="Times New Roman" w:hAnsi="Times New Roman"/>
          <w:b w:val="false"/>
          <w:i w:val="false"/>
          <w:color w:val="000000"/>
          <w:sz w:val="22"/>
        </w:rPr>
        <w:t>Payment may be made for the following prosthetic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immediate denture or a first-time complete denture.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removable partial denture replacing anterior teeth when prior approval has been received. Approval shall be granted when radiographs demonstrate adequate space for replacement of a missing anterior tooth.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posterior teeth including six months’ postdelivery care when prior approval has been received. Approval shall be granted when the member has fewer than eight posterior teeth in occlusion, excluding third molars, or the member has a full denture in one arch and a partial denture replacing posterior teeth is required in the opposing arch to balance occlusion. When one removable partial denture brings eight posterior teeth in occlusion, no additional removable partial denture will be approved. Six months’ postdelivery care is included in the reimbursement for the denture. (Cross reference </w:t>
      </w:r>
      <w:hyperlink r:id="rId83">
        <w:r>
          <w:rPr>
            <w:rStyle w:val="Hyperlink"/>
            <w:rFonts w:ascii="Times New Roman" w:hAnsi="Times New Roman"/>
            <w:b w:val="false"/>
            <w:i w:val="false"/>
            <w:color w:val="000000"/>
            <w:sz w:val="22"/>
          </w:rPr>
          <w:t>78.28(3)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(including an acid etch fixed partial denture) replacing anterior teeth when prior approval has been received. Approval shall be granted for members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existing bridge that needs replacement due to breakage or extensive, recurrent decay.</w:t>
      </w:r>
    </w:p>
    <w:p>
      <w:pPr>
        <w:spacing w:before="0" w:after="0"/>
        <w:ind w:left="120"/>
        <w:jc w:val="both"/>
      </w:pPr>
      <w:r>
        <w:rPr>
          <w:rFonts w:ascii="Times New Roman" w:hAnsi="Times New Roman"/>
          <w:b w:val="false"/>
          <w:i w:val="false"/>
          <w:color w:val="000000"/>
          <w:sz w:val="22"/>
        </w:rPr>
        <w:t xml:space="preserve">High noble or noble metals shall be approved only when the member is allergic to all other restorative materials. (Cross reference </w:t>
      </w:r>
      <w:hyperlink r:id="rId84">
        <w:r>
          <w:rPr>
            <w:rStyle w:val="Hyperlink"/>
            <w:rFonts w:ascii="Times New Roman" w:hAnsi="Times New Roman"/>
            <w:b w:val="false"/>
            <w:i w:val="false"/>
            <w:color w:val="000000"/>
            <w:sz w:val="22"/>
          </w:rPr>
          <w:t>78.28(3)</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replacing posterior teeth when prior approval has been received. Approval shall be granted for members who meet the criteria for a removable partial denture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full denture in one arch and a partial fixed denture replacing posterior teeth is required in the opposing arch to balance occlusion.</w:t>
      </w:r>
    </w:p>
    <w:p>
      <w:pPr>
        <w:spacing w:before="0" w:after="0"/>
        <w:ind w:left="120"/>
        <w:jc w:val="both"/>
      </w:pPr>
      <w:r>
        <w:rPr>
          <w:rFonts w:ascii="Times New Roman" w:hAnsi="Times New Roman"/>
          <w:b w:val="false"/>
          <w:i w:val="false"/>
          <w:color w:val="000000"/>
          <w:sz w:val="22"/>
        </w:rPr>
        <w:t>High noble or noble metals will be approved only when the member is allergic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Obturator for surgically excised palatal tissue or deficient velopharyngeal function of cleft palate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Chairside relines and laboratory-processed relines are payable only once per prosthesis every 12 months, beginning 6 months after placement of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Tissue conditioning is a payable service twice per prosthesis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Two repairs per prosthesis in a 12-month period are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Adjustments to a complete or removable partial denture are payable when medically necessary after six months’ postdelivery care. An adjustment consists of removal of acrylic material or adjustment of teeth to eliminate a sore area or to make the denture fit better. Warming dentures and massaging them for better fit or placing them in a sonic device does not constitute an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Dental implants and related services when prior authorization has been received. Prior authorization shall be granted when the member is missing significant oral structures due to cancer, traumatic injuries, or developmental defects such as cleft palate and cannot use a conventional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Replacement of complete or partial dentures in less than a five-year period requires prior authorization. Approval shall be granted once per denture replacement per arch in a five-year period when the denture has been lost, stolen or broken beyond repair or cannot be adjusted for an adequate fit. Approval shall also be granted for more than one denture replacement per arch within five years for members who have a medical condition that necessitates thorough mastication. Approval will not be granted in less than a five-year period when the reason for replacement is resorption.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complete or partial denture rebase requires prior approval. Approval shall be granted when the acrylic of the denture is cracked or has had numerous repairs and the teeth are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oral appliance for obstructive sleep apnea requires prior approval and must be custom-fabricated. Approval shall be granted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78.4(8)</w:t>
      </w:r>
      <w:r>
        <w:rPr>
          <w:rFonts w:ascii="Times New Roman" w:hAnsi="Times New Roman"/>
          <w:b w:val="false"/>
          <w:i w:val="false"/>
          <w:color w:val="000000"/>
          <w:sz w:val="22"/>
        </w:rPr>
        <w:t> </w:t>
      </w:r>
      <w:r>
        <w:rPr>
          <w:rFonts w:ascii="Times New Roman" w:hAnsi="Times New Roman"/>
          <w:b w:val="false"/>
          <w:i/>
          <w:color w:val="000000"/>
          <w:sz w:val="22"/>
        </w:rPr>
        <w:t xml:space="preserve">Orthodontic procedures. </w:t>
      </w:r>
      <w:r>
        <w:rPr>
          <w:rFonts w:ascii="Times New Roman" w:hAnsi="Times New Roman"/>
          <w:b w:val="false"/>
          <w:i w:val="false"/>
          <w:color w:val="000000"/>
          <w:sz w:val="22"/>
        </w:rPr>
        <w:t>Payment may be made for the following orthodontic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Minor treatment to control harmful habits when prior approval has been received. Approval shall be granted when it is cost-effective to lessen the severity of a malformation such that extensive treatment is not required. (Cross reference </w:t>
      </w:r>
      <w:hyperlink r:id="rId85">
        <w:r>
          <w:rPr>
            <w:rStyle w:val="Hyperlink"/>
            <w:rFonts w:ascii="Times New Roman" w:hAnsi="Times New Roman"/>
            <w:b w:val="false"/>
            <w:i w:val="false"/>
            <w:color w:val="000000"/>
            <w:sz w:val="22"/>
          </w:rPr>
          <w:t>78.28(3)</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Interceptive orthodontic treatment of the transitional dentition when prior approval has been received. Approval shall be granted when it is cost-effective to lessen the severity of a malformation such that extensive treatment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Comprehensive orthodontic treatment when prior approval has been received. Approval is limited to members under 21 years of age and shall be granted when the member has a severe handicapping malocclusion with a score of 26 or above using the index from the “Handicapping Malocclusion Assessment to Establish Treatment Priority,” by J.A. Salzmann, D.D.S., American Journal of Orthodontics, October 1968.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w:t>
      </w:r>
      <w:r>
        <w:rPr>
          <w:rFonts w:ascii="Times New Roman" w:hAnsi="Times New Roman"/>
          <w:b w:val="false"/>
          <w:i w:val="false"/>
          <w:color w:val="000000"/>
          <w:sz w:val="22"/>
        </w:rPr>
        <w:t> </w:t>
      </w:r>
      <w:r>
        <w:rPr>
          <w:rFonts w:ascii="Times New Roman" w:hAnsi="Times New Roman"/>
          <w:b w:val="false"/>
          <w:i/>
          <w:color w:val="000000"/>
          <w:sz w:val="22"/>
        </w:rPr>
        <w:t xml:space="preserve">Adjunctive general services. </w:t>
      </w:r>
      <w:r>
        <w:rPr>
          <w:rFonts w:ascii="Times New Roman" w:hAnsi="Times New Roman"/>
          <w:b w:val="false"/>
          <w:i w:val="false"/>
          <w:color w:val="000000"/>
          <w:sz w:val="22"/>
        </w:rPr>
        <w:t>Payment may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in a hospital. Payment will be approved for dental treatment rendered to a hospitalized member only when the mental, physical, or emotional condition of the member prevents the dentist from providing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in a nursing facility. Payment will be approved for dental treatment provided in a nursing facility. When more than one patient is examined during the same nursing home visit, payment will be made by the Medicaid program for only one visit to the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 visit. Payment will be approved for an office visit for care of injuries or abnormal conditions of the teeth or supporting structure when treatment procedures or examinations are not billed for that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Office calls after hours. Payment will be approved for office calls after office hours in emergency situations. The office call will be paid in addition to treatment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Drugs. Payment will be made for drugs dispensed by a dentist only if there is no licensed retail pharmacy in the community where the dentist’s office is located. If eligible to dispense drugs, the dentist should request a copy of the Prescribed Drugs Manual from the Iowa Medicaid enterprise provider services unit. Payment will not be made for the writing of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Anesthesia. General anesthesia, intravenous sedation, and nonintravenous conscious sedation are payable services when the extensiveness of the procedure indicates it or there is a concomitant disease or impairment which warrants use of anesthesia. Inhalation of nitrous oxide is payable when the age or physical or mental condition of the member necessitates the use of minimal sedation for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Occlusal guard. A removable dental appliance to minimize the effects of bruxism and other occlusal factors requires prior approval. Approval shall be granted when the documentation supports evidence of significant loss of tooth enamel, tooth chipping, headaches or jaw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78.4(10)</w:t>
      </w:r>
      <w:r>
        <w:rPr>
          <w:rFonts w:ascii="Times New Roman" w:hAnsi="Times New Roman"/>
          <w:b w:val="false"/>
          <w:i w:val="false"/>
          <w:color w:val="000000"/>
          <w:sz w:val="22"/>
        </w:rPr>
        <w:t> </w:t>
      </w:r>
      <w:r>
        <w:rPr>
          <w:rFonts w:ascii="Times New Roman" w:hAnsi="Times New Roman"/>
          <w:b w:val="false"/>
          <w:i/>
          <w:color w:val="000000"/>
          <w:sz w:val="22"/>
        </w:rPr>
        <w:t xml:space="preserve">Orthodontic services to members 21 years of age or older. </w:t>
      </w:r>
      <w:r>
        <w:rPr>
          <w:rFonts w:ascii="Times New Roman" w:hAnsi="Times New Roman"/>
          <w:b w:val="false"/>
          <w:i w:val="false"/>
          <w:color w:val="000000"/>
          <w:sz w:val="22"/>
        </w:rPr>
        <w:t>Orthodontic procedures are not covered for members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Payment shall be made for emergency services, as defined in and pursuant to the requirements set forth in 42 CFR 438.114, as amended to April 7, 2022.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Annual benefit maximum.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21 years of age or older have an annual benefit maximum of $1,000 per state fiscal year for coverage of dental services set forth in this rule. Payment for services exceeding the $1,000 annual benefit maximum is the responsibility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do not count toward the annual benefit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Preventive services as set forth in </w:t>
      </w:r>
      <w:hyperlink r:id="rId86">
        <w:r>
          <w:rPr>
            <w:rStyle w:val="Hyperlink"/>
            <w:rFonts w:ascii="Times New Roman" w:hAnsi="Times New Roman"/>
            <w:b w:val="false"/>
            <w:i w:val="false"/>
            <w:color w:val="000000"/>
            <w:sz w:val="22"/>
          </w:rPr>
          <w:t>subrule 78.4(1)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services as set forth in </w:t>
      </w:r>
      <w:hyperlink r:id="rId87">
        <w:r>
          <w:rPr>
            <w:rStyle w:val="Hyperlink"/>
            <w:rFonts w:ascii="Times New Roman" w:hAnsi="Times New Roman"/>
            <w:b w:val="false"/>
            <w:i w:val="false"/>
            <w:color w:val="000000"/>
            <w:sz w:val="22"/>
          </w:rPr>
          <w:t>subrule 78.4(2)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Fabrication of removable dentures and related services as set forth in </w:t>
      </w:r>
      <w:hyperlink r:id="rId88">
        <w:r>
          <w:rPr>
            <w:rStyle w:val="Hyperlink"/>
            <w:rFonts w:ascii="Times New Roman" w:hAnsi="Times New Roman"/>
            <w:b w:val="false"/>
            <w:i w:val="false"/>
            <w:color w:val="000000"/>
            <w:sz w:val="22"/>
          </w:rPr>
          <w:t>paragraphs 78.4(7)</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78.4(7)</w:t>
        </w:r>
      </w:hyperlink>
      <w:r>
        <w:rPr>
          <w:rFonts w:ascii="Times New Roman" w:hAnsi="Times New Roman"/>
          <w:b w:val="false"/>
          <w:i/>
          <w:color w:val="000000"/>
          <w:sz w:val="22"/>
        </w:rPr>
        <w:t>“f”</w:t>
      </w:r>
      <w:r>
        <w:rPr>
          <w:rFonts w:ascii="Times New Roman" w:hAnsi="Times New Roman"/>
          <w:b w:val="false"/>
          <w:i w:val="false"/>
          <w:color w:val="000000"/>
          <w:sz w:val="22"/>
        </w:rPr>
        <w:t xml:space="preserve"> to </w:t>
      </w:r>
      <w:r>
        <w:rPr>
          <w:rFonts w:ascii="Times New Roman" w:hAnsi="Times New Roman"/>
          <w:b w:val="false"/>
          <w:i/>
          <w:color w:val="000000"/>
          <w:sz w:val="22"/>
        </w:rPr>
        <w:t>“l”</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Anesthesia as set forth in </w:t>
      </w:r>
      <w:hyperlink r:id="rId90">
        <w:r>
          <w:rPr>
            <w:rStyle w:val="Hyperlink"/>
            <w:rFonts w:ascii="Times New Roman" w:hAnsi="Times New Roman"/>
            <w:b w:val="false"/>
            <w:i w:val="false"/>
            <w:color w:val="000000"/>
            <w:sz w:val="22"/>
          </w:rPr>
          <w:t>paragraph 78.4(9)</w:t>
        </w:r>
      </w:hyperlink>
      <w:r>
        <w:rPr>
          <w:rFonts w:ascii="Times New Roman" w:hAnsi="Times New Roman"/>
          <w:b w:val="false"/>
          <w:i/>
          <w:color w:val="000000"/>
          <w:sz w:val="22"/>
        </w:rPr>
        <w:t>“f,”</w:t>
      </w:r>
      <w:r>
        <w:rPr>
          <w:rFonts w:ascii="Times New Roman" w:hAnsi="Times New Roman"/>
          <w:b w:val="false"/>
          <w:i w:val="false"/>
          <w:color w:val="000000"/>
          <w:sz w:val="22"/>
        </w:rPr>
        <w:t xml:space="preserve"> when provided in conjunction with oral surgery codes approved for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services as set forth in </w:t>
      </w:r>
      <w:hyperlink r:id="rId91">
        <w:r>
          <w:rPr>
            <w:rStyle w:val="Hyperlink"/>
            <w:rFonts w:ascii="Times New Roman" w:hAnsi="Times New Roman"/>
            <w:b w:val="false"/>
            <w:i w:val="false"/>
            <w:color w:val="000000"/>
            <w:sz w:val="22"/>
          </w:rPr>
          <w:t>subrule 78.4(11)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9883B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0631C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6389C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w:t>
      </w:r>
      <w:r>
        <w:rPr>
          <w:rFonts w:ascii="Times New Roman" w:hAnsi="Times New Roman"/>
          <w:b/>
          <w:i w:val="false"/>
          <w:color w:val="000000"/>
          <w:sz w:val="22"/>
        </w:rPr>
        <w:t xml:space="preserve">(249A) </w:t>
      </w:r>
      <w:r>
        <w:rPr>
          <w:rFonts w:ascii="Times New Roman" w:hAnsi="Times New Roman"/>
          <w:b/>
          <w:i w:val="false"/>
          <w:color w:val="000000"/>
          <w:sz w:val="22"/>
        </w:rPr>
        <w:t xml:space="preserve">Podiatrists. </w:t>
      </w:r>
      <w:r>
        <w:rPr>
          <w:rFonts w:ascii="Times New Roman" w:hAnsi="Times New Roman"/>
          <w:b w:val="false"/>
          <w:i w:val="false"/>
          <w:color w:val="000000"/>
          <w:sz w:val="22"/>
        </w:rPr>
        <w:t>Payment will be approved only for certain podiatric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orthotic appliances and treatment of nail pathologies: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Durable plantar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Plaster impressions for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Molded digital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Shoe padding when appliances are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 molded space shoes for rheumatoid arthritis, congenital defects and deformities, neurotropic, diabetic and ischemic intractable ulcerations and deformities due to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Rams horn (hypertrophic) nails.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Onychomycosis (mycotic) 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the same scope of podiatric services available through Part B of Title XVIII (Medicare) except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flatfoot. The term “flatfoot” is defined as a condition in which one or more arches have flattened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of subluxations of the foot are defined as partial dislocations or displacements of joint surfaces, tendons, ligaments, or muscles of the foot. Surgical or nonsurgical treatments undertaken for the sole purpose of correcting a subluxated structure in the foot as an isolated entity are not covered.</w:t>
      </w:r>
    </w:p>
    <w:p>
      <w:pPr>
        <w:spacing w:before="0" w:after="0"/>
        <w:ind w:left="120"/>
        <w:jc w:val="both"/>
      </w:pPr>
      <w:r>
        <w:rPr>
          <w:rFonts w:ascii="Times New Roman" w:hAnsi="Times New Roman"/>
          <w:b w:val="false"/>
          <w:i w:val="false"/>
          <w:color w:val="000000"/>
          <w:sz w:val="22"/>
        </w:rPr>
        <w:t>Reasonable and necessary diagnosis of symptomatic conditions that result from or are associated with partial displacement of foot structures is a covered service. Surgical correction in the subluxated foot structure that is an integral part of the treatment of a foot injury or is undertaken to improve the function of the foot or to alleviate an induced or associated symptomatic condition is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Routine foot care. Routine foot care includes the cutting or removal of corns or callouses, the trimming of nails and other hygienic and preventive maintenance care in the realm of self-care such as cleaning and soaking the feet, the use of skin creams to maintain skin tone of both ambulatory and bedfast patients and any services performed in the absence of localized illness, injury, or symptoms involving the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Orthopedic shoes. Payment will not be made for orthopedic shoes or for any device to be worn in or attached to orthopedic shoes or other types of shoes when provided by the podiatrist. Payment will be made to the podiatrist for the examination including tests to establish the need for orthopedic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Prescriptions are required for drugs and supplies as specified in paragraph </w:t>
      </w:r>
      <w:hyperlink r:id="rId93">
        <w:r>
          <w:rPr>
            <w:rStyle w:val="Hyperlink"/>
            <w:rFonts w:ascii="Times New Roman" w:hAnsi="Times New Roman"/>
            <w:b w:val="false"/>
            <w:i w:val="false"/>
            <w:color w:val="000000"/>
            <w:sz w:val="22"/>
          </w:rPr>
          <w:t>78.1(2)</w:t>
        </w:r>
        <w:r>
          <w:rPr>
            <w:rFonts w:ascii="Times New Roman" w:hAnsi="Times New Roman"/>
            <w:b w:val="false"/>
            <w:i/>
            <w:color w:val="000000"/>
            <w:sz w:val="22"/>
          </w:rPr>
          <w:t>“c.”</w:t>
        </w:r>
      </w:hyperlink>
      <w:r>
        <w:rPr>
          <w:rFonts w:ascii="Times New Roman" w:hAnsi="Times New Roman"/>
          <w:b w:val="false"/>
          <w:i w:val="false"/>
          <w:color w:val="000000"/>
          <w:sz w:val="22"/>
        </w:rPr>
        <w:t xml:space="preserve"> Payment shall be made for drugs dispensed by a podiatrist only if there is no licensed retail pharmacy in the community where the podiatrist’s office is located. If eligible to dispense drugs, the podiatrist should request a copy of the Prescribed Drugs Manual from the Iowa Medicaid enterprise provider services unit. Payment will not be made for writing prescriptions.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441—78.6</w:t>
      </w:r>
      <w:r>
        <w:rPr>
          <w:rFonts w:ascii="Times New Roman" w:hAnsi="Times New Roman"/>
          <w:b/>
          <w:i w:val="false"/>
          <w:color w:val="000000"/>
          <w:sz w:val="22"/>
        </w:rPr>
        <w:t xml:space="preserve">(249A) </w:t>
      </w:r>
      <w:r>
        <w:rPr>
          <w:rFonts w:ascii="Times New Roman" w:hAnsi="Times New Roman"/>
          <w:b/>
          <w:i w:val="false"/>
          <w:color w:val="000000"/>
          <w:sz w:val="22"/>
        </w:rPr>
        <w:t xml:space="preserve">Optometrists. </w:t>
      </w:r>
      <w:r>
        <w:rPr>
          <w:rFonts w:ascii="Times New Roman" w:hAnsi="Times New Roman"/>
          <w:b w:val="false"/>
          <w:i w:val="false"/>
          <w:color w:val="000000"/>
          <w:sz w:val="22"/>
        </w:rPr>
        <w:t>Payment will be approved for medically necessary services and supplies provided by the optometrist within the scope of practice of optometry and the limitations of state law, subject to the following limitations and exclusions. Covered optometric services include a professional component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78.6(1)</w:t>
      </w:r>
      <w:r>
        <w:rPr>
          <w:rFonts w:ascii="Times New Roman" w:hAnsi="Times New Roman"/>
          <w:b w:val="false"/>
          <w:i w:val="false"/>
          <w:color w:val="000000"/>
          <w:sz w:val="22"/>
        </w:rPr>
        <w:t> </w:t>
      </w:r>
      <w:r>
        <w:rPr>
          <w:rFonts w:ascii="Times New Roman" w:hAnsi="Times New Roman"/>
          <w:b w:val="false"/>
          <w:i/>
          <w:color w:val="000000"/>
          <w:sz w:val="22"/>
        </w:rPr>
        <w:t xml:space="preserve">Payable professional services. </w:t>
      </w:r>
      <w:r>
        <w:rPr>
          <w:rFonts w:ascii="Times New Roman" w:hAnsi="Times New Roman"/>
          <w:b w:val="false"/>
          <w:i w:val="false"/>
          <w:color w:val="000000"/>
          <w:sz w:val="22"/>
        </w:rPr>
        <w:t>Payable professional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Eye examinations. The coverage of eye examinations depends on the purpose of the examination. Services are covered if the examination is the result of a complaint or symptom of an eye disease or injury. Routine eye examinations are covered once in a 12-month period. These services are rendered in the optometrist’s office or clinic, the home, a nursing facility, or other appropriate setting. Payment for mileage shall be subject to the same approval and payment criteria as those in effect for Medicare Part B. The following levels of service are recognized for optometric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Intermediate examination. A level of optometric or ophthalmological services pertaining to medical examination and evaluation, with initiation or continuation of a diagnostic and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examination. A level of optometric or ophthalmological services pertaining to medical examination and evaluation, with initiation or continuation of a diagnostic and treatment program, and a general evaluation of the complete visual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services. Payment will be approved for medically necessary services and supplies within the scope of practice of the optometrist, including services rendered in the optometrist’s office or clinic, the home, a nursing facility, or other appropriate setting. Payment for mileage shall be subject to the same approval and payment criteria as those in effect for Medicare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Auxiliary procedures. The following auxiliary procedures and special tests are payable when performed by an optometrist. Auxiliary procedures and special tests are reimbursed as a separate procedure only when warranted by case history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Serial tonometry. Single tonometry is part of the intermediate and comprehensive exams and is not payable as a separate procedure as is serial tonometry.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Gonioscopy.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Extended ophthalmoscopy. Routine ophthalmoscopy is part of the intermediate and comprehensive examination and is not payable as a separate procedure. Generally, extended ophthalmoscopy is considered to be part of the comprehensive examination and, if performed in conjunction with that level of service, is not payable as a separate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fields. Gross visual field testing is part of general optometric services and is not reported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External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Fundus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Retinal integrity evaluation with a three-mirror lens.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Single vision and multifocal spectacle lens service, verification and subsequent service. When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spectacle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Ordering of corrective lenses.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Verification of lenses after fabrication.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Adjustment and alignment of completed lens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spectacle lenses are subject to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Up to three times for children up to one year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Up to four times per year for children one through three years of 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Once every 12 months for children four through seven years of 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Once every 24 months after eight years of age when there is a change in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Spectacle lenses made from polycarbonate or equivalent material are allowed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with vision in only one eye.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Members with a diagnosis-related illness or disability where regular lenses would pose a safety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Frame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new frame is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Selection and styling.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Sizing and measurements.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Fitting and adjustment.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Readjustment and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frames are subject to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frame every six months is allowed for children through three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One frame every 12 months is allowed for children four through seven years of 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there is a covered lens change and the new lenses cannot be accommodated by the current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Safety frames are allowed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with a diagnosis-related disability or illness where regular frames would pose a safety risk or result in frequent breakage.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Repairs or replacement of frames, lenses or component parts. Payment shall be made for service in addition to materials. The service fee shall not exceed the dispensing fee for a replacement frame. Payment shall be made for replacement of glasses when the original glasses have been lost or damaged beyond repair. Replacement of lost or damaged glasses is limited to one pair of frames and two lenses once every 12 months for adults aged 21 and over, except for people with a mental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Contact lenses. Payment shall be made for documented keratoconus, aphakia, high myopia, anisometropia, trauma, severe ocular surface disease, irregular astigmatism, for treatment of acute or chronic eye disease, or when the member’s vision cannot be adequately corrected with spectacle lenses. Contact lenses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16 gas permeable contact lenses are allowed for children up to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8 gas permeable contact lenses are allowed every 12 months for children one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 to 6 gas permeable contact lenses are allowed every 12 months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gas permeable contact lenses are allowed every 24 months for members eight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Soft contact lenses and replacements are allowed when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78.6(2)</w:t>
      </w:r>
      <w:r>
        <w:rPr>
          <w:rFonts w:ascii="Times New Roman" w:hAnsi="Times New Roman"/>
          <w:b w:val="false"/>
          <w:i w:val="false"/>
          <w:color w:val="000000"/>
          <w:sz w:val="22"/>
        </w:rPr>
        <w:t> </w:t>
      </w:r>
      <w:r>
        <w:rPr>
          <w:rFonts w:ascii="Times New Roman" w:hAnsi="Times New Roman"/>
          <w:b w:val="false"/>
          <w:i/>
          <w:color w:val="000000"/>
          <w:sz w:val="22"/>
        </w:rPr>
        <w:t xml:space="preserve">Ophthalmic materials. </w:t>
      </w:r>
      <w:r>
        <w:rPr>
          <w:rFonts w:ascii="Times New Roman" w:hAnsi="Times New Roman"/>
          <w:b w:val="false"/>
          <w:i w:val="false"/>
          <w:color w:val="000000"/>
          <w:sz w:val="22"/>
        </w:rPr>
        <w:t>Ophthalmic materials which are provided in connection with any of the foregoing professional optometric services shall provide adequate vision as determined by the optometrist and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Corrected curve lenses, unless clinically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plastic, plastic and metal combination, or metal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standards according to the American National Standards Institute (ANSI) standards and tolerance.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78.6(3)</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The reimbursement for allowed ophthalmic material is subject to a fee schedule established by the department or to actual laboratory cost as evidenced by an attached invoice. Reimbursement for rose tint is included in the fee for the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Materials payable by fee schedule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Spectacle lenses, single vision and multifocal.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Case for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payable at actual laboratory cost as evidenced by an attached invoice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Schroeder 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Ptosis crutch.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Safety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Subnormal visual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Photochromatic lenses.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78.6(4)</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w:t>
      </w:r>
      <w:r>
        <w:rPr>
          <w:rFonts w:ascii="Times New Roman" w:hAnsi="Times New Roman"/>
          <w:b w:val="false"/>
          <w:i w:val="false"/>
          <w:color w:val="000000"/>
          <w:sz w:val="22"/>
        </w:rPr>
        <w:t>Prior authorization is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Approval shall be given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shall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at or better than 20/100 at 16 inches, 2M print. Prior authorization is not required if near visual acuity as described above is less than 20/100. Subnormal visual aids include, but are not limited to, hand magnifiers, loupes, telescopic spectacles, or reverse Galilean telescope systems. Payment shall be actual laboratory cost as evidenced by an attached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for photochromatic tint shall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Approval for press-on prisms shall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xml:space="preserve">(Cross reference </w:t>
      </w:r>
      <w:hyperlink r:id="rId95">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78.6(5)</w:t>
      </w:r>
      <w:r>
        <w:rPr>
          <w:rFonts w:ascii="Times New Roman" w:hAnsi="Times New Roman"/>
          <w:b w:val="false"/>
          <w:i w:val="false"/>
          <w:color w:val="000000"/>
          <w:sz w:val="22"/>
        </w:rPr>
        <w:t> </w:t>
      </w:r>
      <w:r>
        <w:rPr>
          <w:rFonts w:ascii="Times New Roman" w:hAnsi="Times New Roman"/>
          <w:b w:val="false"/>
          <w:i/>
          <w:color w:val="000000"/>
          <w:sz w:val="22"/>
        </w:rPr>
        <w:t xml:space="preserve">Noncovered services. </w:t>
      </w:r>
      <w:r>
        <w:rPr>
          <w:rFonts w:ascii="Times New Roman" w:hAnsi="Times New Roman"/>
          <w:b w:val="false"/>
          <w:i w:val="false"/>
          <w:color w:val="000000"/>
          <w:sz w:val="22"/>
        </w:rPr>
        <w:t>Noncovered services include, but are not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Glasses with cosmetic gradient tint lenses or other eyewear for cosmetic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Glasses for occupational eye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second pair of glasses or spare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Cosmetic surgery and experimental medical and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Sunglasses.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Progressive bifocal or trifocal lenses.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441—78.7</w:t>
      </w:r>
      <w:r>
        <w:rPr>
          <w:rFonts w:ascii="Times New Roman" w:hAnsi="Times New Roman"/>
          <w:b/>
          <w:i w:val="false"/>
          <w:color w:val="000000"/>
          <w:sz w:val="22"/>
        </w:rPr>
        <w:t xml:space="preserve">(249A) </w:t>
      </w:r>
      <w:r>
        <w:rPr>
          <w:rFonts w:ascii="Times New Roman" w:hAnsi="Times New Roman"/>
          <w:b/>
          <w:i w:val="false"/>
          <w:color w:val="000000"/>
          <w:sz w:val="22"/>
        </w:rPr>
        <w:t xml:space="preserve">Opticians. </w:t>
      </w:r>
      <w:r>
        <w:rPr>
          <w:rFonts w:ascii="Times New Roman" w:hAnsi="Times New Roman"/>
          <w:b w:val="false"/>
          <w:i w:val="false"/>
          <w:color w:val="000000"/>
          <w:sz w:val="22"/>
        </w:rPr>
        <w:t xml:space="preserve">Payment will be approved only for certain services and supplies provided by opticians when prescribed by a physician (MD or DO) or an optometrist. Payment and procedure for obtaining services and supplies shall be the same as described in rule </w:t>
      </w:r>
      <w:hyperlink r:id="rId97">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 xml:space="preserve">(249A). (Cross reference </w:t>
      </w:r>
      <w:hyperlink r:id="rId98">
        <w:r>
          <w:rPr>
            <w:rStyle w:val="Hyperlink"/>
            <w:rFonts w:ascii="Times New Roman" w:hAnsi="Times New Roman"/>
            <w:b w:val="false"/>
            <w:i w:val="false"/>
            <w:color w:val="000000"/>
            <w:sz w:val="22"/>
          </w:rPr>
          <w:t>78.28(4)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441—78.8</w:t>
      </w:r>
      <w:r>
        <w:rPr>
          <w:rFonts w:ascii="Times New Roman" w:hAnsi="Times New Roman"/>
          <w:b/>
          <w:i w:val="false"/>
          <w:color w:val="000000"/>
          <w:sz w:val="22"/>
        </w:rPr>
        <w:t xml:space="preserve">(249A) </w:t>
      </w:r>
      <w:r>
        <w:rPr>
          <w:rFonts w:ascii="Times New Roman" w:hAnsi="Times New Roman"/>
          <w:b/>
          <w:i w:val="false"/>
          <w:color w:val="000000"/>
          <w:sz w:val="22"/>
        </w:rPr>
        <w:t xml:space="preserve">Chiropractors. </w:t>
      </w:r>
      <w:r>
        <w:rPr>
          <w:rFonts w:ascii="Times New Roman" w:hAnsi="Times New Roman"/>
          <w:b w:val="false"/>
          <w:i w:val="false"/>
          <w:color w:val="000000"/>
          <w:sz w:val="22"/>
        </w:rPr>
        <w:t xml:space="preserve">Payment will be made for the same chiropractic procedures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Chiropractic manipulative therapy (CMT) eligible for reimbursement is specifically limited by Medicaid to the manual manipulation (i.e., by use of the hands) of the spine for the purpose of correcting a subluxation demonstrated by X-ray. Subluxation means an incomplete dislocation, off-centering, misalignment, fixation, or abnormal spacing of the vertebrae.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78.8(2)</w:t>
      </w:r>
      <w:r>
        <w:rPr>
          <w:rFonts w:ascii="Times New Roman" w:hAnsi="Times New Roman"/>
          <w:b w:val="false"/>
          <w:i w:val="false"/>
          <w:color w:val="000000"/>
          <w:sz w:val="22"/>
        </w:rPr>
        <w:t> </w:t>
      </w:r>
      <w:r>
        <w:rPr>
          <w:rFonts w:ascii="Times New Roman" w:hAnsi="Times New Roman"/>
          <w:b w:val="false"/>
          <w:i/>
          <w:color w:val="000000"/>
          <w:sz w:val="22"/>
        </w:rPr>
        <w:t xml:space="preserve">Indications and limitations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subluxation must have resulted in a neuromusculoskeletal condition set forth in the table below for which CMT is appropriate treatment. The symptoms must be directly related to the subluxation that has been diagnosed. The mere statement or diagnosis of “pain” is not sufficient to support the medical necessity of CMT. CMT must have a direct therapeutic relationship to the patient’s condition. No other diagnostic or therapeutic service furnished by a chiropractor is covered under the Medicaid program.</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48"/>
        <w:gridCol w:w="2592"/>
        <w:gridCol w:w="1267"/>
        <w:gridCol w:w="2592"/>
        <w:gridCol w:w="1248"/>
        <w:gridCol w:w="2592"/>
      </w:tblGrid>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II</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ICD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7"/>
              </w:rPr>
              <w:t>CATEGORY III</w:t>
            </w:r>
          </w:p>
        </w:tc>
      </w:tr>
      <w:tr>
        <w:trPr>
          <w:trHeight w:val="15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G44.1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Vascular headache NEC*</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G54.0-</w:t>
            </w:r>
            <w:r>
              <w:br/>
            </w:r>
            <w:r>
              <w:rPr>
                <w:rFonts w:ascii="Times New Roman" w:hAnsi="Times New Roman"/>
                <w:b w:val="false"/>
                <w:i w:val="false"/>
                <w:color w:val="000000"/>
                <w:sz w:val="17"/>
              </w:rPr>
              <w:t>G54.4</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disorders, brachial plexus disorders, lumbosacral plexus disorders, cervical root disorders NEC, thoracic root disorders NEC, lumbosacral root disorders NEC</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M48.30-</w:t>
            </w:r>
            <w:r>
              <w:br/>
            </w:r>
            <w:r>
              <w:rPr>
                <w:rFonts w:ascii="Times New Roman" w:hAnsi="Times New Roman"/>
                <w:b w:val="false"/>
                <w:i w:val="false"/>
                <w:color w:val="000000"/>
                <w:sz w:val="17"/>
              </w:rPr>
              <w:t>M48.33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site unspecified, occipito-atlanto-axial region, cervical region, cervicothoracic region</w:t>
            </w:r>
          </w:p>
        </w:tc>
      </w:tr>
      <w:tr>
        <w:trPr>
          <w:trHeight w:val="109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G44.209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Tension headache, unspecified, not intractable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nerve root and plexus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M48.35-</w:t>
            </w:r>
            <w:r>
              <w:br/>
            </w:r>
            <w:r>
              <w:rPr>
                <w:rFonts w:ascii="Times New Roman" w:hAnsi="Times New Roman"/>
                <w:b w:val="false"/>
                <w:i w:val="false"/>
                <w:color w:val="000000"/>
                <w:sz w:val="17"/>
              </w:rPr>
              <w:t>M48.38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thoracolumbar region, lumbar region, lumbosacral region, sacral and sacrococcygeal region</w:t>
            </w:r>
          </w:p>
        </w:tc>
      </w:tr>
      <w:tr>
        <w:trPr>
          <w:trHeight w:val="195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M47.21-</w:t>
            </w:r>
            <w:r>
              <w:br/>
            </w:r>
            <w:r>
              <w:rPr>
                <w:rFonts w:ascii="Times New Roman" w:hAnsi="Times New Roman"/>
                <w:b w:val="false"/>
                <w:i w:val="false"/>
                <w:color w:val="000000"/>
                <w:sz w:val="17"/>
              </w:rPr>
              <w:t>M47.28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spondylosis with radiculopathy,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G54.9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M50.20-</w:t>
            </w:r>
            <w:r>
              <w:br/>
            </w:r>
            <w:r>
              <w:rPr>
                <w:rFonts w:ascii="Times New Roman" w:hAnsi="Times New Roman"/>
                <w:b w:val="false"/>
                <w:i w:val="false"/>
                <w:color w:val="000000"/>
                <w:sz w:val="17"/>
              </w:rPr>
              <w:t>M50.23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displacement</w:t>
            </w:r>
          </w:p>
        </w:tc>
      </w:tr>
      <w:tr>
        <w:trPr>
          <w:trHeight w:val="214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M47.811-</w:t>
            </w:r>
            <w:r>
              <w:br/>
            </w:r>
            <w:r>
              <w:rPr>
                <w:rFonts w:ascii="Times New Roman" w:hAnsi="Times New Roman"/>
                <w:b w:val="false"/>
                <w:i w:val="false"/>
                <w:color w:val="000000"/>
                <w:sz w:val="17"/>
              </w:rPr>
              <w:t xml:space="preserve">M47.818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Spondylosis without myelopathy or radiculopathy,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G55</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Nerve root and plexus compressions in diseases classified elsewhere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M50.30-</w:t>
            </w:r>
            <w:r>
              <w:br/>
            </w:r>
            <w:r>
              <w:rPr>
                <w:rFonts w:ascii="Times New Roman" w:hAnsi="Times New Roman"/>
                <w:b w:val="false"/>
                <w:i w:val="false"/>
                <w:color w:val="000000"/>
                <w:sz w:val="17"/>
              </w:rPr>
              <w:t xml:space="preserve">M50.33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degeneration</w:t>
            </w:r>
          </w:p>
        </w:tc>
      </w:tr>
      <w:tr>
        <w:trPr>
          <w:trHeight w:val="175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M47.891-</w:t>
            </w:r>
            <w:r>
              <w:br/>
            </w:r>
            <w:r>
              <w:rPr>
                <w:rFonts w:ascii="Times New Roman" w:hAnsi="Times New Roman"/>
                <w:b w:val="false"/>
                <w:i w:val="false"/>
                <w:color w:val="000000"/>
                <w:sz w:val="17"/>
              </w:rPr>
              <w:t xml:space="preserve">M47.898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spondylosis, occipito-atlanto-axial region, cervical region, cervicothoracic region, thoracic region, thoracolumbar region, lumbar region, lumbosacral region, sacral and sacrococcygeal region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M43.00-</w:t>
            </w:r>
            <w:r>
              <w:br/>
            </w:r>
            <w:r>
              <w:rPr>
                <w:rFonts w:ascii="Times New Roman" w:hAnsi="Times New Roman"/>
                <w:b w:val="false"/>
                <w:i w:val="false"/>
                <w:color w:val="000000"/>
                <w:sz w:val="17"/>
              </w:rPr>
              <w:t>M43.28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Spondylolysis; spondylolisthesis; fusion of spine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M51.24-</w:t>
            </w:r>
            <w:r>
              <w:br/>
            </w:r>
            <w:r>
              <w:rPr>
                <w:rFonts w:ascii="Times New Roman" w:hAnsi="Times New Roman"/>
                <w:b w:val="false"/>
                <w:i w:val="false"/>
                <w:color w:val="000000"/>
                <w:sz w:val="17"/>
              </w:rPr>
              <w:t xml:space="preserve">M51.27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displacement</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Cervicalgia</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M43.6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Torticollis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M51.34-</w:t>
            </w:r>
            <w:r>
              <w:br/>
            </w:r>
            <w:r>
              <w:rPr>
                <w:rFonts w:ascii="Times New Roman" w:hAnsi="Times New Roman"/>
                <w:b w:val="false"/>
                <w:i w:val="false"/>
                <w:color w:val="000000"/>
                <w:sz w:val="17"/>
              </w:rPr>
              <w:t>M51.37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degeneration</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M54.5</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Low back pain</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M46.00-</w:t>
            </w:r>
            <w:r>
              <w:br/>
            </w:r>
            <w:r>
              <w:rPr>
                <w:rFonts w:ascii="Times New Roman" w:hAnsi="Times New Roman"/>
                <w:b w:val="false"/>
                <w:i w:val="false"/>
                <w:color w:val="000000"/>
                <w:sz w:val="17"/>
              </w:rPr>
              <w:t>M46.09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enthesopathy</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M54.30-</w:t>
            </w:r>
            <w:r>
              <w:br/>
            </w:r>
            <w:r>
              <w:rPr>
                <w:rFonts w:ascii="Times New Roman" w:hAnsi="Times New Roman"/>
                <w:b w:val="false"/>
                <w:i w:val="false"/>
                <w:color w:val="000000"/>
                <w:sz w:val="17"/>
              </w:rPr>
              <w:t>M54.32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Sciatica</w:t>
            </w:r>
          </w:p>
        </w:tc>
      </w:tr>
      <w:tr>
        <w:trPr>
          <w:trHeight w:val="15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M54.6</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Pain in the thoracic spine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M46.41-</w:t>
            </w:r>
            <w:r>
              <w:br/>
            </w:r>
            <w:r>
              <w:rPr>
                <w:rFonts w:ascii="Times New Roman" w:hAnsi="Times New Roman"/>
                <w:b w:val="false"/>
                <w:i w:val="false"/>
                <w:color w:val="000000"/>
                <w:sz w:val="17"/>
              </w:rPr>
              <w:t>M46.47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Discitis, unspecified, occipito-atlanto-axial region, cervical region, cervicothoracic region, thoracic region, thoracolumbar region, lumbar region, lumbosacral region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M54.40-</w:t>
            </w:r>
            <w:r>
              <w:br/>
            </w:r>
            <w:r>
              <w:rPr>
                <w:rFonts w:ascii="Times New Roman" w:hAnsi="Times New Roman"/>
                <w:b w:val="false"/>
                <w:i w:val="false"/>
                <w:color w:val="000000"/>
                <w:sz w:val="17"/>
              </w:rPr>
              <w:t>M54.42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Lumbago with sciatica</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M54.81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Occipital neuralgia</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M48.00-</w:t>
            </w:r>
            <w:r>
              <w:br/>
            </w:r>
            <w:r>
              <w:rPr>
                <w:rFonts w:ascii="Times New Roman" w:hAnsi="Times New Roman"/>
                <w:b w:val="false"/>
                <w:i w:val="false"/>
                <w:color w:val="000000"/>
                <w:sz w:val="17"/>
              </w:rPr>
              <w:t>M48.08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stenosis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M96.1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Postlaminectomy syndrome, NEC</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M54.89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Other dorsalgia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M48.34</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Traumatic spondylopathy, thoracic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Dorsalgia, unspecified</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M50.10-</w:t>
            </w:r>
            <w:r>
              <w:br/>
            </w:r>
            <w:r>
              <w:rPr>
                <w:rFonts w:ascii="Times New Roman" w:hAnsi="Times New Roman"/>
                <w:b w:val="false"/>
                <w:i w:val="false"/>
                <w:color w:val="000000"/>
                <w:sz w:val="17"/>
              </w:rPr>
              <w:t>M50.13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Cervical disc disorder with radiculopathy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R51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Headache</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M50.80-</w:t>
            </w:r>
            <w:r>
              <w:br/>
            </w:r>
            <w:r>
              <w:rPr>
                <w:rFonts w:ascii="Times New Roman" w:hAnsi="Times New Roman"/>
                <w:b w:val="false"/>
                <w:i w:val="false"/>
                <w:color w:val="000000"/>
                <w:sz w:val="17"/>
              </w:rPr>
              <w:t>M50.83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cervical disc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M50.90-</w:t>
            </w:r>
            <w:r>
              <w:br/>
            </w:r>
            <w:r>
              <w:rPr>
                <w:rFonts w:ascii="Times New Roman" w:hAnsi="Times New Roman"/>
                <w:b w:val="false"/>
                <w:i w:val="false"/>
                <w:color w:val="000000"/>
                <w:sz w:val="17"/>
              </w:rPr>
              <w:t>M50.93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Cervical disc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M51.14-</w:t>
            </w:r>
            <w:r>
              <w:br/>
            </w:r>
            <w:r>
              <w:rPr>
                <w:rFonts w:ascii="Times New Roman" w:hAnsi="Times New Roman"/>
                <w:b w:val="false"/>
                <w:i w:val="false"/>
                <w:color w:val="000000"/>
                <w:sz w:val="17"/>
              </w:rPr>
              <w:t>M51.17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Intervertebral disc disorders with radiculopathy, thoracic region, thoracolumbar region, lumbar region, lumbosacral region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M51.84-</w:t>
            </w:r>
            <w:r>
              <w:br/>
            </w:r>
            <w:r>
              <w:rPr>
                <w:rFonts w:ascii="Times New Roman" w:hAnsi="Times New Roman"/>
                <w:b w:val="false"/>
                <w:i w:val="false"/>
                <w:color w:val="000000"/>
                <w:sz w:val="17"/>
              </w:rPr>
              <w:t>M51.87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thoracic, thoracolumbar and lumbosacral intervertebral disc disorders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Cervicocranial syndrome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Cervicobrachial syndrome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M53.2X1-</w:t>
            </w:r>
            <w:r>
              <w:br/>
            </w:r>
            <w:r>
              <w:rPr>
                <w:rFonts w:ascii="Times New Roman" w:hAnsi="Times New Roman"/>
                <w:b w:val="false"/>
                <w:i w:val="false"/>
                <w:color w:val="000000"/>
                <w:sz w:val="17"/>
              </w:rPr>
              <w:t>M53.2X9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Spinal instabilities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M53.3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Sacrococcygeal disorders NEC</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61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M53.80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specified dorsopathies, site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M53.84-</w:t>
            </w:r>
            <w:r>
              <w:br/>
            </w:r>
            <w:r>
              <w:rPr>
                <w:rFonts w:ascii="Times New Roman" w:hAnsi="Times New Roman"/>
                <w:b w:val="false"/>
                <w:i w:val="false"/>
                <w:color w:val="000000"/>
                <w:sz w:val="17"/>
              </w:rPr>
              <w:t>M53.88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specified dorsopathies, thoracic region, thoracolumbar region, lumbar region, lumbosacral region, sacral and sacrococcygeal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M53.9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Dorsopathy,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M54.10-</w:t>
            </w:r>
            <w:r>
              <w:br/>
            </w:r>
            <w:r>
              <w:rPr>
                <w:rFonts w:ascii="Times New Roman" w:hAnsi="Times New Roman"/>
                <w:b w:val="false"/>
                <w:i w:val="false"/>
                <w:color w:val="000000"/>
                <w:sz w:val="17"/>
              </w:rPr>
              <w:t>M54.18</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Radiculopathy</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M60.80</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site</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M60.811,</w:t>
            </w:r>
            <w:r>
              <w:br/>
            </w:r>
            <w:r>
              <w:rPr>
                <w:rFonts w:ascii="Times New Roman" w:hAnsi="Times New Roman"/>
                <w:b w:val="false"/>
                <w:i w:val="false"/>
                <w:color w:val="000000"/>
                <w:sz w:val="17"/>
              </w:rPr>
              <w:t xml:space="preserve">M60.812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shoulder,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M60.819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shoulder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M60.821,</w:t>
            </w:r>
            <w:r>
              <w:br/>
            </w:r>
            <w:r>
              <w:rPr>
                <w:rFonts w:ascii="Times New Roman" w:hAnsi="Times New Roman"/>
                <w:b w:val="false"/>
                <w:i w:val="false"/>
                <w:color w:val="000000"/>
                <w:sz w:val="17"/>
              </w:rPr>
              <w:t xml:space="preserve">M60.822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upper arm,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M60.829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upper arm</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M60.831,</w:t>
            </w:r>
            <w:r>
              <w:br/>
            </w:r>
            <w:r>
              <w:rPr>
                <w:rFonts w:ascii="Times New Roman" w:hAnsi="Times New Roman"/>
                <w:b w:val="false"/>
                <w:i w:val="false"/>
                <w:color w:val="000000"/>
                <w:sz w:val="17"/>
              </w:rPr>
              <w:t xml:space="preserve">M60.832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forearm,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M60.839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forearm</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M60.841,</w:t>
            </w:r>
            <w:r>
              <w:br/>
            </w:r>
            <w:r>
              <w:rPr>
                <w:rFonts w:ascii="Times New Roman" w:hAnsi="Times New Roman"/>
                <w:b w:val="false"/>
                <w:i w:val="false"/>
                <w:color w:val="000000"/>
                <w:sz w:val="17"/>
              </w:rPr>
              <w:t xml:space="preserve">M60.842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hand,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M60.849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hand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M60.851,</w:t>
            </w:r>
            <w:r>
              <w:br/>
            </w:r>
            <w:r>
              <w:rPr>
                <w:rFonts w:ascii="Times New Roman" w:hAnsi="Times New Roman"/>
                <w:b w:val="false"/>
                <w:i w:val="false"/>
                <w:color w:val="000000"/>
                <w:sz w:val="17"/>
              </w:rPr>
              <w:t xml:space="preserve">M60.852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thigh,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M60.859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thigh</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M60.861,</w:t>
            </w:r>
            <w:r>
              <w:br/>
            </w:r>
            <w:r>
              <w:rPr>
                <w:rFonts w:ascii="Times New Roman" w:hAnsi="Times New Roman"/>
                <w:b w:val="false"/>
                <w:i w:val="false"/>
                <w:color w:val="000000"/>
                <w:sz w:val="17"/>
              </w:rPr>
              <w:t xml:space="preserve">M60.862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lower leg,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M60.869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lower leg</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M60.871,</w:t>
            </w:r>
            <w:r>
              <w:br/>
            </w:r>
            <w:r>
              <w:rPr>
                <w:rFonts w:ascii="Times New Roman" w:hAnsi="Times New Roman"/>
                <w:b w:val="false"/>
                <w:i w:val="false"/>
                <w:color w:val="000000"/>
                <w:sz w:val="17"/>
              </w:rPr>
              <w:t xml:space="preserve">M60.872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ankle and foot, right, left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M60.879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unspecified ankle and foot</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M60.88,</w:t>
            </w:r>
            <w:r>
              <w:br/>
            </w:r>
            <w:r>
              <w:rPr>
                <w:rFonts w:ascii="Times New Roman" w:hAnsi="Times New Roman"/>
                <w:b w:val="false"/>
                <w:i w:val="false"/>
                <w:color w:val="000000"/>
                <w:sz w:val="17"/>
              </w:rPr>
              <w:t>M60.89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myositis, other site, multiple sites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M60.9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Myositis,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M62.830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Muscle spasm of back</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M72.9</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Fibroblastic disorder,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37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M79.1</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Myalgia</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M79.2</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Neuralgia and neuritis, unspecified</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M79.7</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Fibromyalgia</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M99.20-</w:t>
            </w:r>
            <w:r>
              <w:br/>
            </w:r>
            <w:r>
              <w:rPr>
                <w:rFonts w:ascii="Times New Roman" w:hAnsi="Times New Roman"/>
                <w:b w:val="false"/>
                <w:i w:val="false"/>
                <w:color w:val="000000"/>
                <w:sz w:val="17"/>
              </w:rPr>
              <w:t>M99.23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Subluxation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M99.30-</w:t>
            </w:r>
            <w:r>
              <w:br/>
            </w:r>
            <w:r>
              <w:rPr>
                <w:rFonts w:ascii="Times New Roman" w:hAnsi="Times New Roman"/>
                <w:b w:val="false"/>
                <w:i w:val="false"/>
                <w:color w:val="000000"/>
                <w:sz w:val="17"/>
              </w:rPr>
              <w:t>M99.33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Osseous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M99.40-</w:t>
            </w:r>
            <w:r>
              <w:br/>
            </w:r>
            <w:r>
              <w:rPr>
                <w:rFonts w:ascii="Times New Roman" w:hAnsi="Times New Roman"/>
                <w:b w:val="false"/>
                <w:i w:val="false"/>
                <w:color w:val="000000"/>
                <w:sz w:val="17"/>
              </w:rPr>
              <w:t>M99.43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Connective tissue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M99.50-</w:t>
            </w:r>
            <w:r>
              <w:br/>
            </w:r>
            <w:r>
              <w:rPr>
                <w:rFonts w:ascii="Times New Roman" w:hAnsi="Times New Roman"/>
                <w:b w:val="false"/>
                <w:i w:val="false"/>
                <w:color w:val="000000"/>
                <w:sz w:val="17"/>
              </w:rPr>
              <w:t>M99.53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Intervertebral disc stenosis of neural canal,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00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M99.60-</w:t>
            </w:r>
            <w:r>
              <w:br/>
            </w:r>
            <w:r>
              <w:rPr>
                <w:rFonts w:ascii="Times New Roman" w:hAnsi="Times New Roman"/>
                <w:b w:val="false"/>
                <w:i w:val="false"/>
                <w:color w:val="000000"/>
                <w:sz w:val="17"/>
              </w:rPr>
              <w:t>M99.63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Osseous and subluxation stenosis of intervertebral foramina,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118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M99.70-</w:t>
            </w:r>
            <w:r>
              <w:br/>
            </w:r>
            <w:r>
              <w:rPr>
                <w:rFonts w:ascii="Times New Roman" w:hAnsi="Times New Roman"/>
                <w:b w:val="false"/>
                <w:i w:val="false"/>
                <w:color w:val="000000"/>
                <w:sz w:val="17"/>
              </w:rPr>
              <w:t>M99.73</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Connective tissue and disc stenosis of intervertebral foramina, head region, cervical region, thoracic region, lumbar region</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Q76.2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Congenital spondylolisthesis</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S13.4XXA,</w:t>
            </w:r>
            <w:r>
              <w:br/>
            </w:r>
            <w:r>
              <w:rPr>
                <w:rFonts w:ascii="Times New Roman" w:hAnsi="Times New Roman"/>
                <w:b w:val="false"/>
                <w:i w:val="false"/>
                <w:color w:val="000000"/>
                <w:sz w:val="17"/>
              </w:rPr>
              <w:t>S13.4XXD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cervical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S13.8XXA,</w:t>
            </w:r>
            <w:r>
              <w:br/>
            </w:r>
            <w:r>
              <w:rPr>
                <w:rFonts w:ascii="Times New Roman" w:hAnsi="Times New Roman"/>
                <w:b w:val="false"/>
                <w:i w:val="false"/>
                <w:color w:val="000000"/>
                <w:sz w:val="17"/>
              </w:rPr>
              <w:t>S13.8XXD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joints and ligaments of other parts of neck,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S16.1XXA,</w:t>
            </w:r>
            <w:r>
              <w:br/>
            </w:r>
            <w:r>
              <w:rPr>
                <w:rFonts w:ascii="Times New Roman" w:hAnsi="Times New Roman"/>
                <w:b w:val="false"/>
                <w:i w:val="false"/>
                <w:color w:val="000000"/>
                <w:sz w:val="17"/>
              </w:rPr>
              <w:t>S16.1XXD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Strain of muscle, fascia and tendon at neck level, initial encounter, subsequent encounter </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S23.3XXA,</w:t>
            </w:r>
            <w:r>
              <w:br/>
            </w:r>
            <w:r>
              <w:rPr>
                <w:rFonts w:ascii="Times New Roman" w:hAnsi="Times New Roman"/>
                <w:b w:val="false"/>
                <w:i w:val="false"/>
                <w:color w:val="000000"/>
                <w:sz w:val="17"/>
              </w:rPr>
              <w:t>S23.3XXD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thoracic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S23.8XXA,</w:t>
            </w:r>
            <w:r>
              <w:br/>
            </w:r>
            <w:r>
              <w:rPr>
                <w:rFonts w:ascii="Times New Roman" w:hAnsi="Times New Roman"/>
                <w:b w:val="false"/>
                <w:i w:val="false"/>
                <w:color w:val="000000"/>
                <w:sz w:val="17"/>
              </w:rPr>
              <w:t>S23.8XXD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other specified parts of thorax,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810" w:hRule="atLeast"/>
        </w:trPr>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S33.5XXA,</w:t>
            </w:r>
            <w:r>
              <w:br/>
            </w:r>
            <w:r>
              <w:rPr>
                <w:rFonts w:ascii="Times New Roman" w:hAnsi="Times New Roman"/>
                <w:b w:val="false"/>
                <w:i w:val="false"/>
                <w:color w:val="000000"/>
                <w:sz w:val="17"/>
              </w:rPr>
              <w:t>S33.5XXD</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ligaments of lumbar spine, initial encounter, subsequent encounter</w:t>
            </w:r>
          </w:p>
        </w:tc>
        <w:tc>
          <w:tcPr>
            <w:tcW w:w="12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615" w:hRule="atLeast"/>
        </w:trPr>
        <w:tc>
          <w:tcPr>
            <w:tcW w:w="12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S33.6XXA,</w:t>
            </w:r>
            <w:r>
              <w:br/>
            </w:r>
            <w:r>
              <w:rPr>
                <w:rFonts w:ascii="Times New Roman" w:hAnsi="Times New Roman"/>
                <w:b w:val="false"/>
                <w:i w:val="false"/>
                <w:color w:val="000000"/>
                <w:sz w:val="17"/>
              </w:rPr>
              <w:t>S33.6XXD</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Sprain of sacroiliac joint, initial encounter, subsequent encounter</w:t>
            </w:r>
          </w:p>
        </w:tc>
        <w:tc>
          <w:tcPr>
            <w:tcW w:w="12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5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bl>
    <w:p>
      <w:pPr>
        <w:spacing w:before="0" w:after="0"/>
        <w:ind w:left="120"/>
        <w:jc w:val="both"/>
      </w:pPr>
      <w:r>
        <w:rPr>
          <w:rFonts w:ascii="Times New Roman" w:hAnsi="Times New Roman"/>
          <w:b w:val="false"/>
          <w:i w:val="false"/>
          <w:color w:val="000000"/>
          <w:sz w:val="16"/>
        </w:rPr>
        <w:t>* NEC means not elsewhere classified.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neuromusculoskeletal conditions listed in the table in paragraph </w:t>
      </w:r>
      <w:r>
        <w:rPr>
          <w:rFonts w:ascii="Times New Roman" w:hAnsi="Times New Roman"/>
          <w:b w:val="false"/>
          <w:i/>
          <w:color w:val="000000"/>
          <w:sz w:val="22"/>
        </w:rPr>
        <w:t>“a”</w:t>
      </w:r>
      <w:r>
        <w:rPr>
          <w:rFonts w:ascii="Times New Roman" w:hAnsi="Times New Roman"/>
          <w:b w:val="false"/>
          <w:i w:val="false"/>
          <w:color w:val="000000"/>
          <w:sz w:val="22"/>
        </w:rPr>
        <w:t xml:space="preserve"> generally require short-, moderate-, or long-term CMT. A diagnosis or combination of diagnoses within Category I generally requires short-term CMT of 12 per 12-month period. A diagnosis or combination of diagnoses within Category II generally requires moderate-term CMT of 18 per 12-month period. A diagnosis or combination of diagnoses within Category III generally requires long-term CMT of 24 per 12-month period. For diagnostic combinations between categories, 28 CMTs are generally required per 12-month period. If the CMT utilization guidelines are exceeded, documentation supporting the medical necessity of additional CMT must be submitted with the Medicaid claim form or the claim will be denied for failure to provide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CMT is not a covered benefit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therapeutic benefit has been achieved for a given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not a reasonable expectation that the continuation of CMT would result in improvement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CMT seeks to prevent disease, promote health and prolong and enhance the 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78.8(3)</w:t>
      </w:r>
      <w:r>
        <w:rPr>
          <w:rFonts w:ascii="Times New Roman" w:hAnsi="Times New Roman"/>
          <w:b w:val="false"/>
          <w:i w:val="false"/>
          <w:color w:val="000000"/>
          <w:sz w:val="22"/>
        </w:rPr>
        <w:t> </w:t>
      </w:r>
      <w:r>
        <w:rPr>
          <w:rFonts w:ascii="Times New Roman" w:hAnsi="Times New Roman"/>
          <w:b w:val="false"/>
          <w:i/>
          <w:color w:val="000000"/>
          <w:sz w:val="22"/>
        </w:rPr>
        <w:t xml:space="preserve">Documenting X-ray. </w:t>
      </w:r>
      <w:r>
        <w:rPr>
          <w:rFonts w:ascii="Times New Roman" w:hAnsi="Times New Roman"/>
          <w:b w:val="false"/>
          <w:i w:val="false"/>
          <w:color w:val="000000"/>
          <w:sz w:val="22"/>
        </w:rPr>
        <w:t>An X-ray must document the primary regions of subluxation being treated by CMT.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documenting X-ray must be taken at a time reasonably proximate to the initiation of CMT. An X-ray is considered to be reasonably proximate if it was taken no more than 12 months prior to or 3 months following the initiation of CMT. X-rays need not be repeated unless there is a new condition and no payment shall be made for subsequent X-rays, absent a new condition, consistent with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No X-ray is required for pregnant women and for children aged 18 and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X-ray films shall be labeled with the patient’s name and date the X-rays were taken and shall be marked right or left. The X-ray shall be made available to the department or its duly authorized representative when requested. A written and dated X-ray report, including interpretation and diagnosis, shall be present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Chiropractors shall be reimbursed for documenting X-rays at the physician fee schedule rate. Payable X-rays shall be limited to those Current Procedural Terminology (CPT) procedure codes that are appropriate to determine the presence of a subluxation of the spine. Criteria used to determine payable X-ray CPT codes may include, but are not limited to, the X-ray CPT codes for which major commercial payors reimburse chiropractors. The Iowa Medicaid enterprise shall publish in the Chiropractic Services Provider Manual the current list of payable X-ray CPT codes. Consistent with CPT, chiropractors may bill the professional, technical, or professional and technical components for X-rays, as appropriate. Payment for documenting X-rays shall be further limited to one per condition, consistent with the provisions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 claim for a documenting X-ray related to the onset of a new condition is only payable if the X-ray is reasonably proximate to the initiation of CMT for the new condition, as defined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 chiropractor is also authorized to order a documenting X-ray whether or not the chiropractor owns or possesses X-ray equipment in the chiropractor’s office. Any X-rays so ordered shall be payable to the X-ray provider, consistent with the provisions in this paragraph.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441—78.9</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health agencies. </w:t>
      </w:r>
      <w:r>
        <w:rPr>
          <w:rFonts w:ascii="Times New Roman" w:hAnsi="Times New Roman"/>
          <w:b w:val="false"/>
          <w:i w:val="false"/>
          <w:color w:val="000000"/>
          <w:sz w:val="22"/>
        </w:rPr>
        <w:t>Payment shall be approved for medically necessary home health agency services prescribed by a physician, nurse practitioner, clinical nurse specialist, or physician assistant in a plan of home health care provided by a Medicare-certified home health agency.</w:t>
      </w:r>
    </w:p>
    <w:p>
      <w:pPr>
        <w:spacing w:before="0" w:after="0"/>
        <w:ind w:left="120"/>
        <w:jc w:val="both"/>
      </w:pPr>
      <w:r>
        <w:rPr>
          <w:rFonts w:ascii="Times New Roman" w:hAnsi="Times New Roman"/>
          <w:b w:val="false"/>
          <w:i w:val="false"/>
          <w:color w:val="000000"/>
          <w:sz w:val="22"/>
        </w:rPr>
        <w:t>The number of hours of home health agency services shall be reasonable and appropriate to meet an established medical need of the member that cannot be met by a family member, significant other, friend, or neighbor. Services must be medically necessary in the individual case and be related to a diagnosed medical impairment or disability.</w:t>
      </w:r>
    </w:p>
    <w:p>
      <w:pPr>
        <w:spacing w:before="0" w:after="0"/>
        <w:ind w:left="120"/>
        <w:jc w:val="both"/>
      </w:pPr>
      <w:r>
        <w:rPr>
          <w:rFonts w:ascii="Times New Roman" w:hAnsi="Times New Roman"/>
          <w:b w:val="false"/>
          <w:i w:val="false"/>
          <w:color w:val="000000"/>
          <w:sz w:val="22"/>
        </w:rPr>
        <w:t xml:space="preserve">The member need not be homebound to be eligible for home health agency services; however, the services provided by a home health agency shall only be covered when provided in the member’s residence with the following exception. Private duty nursing and personal care services for persons aged 20 and under as described at </w:t>
      </w:r>
      <w:hyperlink r:id="rId101">
        <w:r>
          <w:rPr>
            <w:rStyle w:val="Hyperlink"/>
            <w:rFonts w:ascii="Times New Roman" w:hAnsi="Times New Roman"/>
            <w:b w:val="false"/>
            <w:i w:val="false"/>
            <w:color w:val="000000"/>
            <w:sz w:val="22"/>
          </w:rPr>
          <w:t>78.9(10)</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provided in settings other than the member’s residence when medically necessary.</w:t>
      </w:r>
    </w:p>
    <w:p>
      <w:pPr>
        <w:spacing w:before="0" w:after="0"/>
        <w:ind w:left="120"/>
        <w:jc w:val="both"/>
      </w:pPr>
      <w:r>
        <w:rPr>
          <w:rFonts w:ascii="Times New Roman" w:hAnsi="Times New Roman"/>
          <w:b w:val="false"/>
          <w:i w:val="false"/>
          <w:color w:val="000000"/>
          <w:sz w:val="22"/>
        </w:rPr>
        <w:t>Medicaid members of home health agency services need not first require skilled nursing care to be entitled to home health aide services.</w:t>
      </w:r>
    </w:p>
    <w:p>
      <w:pPr>
        <w:spacing w:before="0" w:after="0"/>
        <w:ind w:left="120"/>
        <w:jc w:val="both"/>
      </w:pPr>
      <w:r>
        <w:rPr>
          <w:rFonts w:ascii="Times New Roman" w:hAnsi="Times New Roman"/>
          <w:b w:val="false"/>
          <w:i w:val="false"/>
          <w:color w:val="000000"/>
          <w:sz w:val="22"/>
        </w:rPr>
        <w:t xml:space="preserve">Further limitations related to specific components of home health agency services are noted in subrules </w:t>
      </w:r>
      <w:hyperlink r:id="rId102">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xml:space="preserve"> to </w:t>
      </w:r>
      <w:hyperlink r:id="rId103">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Payment shall be made on an encounter basis. An encounter is defined as separately identifiable hours in which home health agency staff provide continuous service to a member.</w:t>
      </w:r>
    </w:p>
    <w:p>
      <w:pPr>
        <w:spacing w:before="0" w:after="0"/>
        <w:ind w:left="120"/>
        <w:jc w:val="both"/>
      </w:pPr>
      <w:r>
        <w:rPr>
          <w:rFonts w:ascii="Times New Roman" w:hAnsi="Times New Roman"/>
          <w:b w:val="false"/>
          <w:i w:val="false"/>
          <w:color w:val="000000"/>
          <w:sz w:val="22"/>
        </w:rPr>
        <w:t>Payment for supplies shall be approved when the supplies are incidental to the patient’s care, e.g., syringes for injections, and do not exceed $15 per month. Dressings, durable medical equipment, and other supplies shall be obtained from a durable medical equipment dealer or pharmacy. Payment of supplies may be made to home health agencies when a durable medical equipment dealer or pharmacy is not available in the member’s community.</w:t>
      </w:r>
    </w:p>
    <w:p>
      <w:pPr>
        <w:spacing w:before="0" w:after="0"/>
        <w:ind w:left="120"/>
        <w:jc w:val="both"/>
      </w:pPr>
      <w:r>
        <w:rPr>
          <w:rFonts w:ascii="Times New Roman" w:hAnsi="Times New Roman"/>
          <w:b w:val="false"/>
          <w:i w:val="false"/>
          <w:color w:val="000000"/>
          <w:sz w:val="22"/>
        </w:rPr>
        <w:t>Payment may be made for restorative and maintenance home health agency services.</w:t>
      </w:r>
    </w:p>
    <w:p>
      <w:pPr>
        <w:spacing w:before="0" w:after="0"/>
        <w:ind w:left="120"/>
        <w:jc w:val="both"/>
      </w:pPr>
      <w:r>
        <w:rPr>
          <w:rFonts w:ascii="Times New Roman" w:hAnsi="Times New Roman"/>
          <w:b w:val="false"/>
          <w:i w:val="false"/>
          <w:color w:val="000000"/>
          <w:sz w:val="22"/>
        </w:rPr>
        <w:t>Payment may be made for teaching, training, and counseling in the provision of health care services.</w:t>
      </w:r>
    </w:p>
    <w:p>
      <w:pPr>
        <w:spacing w:before="0" w:after="0"/>
        <w:ind w:left="120"/>
        <w:jc w:val="both"/>
      </w:pPr>
      <w:r>
        <w:rPr>
          <w:rFonts w:ascii="Times New Roman" w:hAnsi="Times New Roman"/>
          <w:b w:val="false"/>
          <w:i w:val="false"/>
          <w:color w:val="000000"/>
          <w:sz w:val="22"/>
        </w:rPr>
        <w:t>Treatment plans for these services shall additionally reflect: to whom the services are to be provided (patient, family member, etc.); prior teaching training, or counseling provided; medical necessity for the rendered service; identification of specific services and goals; date of onset of the teaching, training, or counseling; frequency of services; progress of member in response to treatment; and estimated length of time these services will be needed.</w:t>
      </w:r>
    </w:p>
    <w:p>
      <w:pPr>
        <w:spacing w:before="0" w:after="0"/>
        <w:ind w:left="120"/>
        <w:jc w:val="both"/>
      </w:pPr>
      <w:r>
        <w:rPr>
          <w:rFonts w:ascii="Times New Roman" w:hAnsi="Times New Roman"/>
          <w:b w:val="false"/>
          <w:i w:val="false"/>
          <w:color w:val="000000"/>
          <w:sz w:val="22"/>
        </w:rPr>
        <w:t>The following are not covered: services provided in the home health agency office, homemaker services, well child care and supervision, and medical equipment rental or purchase.</w:t>
      </w:r>
    </w:p>
    <w:p>
      <w:pPr>
        <w:spacing w:before="0" w:after="0"/>
        <w:ind w:left="120"/>
        <w:jc w:val="both"/>
      </w:pPr>
      <w:r>
        <w:rPr>
          <w:rFonts w:ascii="Times New Roman" w:hAnsi="Times New Roman"/>
          <w:b w:val="false"/>
          <w:i w:val="false"/>
          <w:color w:val="000000"/>
          <w:sz w:val="22"/>
        </w:rPr>
        <w:t>Services shall be authorized by a physician, nurse practitioner, clinical nurse specialist, or physician assistant, evidenced by the physician’s, nurse practitioner’s, clinical nurse specialist’s, or physician assistant’s signature and date on a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A plan of treatment shall be completed prior to the start of care and at a minimum reviewed every 60 days thereafter. There must be a face-to-face encounter between a physician, a nurse practitioner, a clinical nurse specialist, a certified nurse-midwife, or a physician assistant and the Medicaid member no more than 90 days before or 30 days after the start of service.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home health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last seen by a physician, nurse practitioner, clinical nurse specialist,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Certification period (no more than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Estimated date of discharge from the hospital or home health agency services,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Physician’s, nurse practitioner’s, clinical nurse specialist’s, or physician assistant’s signature and date. The plan of care must be signed and dated by the physician, nurse practitioner, clinical nurse specialist, or physician assistant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78.9(2)</w:t>
      </w:r>
      <w:r>
        <w:rPr>
          <w:rFonts w:ascii="Times New Roman" w:hAnsi="Times New Roman"/>
          <w:b w:val="false"/>
          <w:i w:val="false"/>
          <w:color w:val="000000"/>
          <w:sz w:val="22"/>
        </w:rPr>
        <w:t> </w:t>
      </w:r>
      <w:r>
        <w:rPr>
          <w:rFonts w:ascii="Times New Roman" w:hAnsi="Times New Roman"/>
          <w:b w:val="false"/>
          <w:i/>
          <w:color w:val="000000"/>
          <w:sz w:val="22"/>
        </w:rPr>
        <w:t xml:space="preserve">Supervisory visits. </w:t>
      </w:r>
      <w:r>
        <w:rPr>
          <w:rFonts w:ascii="Times New Roman" w:hAnsi="Times New Roman"/>
          <w:b w:val="false"/>
          <w:i w:val="false"/>
          <w:color w:val="000000"/>
          <w:sz w:val="22"/>
        </w:rPr>
        <w:t xml:space="preserve">Payment shall be made for supervisory visits two times a month when a registered nurse acting in a supervisory capacity provides supervisory visits of services provided by a home health aide under a home health agency plan of treatment or when services are provided by an in-home health care provider under the department’s in-home health-related care program as set forth in </w:t>
      </w:r>
      <w:hyperlink r:id="rId104">
        <w:r>
          <w:rPr>
            <w:rStyle w:val="Hyperlink"/>
            <w:rFonts w:ascii="Times New Roman" w:hAnsi="Times New Roman"/>
            <w:b w:val="false"/>
            <w:i w:val="false"/>
            <w:color w:val="000000"/>
            <w:sz w:val="22"/>
          </w:rPr>
          <w:t>441—Chapter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78.9(3)</w:t>
      </w:r>
      <w:r>
        <w:rPr>
          <w:rFonts w:ascii="Times New Roman" w:hAnsi="Times New Roman"/>
          <w:b w:val="false"/>
          <w:i w:val="false"/>
          <w:color w:val="000000"/>
          <w:sz w:val="22"/>
        </w:rPr>
        <w:t> </w:t>
      </w:r>
      <w:r>
        <w:rPr>
          <w:rFonts w:ascii="Times New Roman" w:hAnsi="Times New Roman"/>
          <w:b w:val="false"/>
          <w:i/>
          <w:color w:val="000000"/>
          <w:sz w:val="22"/>
        </w:rPr>
        <w:t xml:space="preserve">Skilled nursing services. </w:t>
      </w:r>
      <w:r>
        <w:rPr>
          <w:rFonts w:ascii="Times New Roman" w:hAnsi="Times New Roman"/>
          <w:b w:val="false"/>
          <w:i w:val="false"/>
          <w:color w:val="000000"/>
          <w:sz w:val="22"/>
        </w:rPr>
        <w:t>Skilled nursing services are services that when performed by a home health agency require a licensed registered nurse or licensed practical nurse to perform. Situations when a service can be safely performed by the member or other nonskilled person who has received the proper training or instruction or when there is no one else to perform the service are not considered a “skilled nursing service.” Skilled nursing services shall be available only on an intermittent basis. Intermittent services for skilled nursing services shall be defined as a medically predictable recurring need requiring a skilled nursing service at least once every 60 days, not to exceed five days per week (except as provided below), with an attempt to have a predictable end. Daily visits (six or seven days per week) that are reasonable and necessary and show an attempt to have a predictable end shall be covered for up to three weeks. Coverage of additional daily visits beyond the initial anticipated time frame may be appropriate for a short period of time, based on the medical necessity of service. Medical documentation shall be submitted justifying the need for continued visits, including the physician’s, nurse practitioner’s, clinical nurse specialist’s, or physician assistant’s estimate of the length of time that additional visits will be necessary. Daily skilled nursing visits or multiple daily visits for wound care or insulin injections shall be covered when ordered by a physician, nurse practitioner, clinical nurse specialist, or a physician assistant and included in the plan of care. Other daily skilled nursing visits which are ordered for an indefinite period of time and designated as daily skilled nursing care do not meet the intermittent definition and shall be denied.</w:t>
      </w:r>
    </w:p>
    <w:p>
      <w:pPr>
        <w:spacing w:before="0" w:after="0"/>
        <w:ind w:left="120"/>
        <w:jc w:val="both"/>
      </w:pPr>
      <w:r>
        <w:rPr>
          <w:rFonts w:ascii="Times New Roman" w:hAnsi="Times New Roman"/>
          <w:b w:val="false"/>
          <w:i w:val="false"/>
          <w:color w:val="000000"/>
          <w:sz w:val="22"/>
        </w:rPr>
        <w:t>Skilled nursing services shall be evaluated based on the complexity of the service and the condition of the patient.</w:t>
      </w:r>
    </w:p>
    <w:p>
      <w:pPr>
        <w:spacing w:before="0" w:after="0"/>
        <w:ind w:left="120"/>
        <w:jc w:val="both"/>
      </w:pPr>
      <w:r>
        <w:rPr>
          <w:rFonts w:ascii="Times New Roman" w:hAnsi="Times New Roman"/>
          <w:b w:val="false"/>
          <w:i w:val="false"/>
          <w:color w:val="000000"/>
          <w:sz w:val="22"/>
        </w:rPr>
        <w:t xml:space="preserve">Private duty nursing for persons aged 21 and over is not a covered service. See subrule </w:t>
      </w:r>
      <w:hyperlink r:id="rId105">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 xml:space="preserve"> for guidelines for private duty nursing for persons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78.9(4)</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r>
        <w:rPr>
          <w:rFonts w:ascii="Times New Roman" w:hAnsi="Times New Roman"/>
          <w:b w:val="false"/>
          <w:i w:val="false"/>
          <w:color w:val="000000"/>
          <w:sz w:val="22"/>
        </w:rPr>
        <w:t xml:space="preserve">Payment shall be made for physical therapy services when the services relate directly to an active written treatment plan, follow a treatment plan established by the physician, nurse practitioner, clinical nurse specialist, or physician assistant after any needed consultation with the qualified physical therapist, are reasonable and necessary to the treatment of the patient’s illness or injury, and meet the guidelines defined for restorative, maintenance, or trial therapy as set forth in subrule </w:t>
      </w:r>
      <w:hyperlink r:id="rId106">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For physical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78.9(5)</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r>
        <w:rPr>
          <w:rFonts w:ascii="Times New Roman" w:hAnsi="Times New Roman"/>
          <w:b w:val="false"/>
          <w:i w:val="false"/>
          <w:color w:val="000000"/>
          <w:sz w:val="22"/>
        </w:rPr>
        <w:t xml:space="preserve">Payment shall be made for occupational therapy services when the services relate directly to an active written treatment plan, follow a treatment plan established by the physician, nurse practitioner, clinical nurse specialist, or physician assistant, are reasonable and necessary to the treatment of the patient’s illness or injury, and meet the guidelines defined for restorative, maintenance, or trial therapy as set forth in subrule </w:t>
      </w:r>
      <w:hyperlink r:id="rId107">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For occupational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78.9(6)</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r>
        <w:rPr>
          <w:rFonts w:ascii="Times New Roman" w:hAnsi="Times New Roman"/>
          <w:b w:val="false"/>
          <w:i w:val="false"/>
          <w:color w:val="000000"/>
          <w:sz w:val="22"/>
        </w:rPr>
        <w:t xml:space="preserve">Payment shall be made for speech therapy services when the services relate directly to an active written treatment plan, follow a treatment plan established by the physician, nurse practitioner, clinical nurse specialist, or physician assistant, are reasonable and necessary to the treatment of the patient’s illness or injury, and meet the guidelines defined for restorative, maintenance, or trial therapy as set forth in subrule </w:t>
      </w:r>
      <w:hyperlink r:id="rId108">
        <w:r>
          <w:rPr>
            <w:rStyle w:val="Hyperlink"/>
            <w:rFonts w:ascii="Times New Roman" w:hAnsi="Times New Roman"/>
            <w:b w:val="false"/>
            <w:i w:val="false"/>
            <w:color w:val="000000"/>
            <w:sz w:val="22"/>
          </w:rPr>
          <w:t>78.19(1)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For speech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78.9(7)</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Payment shall be made for unskilled services provided by a home health aide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as well as the frequency and duration are stated in a written plan of treatment established by a physician, nurse practitioner, clinical nurse specialist, or physician assistant.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requires personal care services as determined by a registered nurse or other appropriate therapist. The services shall be given under the supervision of a registered nurse, physical, speech, or occupational therapist and the registered nurse or therapist shall assign the aide who will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on an intermittent basis. “Intermittent basis” for home health agency services is defined as services that are usually two to three times a week for two to three hours at a time. Services provided for four to seven days per week, not to exceed 28 hours per week, when ordered by a physician, nurse practitioner, clinical nurse specialist, or physician assistant and included in a plan of care shall be allowed as intermittent services. Increased services provided when medically necessary due to unusual circumstances on a short-term basis of two to three weeks may also be allowed as intermittent services when the home health agency documents the need for the excessive time required for home health aide services.</w:t>
      </w:r>
    </w:p>
    <w:p>
      <w:pPr>
        <w:spacing w:before="0" w:after="0"/>
        <w:ind w:left="120"/>
        <w:jc w:val="both"/>
      </w:pPr>
      <w:r>
        <w:rPr>
          <w:rFonts w:ascii="Times New Roman" w:hAnsi="Times New Roman"/>
          <w:b w:val="false"/>
          <w:i w:val="false"/>
          <w:color w:val="000000"/>
          <w:sz w:val="22"/>
        </w:rPr>
        <w:t>Home health aide daily care may be provided for persons employed or attending school whose disabling conditions require the persons to be assisted with morning and evening activities of daily living in order to support their independent living.</w:t>
      </w:r>
    </w:p>
    <w:p>
      <w:pPr>
        <w:spacing w:before="0" w:after="0"/>
        <w:ind w:left="120"/>
        <w:jc w:val="both"/>
      </w:pPr>
      <w:r>
        <w:rPr>
          <w:rFonts w:ascii="Times New Roman" w:hAnsi="Times New Roman"/>
          <w:b w:val="false"/>
          <w:i w:val="false"/>
          <w:color w:val="000000"/>
          <w:sz w:val="22"/>
        </w:rPr>
        <w:t>Personal care services include the activities of daily living, e.g., helping the member to bathe, get in and out of bed, care for hair and teeth, exercise, and take medications specifically ordered by the physician, but ordinarily self-administered, and retraining the member in necessary self-help skills.</w:t>
      </w:r>
    </w:p>
    <w:p>
      <w:pPr>
        <w:spacing w:before="0" w:after="0"/>
        <w:ind w:left="120"/>
        <w:jc w:val="both"/>
      </w:pPr>
      <w:r>
        <w:rPr>
          <w:rFonts w:ascii="Times New Roman" w:hAnsi="Times New Roman"/>
          <w:b w:val="false"/>
          <w:i w:val="false"/>
          <w:color w:val="000000"/>
          <w:sz w:val="22"/>
        </w:rPr>
        <w:t>Certain household services may be performed by the aide in order to prevent or postpone the member’s institutionalization when the primary need of the member for home health aide services furnished is for personal care. If household services are incidental and do not substantially increase the time spent by the aide in the home, the entire visit is considered a covered service. Domestic or housekeeping services which are not related to patient care are not a covered service if personal care is not rendered during the visit.</w:t>
      </w:r>
    </w:p>
    <w:p>
      <w:pPr>
        <w:spacing w:before="0" w:after="0"/>
        <w:ind w:left="120"/>
        <w:jc w:val="both"/>
      </w:pPr>
      <w:r>
        <w:rPr>
          <w:rFonts w:ascii="Times New Roman" w:hAnsi="Times New Roman"/>
          <w:b w:val="false"/>
          <w:i w:val="false"/>
          <w:color w:val="000000"/>
          <w:sz w:val="22"/>
        </w:rPr>
        <w:t>For home health aide services, the treatment plan shall additionally reflect the number of hours per visit and the living arrangement of the member, e.g., lives alone or with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78.9(8)</w:t>
      </w:r>
      <w:r>
        <w:rPr>
          <w:rFonts w:ascii="Times New Roman" w:hAnsi="Times New Roman"/>
          <w:b w:val="false"/>
          <w:i w:val="false"/>
          <w:color w:val="000000"/>
          <w:sz w:val="22"/>
        </w:rPr>
        <w:t> </w:t>
      </w:r>
      <w:r>
        <w:rPr>
          <w:rFonts w:ascii="Times New Roman" w:hAnsi="Times New Roman"/>
          <w:b w:val="false"/>
          <w:i/>
          <w:color w:val="000000"/>
          <w:sz w:val="22"/>
        </w:rPr>
        <w:t xml:space="preserve">Medical social services.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3/29/17</w:t>
      </w:r>
      <w:r>
        <w:rPr>
          <w:rFonts w:ascii="Times New Roman" w:hAnsi="Times New Roman"/>
          <w:b w:val="false"/>
          <w:i w:val="false"/>
          <w:color w:val="000000"/>
          <w:sz w:val="22"/>
        </w:rPr>
        <w:t>, effective 5/3/17.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78.9(9)</w:t>
      </w:r>
      <w:r>
        <w:rPr>
          <w:rFonts w:ascii="Times New Roman" w:hAnsi="Times New Roman"/>
          <w:b w:val="false"/>
          <w:i w:val="false"/>
          <w:color w:val="000000"/>
          <w:sz w:val="22"/>
        </w:rPr>
        <w:t> </w:t>
      </w:r>
      <w:r>
        <w:rPr>
          <w:rFonts w:ascii="Times New Roman" w:hAnsi="Times New Roman"/>
          <w:b w:val="false"/>
          <w:i/>
          <w:color w:val="000000"/>
          <w:sz w:val="22"/>
        </w:rPr>
        <w:t xml:space="preserve">Home health agency care for maternity patients and children. </w:t>
      </w:r>
      <w:r>
        <w:rPr>
          <w:rFonts w:ascii="Times New Roman" w:hAnsi="Times New Roman"/>
          <w:b w:val="false"/>
          <w:i w:val="false"/>
          <w:color w:val="000000"/>
          <w:sz w:val="22"/>
        </w:rPr>
        <w:t>The intent of home health agency services for maternity patients and children shall be to provide services when the members are unable to receive the care outside of their home and require home health care due to a high-risk factor. Routine prenatal, postpartum, or child health care is a covered service in a physician’s office or clinic and, therefore, is not covered by Medicaid when provided by a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plans for maternity patients and children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potential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factor or symptom which verifies the child is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reason the member is unable to obtain care outside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medically related task of the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Specific services and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medical necessity for the services to be rendered. A single high-risk factor does not provide sufficient documentation of the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prenatal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history of prenatal complications such as fetal death, eclampsia, C-section delivery, psychosis, or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prenatal problems such as hypertensive disorders of pregnancy, diabetes, cardiac disease, sickle cell anemia, low hemoglobin, mental illness, or 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Sociocultural or ethnic problems such as language barriers, lack of family support, insufficient dietary practices, history of child abuse or neglect, or single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Preexisting disabilities such as sensory deficits, or mental or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Second pregnancy in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Death of a close family member or significant other within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postpartum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postpartum complications such as severe hemorrhage, eclampsia, or C-section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Preexisting mental or physical disabilities such as deaf, hard of hearing, blind, hemiplegic, activity-limiting disease, sickle cell anemia, uncontrolled hypertension, uncontrolled diabetes, mental illness, or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Symptoms of postpartum psychosis.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Special sociocultural or ethnic problems such as lack of job, family problems, single mother, lack of support system, or history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Demonstrated disturbance in maternal and infant bonding.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from hospital against medical advice before 36 hours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Insufficient antepartum care by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Multiple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Nonhospital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weight of five pounds or under or over ten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History of severe respiratory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congenital anomalies such as neonatal complications which necessitate planning for long-term follow-up such as postsurgical care, poor prognosis, home stimulation activities, or periodic development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Disabling birth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Extended hospitalization and separation from other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Genetic disorders, such as Down’s syndrome, and phenylketonuria or other metabolic conditions that may lead to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Noted parental rejection or indifference toward baby such as never visiting or calling the hospital about the baby’s condition during the infant’s extended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Family sociocultural or ethnic problems such as low education level or lack of knowledge of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against medical advice before 36 hours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Nutrition or feeding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preschool or school-age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or sibling victim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Intellectual disability or other physical disabilities necessitating long-term follow-up or major readjustments in family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complete the basic series of immunizations by 18 months, or boosters by 6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illness such as asthma, cardiac, respiratory or renal disease, diabetes, cystic fibrosis, or muscular dystrophy.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Malignancies such as leukemia or carcinoma.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Severe injuries necessitating treatment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Disruption in family or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Suspected developmental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Nutritional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78.9(10)</w:t>
      </w:r>
      <w:r>
        <w:rPr>
          <w:rFonts w:ascii="Times New Roman" w:hAnsi="Times New Roman"/>
          <w:b w:val="false"/>
          <w:i w:val="false"/>
          <w:color w:val="000000"/>
          <w:sz w:val="22"/>
        </w:rPr>
        <w:t> </w:t>
      </w:r>
      <w:r>
        <w:rPr>
          <w:rFonts w:ascii="Times New Roman" w:hAnsi="Times New Roman"/>
          <w:b w:val="false"/>
          <w:i/>
          <w:color w:val="000000"/>
          <w:sz w:val="22"/>
        </w:rPr>
        <w:t xml:space="preserve">Private duty nursing or personal care services for persons aged 20 and under. </w:t>
      </w:r>
      <w:r>
        <w:rPr>
          <w:rFonts w:ascii="Times New Roman" w:hAnsi="Times New Roman"/>
          <w:b w:val="false"/>
          <w:i w:val="false"/>
          <w:color w:val="000000"/>
          <w:sz w:val="22"/>
        </w:rPr>
        <w:t>Payment for private duty nursing or personal care services for persons aged 20 and under shall be approved if determined to be medically necessary. Payment shall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which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w:t>
      </w:r>
    </w:p>
    <w:p>
      <w:pPr>
        <w:spacing w:before="0" w:after="0"/>
        <w:ind w:left="120"/>
        <w:jc w:val="both"/>
      </w:pP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109">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 Enhanced payment under the interim fee schedule shall be made available for services to children who are technology dependent, i.e., ventilator dependent or whose medical condition is so unstable as to otherwise require intensive care in a hospital.</w:t>
      </w:r>
    </w:p>
    <w:p>
      <w:pPr>
        <w:spacing w:before="0" w:after="0"/>
        <w:ind w:left="120"/>
        <w:jc w:val="both"/>
      </w:pPr>
      <w:r>
        <w:rPr>
          <w:rFonts w:ascii="Times New Roman" w:hAnsi="Times New Roman"/>
          <w:b w:val="false"/>
          <w:i w:val="false"/>
          <w:color w:val="000000"/>
          <w:sz w:val="22"/>
        </w:rPr>
        <w:t>Private duty nursing or personal care services do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Homework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 Payment for personal care services for persons aged 20 and under that exceed intermittent guidelines may be approved if determined to be medically necessary as defined in subrule </w:t>
      </w:r>
      <w:hyperlink r:id="rId110">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 xml:space="preserve">Prior authorization approvals shall not be granted for treatment plans that exceed 16 hours of home health agency services per day. (Cross reference </w:t>
      </w:r>
      <w:hyperlink r:id="rId111">
        <w:r>
          <w:rPr>
            <w:rStyle w:val="Hyperlink"/>
            <w:rFonts w:ascii="Times New Roman" w:hAnsi="Times New Roman"/>
            <w:b w:val="false"/>
            <w:i w:val="false"/>
            <w:color w:val="000000"/>
            <w:sz w:val="22"/>
          </w:rPr>
          <w:t>78.28(10)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78.9(11)</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home health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9315B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3005C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5487C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441—78.10</w:t>
      </w:r>
      <w:r>
        <w:rPr>
          <w:rFonts w:ascii="Times New Roman" w:hAnsi="Times New Roman"/>
          <w:b/>
          <w:i w:val="false"/>
          <w:color w:val="000000"/>
          <w:sz w:val="22"/>
        </w:rPr>
        <w:t xml:space="preserve">(249A) </w:t>
      </w:r>
      <w:r>
        <w:rPr>
          <w:rFonts w:ascii="Times New Roman" w:hAnsi="Times New Roman"/>
          <w:b/>
          <w:i w:val="false"/>
          <w:color w:val="000000"/>
          <w:sz w:val="22"/>
        </w:rPr>
        <w:t xml:space="preserve">Durable medical equipment (DME), prosthetic devices and medical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78.10(1)</w:t>
      </w:r>
      <w:r>
        <w:rPr>
          <w:rFonts w:ascii="Times New Roman" w:hAnsi="Times New Roman"/>
          <w:b w:val="false"/>
          <w:i w:val="false"/>
          <w:color w:val="000000"/>
          <w:sz w:val="22"/>
        </w:rPr>
        <w:t> </w:t>
      </w:r>
      <w:r>
        <w:rPr>
          <w:rFonts w:ascii="Times New Roman" w:hAnsi="Times New Roman"/>
          <w:b w:val="false"/>
          <w:i/>
          <w:color w:val="000000"/>
          <w:sz w:val="22"/>
        </w:rPr>
        <w:t xml:space="preserve">General payment requirements. </w:t>
      </w:r>
      <w:r>
        <w:rPr>
          <w:rFonts w:ascii="Times New Roman" w:hAnsi="Times New Roman"/>
          <w:b w:val="false"/>
          <w:i w:val="false"/>
          <w:color w:val="000000"/>
          <w:sz w:val="22"/>
        </w:rPr>
        <w:t xml:space="preserve">Payment will be made for items of DME, prosthetic devices and medical supplies, subject to the following general requirements and the requirements of subrule </w:t>
      </w:r>
      <w:hyperlink r:id="rId113">
        <w:r>
          <w:rPr>
            <w:rStyle w:val="Hyperlink"/>
            <w:rFonts w:ascii="Times New Roman" w:hAnsi="Times New Roman"/>
            <w:b w:val="false"/>
            <w:i w:val="false"/>
            <w:color w:val="000000"/>
            <w:sz w:val="22"/>
          </w:rPr>
          <w:t>78.10(2)</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78.10(3)</w:t>
        </w:r>
      </w:hyperlink>
      <w:r>
        <w:rPr>
          <w:rFonts w:ascii="Times New Roman" w:hAnsi="Times New Roman"/>
          <w:b w:val="false"/>
          <w:i w:val="false"/>
          <w:color w:val="000000"/>
          <w:sz w:val="22"/>
        </w:rPr>
        <w:t xml:space="preserve">, or </w:t>
      </w:r>
      <w:hyperlink r:id="rId115">
        <w:r>
          <w:rPr>
            <w:rStyle w:val="Hyperlink"/>
            <w:rFonts w:ascii="Times New Roman" w:hAnsi="Times New Roman"/>
            <w:b w:val="false"/>
            <w:i w:val="false"/>
            <w:color w:val="000000"/>
            <w:sz w:val="22"/>
          </w:rPr>
          <w:t>78.10(4)</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prosthetic devices, and medical supplies must be required by the member because of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item shall be necessary and reasonable either for the treatment of an illness or injury, or to improve the functioning of a malformed body part. Determination will be made by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item is necessary when it can be expected to make a meaningful contribution to the treatment of a specific illness or injury or to the improvement in function of a malformed body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Although an item may be necessary, it must also be a reasonable expenditure for the Medicaid program. The following considerations enter into the determination of reasonableness: Whether the expense of the item to the program would be clearly disproportionate to the therapeutic benefits which could ordinarily be derived from use of the item; whether the item would be substantially more costly than a medically appropriate and realistically feasible alternative pattern of care; and whether the item serves essentially the same purpose as an item already available to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physician’s (doctor of medicine, osteopathy, or podiatry), physician assistant’s, or advanced registered nurse practitioner’s prescription is required to establish medical necessity. The prescription shall state the member’s name, diagnosis, prognosis, item(s) to be dispensed, quantity, and length of time the item is to be required and shall include the signature of the prescriber and the date of signature.</w:t>
      </w:r>
    </w:p>
    <w:p>
      <w:pPr>
        <w:spacing w:before="0" w:after="0"/>
        <w:ind w:left="120"/>
        <w:jc w:val="both"/>
      </w:pPr>
      <w:r>
        <w:rPr>
          <w:rFonts w:ascii="Times New Roman" w:hAnsi="Times New Roman"/>
          <w:b w:val="false"/>
          <w:i w:val="false"/>
          <w:color w:val="000000"/>
          <w:sz w:val="22"/>
        </w:rPr>
        <w:t xml:space="preserve">For items requiring prior authorization, a request shall include a physician’s, physician assistant’s, or advanced registered nurse practitioner’s written order or prescription and sufficient medical documentation to permit an independent conclusion that the requirements for the equipment or device are met and the item is medically necessary and reasonable. A request for prior authorization is made using Form 470-5595, Outpatient Prior Authorization Request. See rule </w:t>
      </w:r>
      <w:hyperlink r:id="rId116">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Nonmedical items will not be covered. These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e.g., an exercycle, 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First-aid or precautionary-type equipment, e.g., preset portable oxygen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Self-help devices, e.g., safety grab bars, raised toilet seats.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equipment, e.g., speech teaching machines, braille training texts.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Equipment used for environmental control or to enhance the environmental setting, e.g., room heaters, air conditioners, humidifiers, dehumidifiers, and electric air cleaners.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 which basically serves comfort or convenience functions or is primarily for the convenience of a person caring for the member, e.g., elevators, stairway elevators and posture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payable is based on the least expensive item which meets the member’s medical needs. Payment will not be approved for items that serve duplicate functions.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 second ventilator for which prior authorization has been granted. See </w:t>
      </w:r>
      <w:hyperlink r:id="rId117">
        <w:r>
          <w:rPr>
            <w:rStyle w:val="Hyperlink"/>
            <w:rFonts w:ascii="Times New Roman" w:hAnsi="Times New Roman"/>
            <w:b w:val="false"/>
            <w:i w:val="false"/>
            <w:color w:val="000000"/>
            <w:sz w:val="22"/>
          </w:rPr>
          <w:t>78.10(5)</w:t>
        </w:r>
        <w:r>
          <w:rPr>
            <w:rFonts w:ascii="Times New Roman" w:hAnsi="Times New Roman"/>
            <w:b w:val="false"/>
            <w:i/>
            <w:color w:val="000000"/>
            <w:sz w:val="22"/>
          </w:rPr>
          <w:t>“k”</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Consideration will be given to rental or purchase based on the price of the item and the length of time it would be required. The decision on rental or purchase shall be made by the Iowa Medicaid enterprise and be based on the most reasonable method to provide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monitor rental payments up to 100 percent of the purchase price. At the point that total rent paid equals 100 percent of the purchase allowance, the member will be considered to own the item and no further rental payments will be made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the purchase of an item even though rental payments may have been made for prior months. The rental of the equipment may be necessary for a period of time to establish that it will meet the identified need before the purchase of the equipment. When a decision is made to purchase after renting an item, all of the rental payments will be applied to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Ventilators and oxygen systems shall be maintained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deposit shall not be charged by a provider to a Medicaid member or any other person on behalf of a Medicaid member for rental of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necessary repair, maintenance, and supplies for member-owned equipment. No payment may be made for repairs, maintenance, or supplies when the member is renting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Replacement of member-owned equipment is covered in cases of loss or irreparable damage or when required because of a change in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allowance will be made for delivery, freight, postage, or other provider operating expenses for DME, prosthetic devices or medical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fee schedule amount is allowed when prior authorization has been obtained. See </w:t>
      </w:r>
      <w:hyperlink r:id="rId118">
        <w:r>
          <w:rPr>
            <w:rStyle w:val="Hyperlink"/>
            <w:rFonts w:ascii="Times New Roman" w:hAnsi="Times New Roman"/>
            <w:b w:val="false"/>
            <w:i w:val="false"/>
            <w:color w:val="000000"/>
            <w:sz w:val="22"/>
          </w:rPr>
          <w:t>78.10(5)</w:t>
        </w:r>
        <w:r>
          <w:rPr>
            <w:rFonts w:ascii="Times New Roman" w:hAnsi="Times New Roman"/>
            <w:b w:val="false"/>
            <w:i/>
            <w:color w:val="000000"/>
            <w:sz w:val="22"/>
          </w:rPr>
          <w:t>“n”</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78.10(2)</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w:t>
      </w:r>
      <w:r>
        <w:rPr>
          <w:rFonts w:ascii="Times New Roman" w:hAnsi="Times New Roman"/>
          <w:b w:val="false"/>
          <w:i w:val="false"/>
          <w:color w:val="000000"/>
          <w:sz w:val="22"/>
        </w:rPr>
        <w:t>DME is equipment that can withstand repeated use, is primarily and customarily used to serve a medical purpose, is generally not useful to a person in the absence of an illness or injury, and is appropriate for use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Durable medical equipment provided in a hospital, nursing facility, or intermediate care facility for persons with an intellectual disability is not separately payable.</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Oxygen services in a nursing facility or an intermediate care facility for persons with an intellectual disability when all of the following requirements and conditions have been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Certificate of Medical Necessity for Oxygen, Form CMS-484, or a reasonable facsimile is completed by a physician, physician assistant, or advanced registered nurse practitioner and qualifies the member in accordance with Medicare criteria.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Additional documentation shows that the member requires oxygen for 12 hours or more per day for at least 30 days.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Oxygen logs must be maintained by the provider. The time between any reading shall not exceed more than 45 days. The documentation maintained in the provider record must contain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initial, periodic and ending reading on the time meter clock on each oxygen system,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dates of each initial, periodic and ending reading,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of ongoing need for oxygen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maximum Medicaid payment shall be based on the least costly method of oxygen delivery.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Oxygen prescribed “PRN” or “as necessary” is not payable.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Medicaid payment shall be made for the rental of equipment only. All accessories and disposable supplies related to the oxygen delivery system and costs for servicing and repair of equipment are included in the Medicaid payment and shall not be separately payable.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Payment is not allowed for oxygen services that are not documented according to the department of inspections and appeals requirements at </w:t>
      </w:r>
      <w:hyperlink r:id="rId119">
        <w:r>
          <w:rPr>
            <w:rStyle w:val="Hyperlink"/>
            <w:rFonts w:ascii="Times New Roman" w:hAnsi="Times New Roman"/>
            <w:b w:val="false"/>
            <w:i w:val="false"/>
            <w:color w:val="000000"/>
            <w:sz w:val="22"/>
          </w:rPr>
          <w:t>481—subrule 58.21(8)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generating devices for which prior authorization has been obtained. See </w:t>
      </w:r>
      <w:hyperlink r:id="rId120">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Wheelchairs for members in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durable medical equipment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Automated medication dispenser. </w:t>
      </w:r>
    </w:p>
    <w:p>
      <w:pPr>
        <w:spacing w:before="0" w:after="0"/>
        <w:ind w:left="120"/>
        <w:jc w:val="both"/>
      </w:pPr>
      <w:r>
        <w:rPr>
          <w:rFonts w:ascii="Times New Roman" w:hAnsi="Times New Roman"/>
          <w:b w:val="false"/>
          <w:i w:val="false"/>
          <w:color w:val="000000"/>
          <w:sz w:val="22"/>
        </w:rPr>
        <w:t xml:space="preserve">Bathtub/shower chair, bench. See </w:t>
      </w:r>
      <w:hyperlink r:id="rId121">
        <w:r>
          <w:rPr>
            <w:rStyle w:val="Hyperlink"/>
            <w:rFonts w:ascii="Times New Roman" w:hAnsi="Times New Roman"/>
            <w:b w:val="false"/>
            <w:i w:val="false"/>
            <w:color w:val="000000"/>
            <w:sz w:val="22"/>
          </w:rPr>
          <w:t>78.10(5)</w:t>
        </w:r>
        <w:r>
          <w:rPr>
            <w:rFonts w:ascii="Times New Roman" w:hAnsi="Times New Roman"/>
            <w:b w:val="false"/>
            <w:i/>
            <w:color w:val="000000"/>
            <w:sz w:val="22"/>
          </w:rPr>
          <w:t>“g”</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
        </w:r>
        <w:r>
          <w:rPr>
            <w:rFonts w:ascii="Times New Roman" w:hAnsi="Times New Roman"/>
            <w:b w:val="false"/>
            <w:i/>
            <w:color w:val="000000"/>
            <w:sz w:val="22"/>
          </w:rPr>
          <w:t>“j”</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Commode, shower commode chair. See </w:t>
      </w:r>
      <w:hyperlink r:id="rId123">
        <w:r>
          <w:rPr>
            <w:rStyle w:val="Hyperlink"/>
            <w:rFonts w:ascii="Times New Roman" w:hAnsi="Times New Roman"/>
            <w:b w:val="false"/>
            <w:i w:val="false"/>
            <w:color w:val="000000"/>
            <w:sz w:val="22"/>
          </w:rPr>
          <w:t>78.10(5)</w:t>
        </w:r>
        <w:r>
          <w:rPr>
            <w:rFonts w:ascii="Times New Roman" w:hAnsi="Times New Roman"/>
            <w:b w:val="false"/>
            <w:i/>
            <w:color w:val="000000"/>
            <w:sz w:val="22"/>
          </w:rPr>
          <w:t>“j”</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Decubitus equipment.</w:t>
      </w:r>
    </w:p>
    <w:p>
      <w:pPr>
        <w:spacing w:before="0" w:after="0"/>
        <w:ind w:left="120"/>
        <w:jc w:val="both"/>
      </w:pPr>
      <w:r>
        <w:rPr>
          <w:rFonts w:ascii="Times New Roman" w:hAnsi="Times New Roman"/>
          <w:b w:val="false"/>
          <w:i w:val="false"/>
          <w:color w:val="000000"/>
          <w:sz w:val="22"/>
        </w:rPr>
        <w:t>Dialysis equipment.</w:t>
      </w:r>
    </w:p>
    <w:p>
      <w:pPr>
        <w:spacing w:before="0" w:after="0"/>
        <w:ind w:left="120"/>
        <w:jc w:val="both"/>
      </w:pPr>
      <w:r>
        <w:rPr>
          <w:rFonts w:ascii="Times New Roman" w:hAnsi="Times New Roman"/>
          <w:b w:val="false"/>
          <w:i w:val="false"/>
          <w:color w:val="000000"/>
          <w:sz w:val="22"/>
        </w:rPr>
        <w:t>Diaphragm (contraceptive device).</w:t>
      </w:r>
    </w:p>
    <w:p>
      <w:pPr>
        <w:spacing w:before="0" w:after="0"/>
        <w:ind w:left="120"/>
        <w:jc w:val="both"/>
      </w:pPr>
      <w:r>
        <w:rPr>
          <w:rFonts w:ascii="Times New Roman" w:hAnsi="Times New Roman"/>
          <w:b w:val="false"/>
          <w:i w:val="false"/>
          <w:color w:val="000000"/>
          <w:sz w:val="22"/>
        </w:rPr>
        <w:t xml:space="preserve">Enclosed bed. See </w:t>
      </w:r>
      <w:hyperlink r:id="rId124">
        <w:r>
          <w:rPr>
            <w:rStyle w:val="Hyperlink"/>
            <w:rFonts w:ascii="Times New Roman" w:hAnsi="Times New Roman"/>
            <w:b w:val="false"/>
            <w:i w:val="false"/>
            <w:color w:val="000000"/>
            <w:sz w:val="22"/>
          </w:rPr>
          <w:t>78.10(5)</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Enuresis alarm system (bed-wetting alarm device) for members five years of age or older.</w:t>
      </w:r>
    </w:p>
    <w:p>
      <w:pPr>
        <w:spacing w:before="0" w:after="0"/>
        <w:ind w:left="120"/>
        <w:jc w:val="both"/>
      </w:pPr>
      <w:r>
        <w:rPr>
          <w:rFonts w:ascii="Times New Roman" w:hAnsi="Times New Roman"/>
          <w:b w:val="false"/>
          <w:i w:val="false"/>
          <w:color w:val="000000"/>
          <w:sz w:val="22"/>
        </w:rPr>
        <w:t>Heat/cold application device.</w:t>
      </w:r>
    </w:p>
    <w:p>
      <w:pPr>
        <w:spacing w:before="0" w:after="0"/>
        <w:ind w:left="120"/>
        <w:jc w:val="both"/>
      </w:pPr>
      <w:r>
        <w:rPr>
          <w:rFonts w:ascii="Times New Roman" w:hAnsi="Times New Roman"/>
          <w:b w:val="false"/>
          <w:i w:val="false"/>
          <w:color w:val="000000"/>
          <w:sz w:val="22"/>
        </w:rPr>
        <w:t>Hospital bed and accessories.</w:t>
      </w:r>
    </w:p>
    <w:p>
      <w:pPr>
        <w:spacing w:before="0" w:after="0"/>
        <w:ind w:left="120"/>
        <w:jc w:val="both"/>
      </w:pPr>
      <w:r>
        <w:rPr>
          <w:rFonts w:ascii="Times New Roman" w:hAnsi="Times New Roman"/>
          <w:b w:val="false"/>
          <w:i w:val="false"/>
          <w:color w:val="000000"/>
          <w:sz w:val="22"/>
        </w:rPr>
        <w:t xml:space="preserve">Inhalation equipment. See </w:t>
      </w:r>
      <w:hyperlink r:id="rId125">
        <w:r>
          <w:rPr>
            <w:rStyle w:val="Hyperlink"/>
            <w:rFonts w:ascii="Times New Roman" w:hAnsi="Times New Roman"/>
            <w:b w:val="false"/>
            <w:i w:val="false"/>
            <w:color w:val="000000"/>
            <w:sz w:val="22"/>
          </w:rPr>
          <w:t>78.10(5)</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Insulin infusion pump. See </w:t>
      </w:r>
      <w:hyperlink r:id="rId126">
        <w:r>
          <w:rPr>
            <w:rStyle w:val="Hyperlink"/>
            <w:rFonts w:ascii="Times New Roman" w:hAnsi="Times New Roman"/>
            <w:b w:val="false"/>
            <w:i w:val="false"/>
            <w:color w:val="000000"/>
            <w:sz w:val="22"/>
          </w:rPr>
          <w:t>78.10(5)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27">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Lymphedema pump.</w:t>
      </w:r>
    </w:p>
    <w:p>
      <w:pPr>
        <w:spacing w:before="0" w:after="0"/>
        <w:ind w:left="120"/>
        <w:jc w:val="both"/>
      </w:pPr>
      <w:r>
        <w:rPr>
          <w:rFonts w:ascii="Times New Roman" w:hAnsi="Times New Roman"/>
          <w:b w:val="false"/>
          <w:i w:val="false"/>
          <w:color w:val="000000"/>
          <w:sz w:val="22"/>
        </w:rPr>
        <w:t xml:space="preserve">Mobility device and accessories. See </w:t>
      </w:r>
      <w:hyperlink r:id="rId128">
        <w:r>
          <w:rPr>
            <w:rStyle w:val="Hyperlink"/>
            <w:rFonts w:ascii="Times New Roman" w:hAnsi="Times New Roman"/>
            <w:b w:val="false"/>
            <w:i w:val="false"/>
            <w:color w:val="000000"/>
            <w:sz w:val="22"/>
          </w:rPr>
          <w:t>78.10(5)</w:t>
        </w:r>
        <w:r>
          <w:rPr>
            <w:rFonts w:ascii="Times New Roman" w:hAnsi="Times New Roman"/>
            <w:b w:val="false"/>
            <w:i/>
            <w:color w:val="000000"/>
            <w:sz w:val="22"/>
          </w:rPr>
          <w:t>“i”</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Neuromuscular stimulator.</w:t>
      </w:r>
    </w:p>
    <w:p>
      <w:pPr>
        <w:spacing w:before="0" w:after="0"/>
        <w:ind w:left="120"/>
        <w:jc w:val="both"/>
      </w:pPr>
      <w:r>
        <w:rPr>
          <w:rFonts w:ascii="Times New Roman" w:hAnsi="Times New Roman"/>
          <w:b w:val="false"/>
          <w:i w:val="false"/>
          <w:color w:val="000000"/>
          <w:sz w:val="22"/>
        </w:rPr>
        <w:t>Oximeter.</w:t>
      </w:r>
    </w:p>
    <w:p>
      <w:pPr>
        <w:spacing w:before="0" w:after="0"/>
        <w:ind w:left="120"/>
        <w:jc w:val="both"/>
      </w:pPr>
      <w:r>
        <w:rPr>
          <w:rFonts w:ascii="Times New Roman" w:hAnsi="Times New Roman"/>
          <w:b w:val="false"/>
          <w:i w:val="false"/>
          <w:color w:val="000000"/>
          <w:sz w:val="22"/>
        </w:rPr>
        <w:t xml:space="preserve">Oxygen, subject to the limitations in </w:t>
      </w:r>
      <w:hyperlink r:id="rId129">
        <w:r>
          <w:rPr>
            <w:rStyle w:val="Hyperlink"/>
            <w:rFonts w:ascii="Times New Roman" w:hAnsi="Times New Roman"/>
            <w:b w:val="false"/>
            <w:i w:val="false"/>
            <w:color w:val="000000"/>
            <w:sz w:val="22"/>
          </w:rPr>
          <w:t>78.10(2)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78.10(2)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xml:space="preserve">Patient lift. See </w:t>
      </w:r>
      <w:hyperlink r:id="rId131">
        <w:r>
          <w:rPr>
            <w:rStyle w:val="Hyperlink"/>
            <w:rFonts w:ascii="Times New Roman" w:hAnsi="Times New Roman"/>
            <w:b w:val="false"/>
            <w:i w:val="false"/>
            <w:color w:val="000000"/>
            <w:sz w:val="22"/>
          </w:rPr>
          <w:t>78.10(5)</w:t>
        </w:r>
        <w:r>
          <w:rPr>
            <w:rFonts w:ascii="Times New Roman" w:hAnsi="Times New Roman"/>
            <w:b w:val="false"/>
            <w:i/>
            <w:color w:val="000000"/>
            <w:sz w:val="22"/>
          </w:rPr>
          <w:t>“h”</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Phototherapy bilirubin light.</w:t>
      </w:r>
    </w:p>
    <w:p>
      <w:pPr>
        <w:spacing w:before="0" w:after="0"/>
        <w:ind w:left="120"/>
        <w:jc w:val="both"/>
      </w:pPr>
      <w:r>
        <w:rPr>
          <w:rFonts w:ascii="Times New Roman" w:hAnsi="Times New Roman"/>
          <w:b w:val="false"/>
          <w:i w:val="false"/>
          <w:color w:val="000000"/>
          <w:sz w:val="22"/>
        </w:rPr>
        <w:t>Protective helmet.</w:t>
      </w:r>
    </w:p>
    <w:p>
      <w:pPr>
        <w:spacing w:before="0" w:after="0"/>
        <w:ind w:left="120"/>
        <w:jc w:val="both"/>
      </w:pPr>
      <w:r>
        <w:rPr>
          <w:rFonts w:ascii="Times New Roman" w:hAnsi="Times New Roman"/>
          <w:b w:val="false"/>
          <w:i w:val="false"/>
          <w:color w:val="000000"/>
          <w:sz w:val="22"/>
        </w:rPr>
        <w:t>Seat lift chair.</w:t>
      </w:r>
    </w:p>
    <w:p>
      <w:pPr>
        <w:spacing w:before="0" w:after="0"/>
        <w:ind w:left="120"/>
        <w:jc w:val="both"/>
      </w:pPr>
      <w:r>
        <w:rPr>
          <w:rFonts w:ascii="Times New Roman" w:hAnsi="Times New Roman"/>
          <w:b w:val="false"/>
          <w:i w:val="false"/>
          <w:color w:val="000000"/>
          <w:sz w:val="22"/>
        </w:rPr>
        <w:t xml:space="preserve">Speech generating device. See </w:t>
      </w:r>
      <w:hyperlink r:id="rId132">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Traction equipment.</w:t>
      </w:r>
    </w:p>
    <w:p>
      <w:pPr>
        <w:spacing w:before="0" w:after="0"/>
        <w:ind w:left="120"/>
        <w:jc w:val="both"/>
      </w:pPr>
      <w:r>
        <w:rPr>
          <w:rFonts w:ascii="Times New Roman" w:hAnsi="Times New Roman"/>
          <w:b w:val="false"/>
          <w:i w:val="false"/>
          <w:color w:val="000000"/>
          <w:sz w:val="22"/>
        </w:rPr>
        <w:t>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Coverage of home oxygen equipment and oxygen will be considered reasonable and necessary for members in accordance with Medicare criteria and as shown by supporting medical documentation. The physician, physician assistant, or advanced registered nurse practitioner shall document that other forms of treatment are contraindicated or have been tried and have not been successful and that oxygen therapy is required.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Home oxygen equipment and oxygen are covered for children through three years of age when prescribed by a physician, physician assistant or advanced registered nurse practitioner. A pulse oximeter reading must be obtained yearly and documented in the provider and physician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identify the medical necessity for oxygen therapy, a Certificate of Medical Necessity for Oxygen, Form CMS-484, or a reasonable facsimile completed by a physician, physician assistant, or advanced registered nurse practitioner, shall qualify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condition or need for oxygen services changes, the attending physician, physician assistant, or advanced registered nurse practitioner must adjust the documentation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second oxygen system is not covered by Medicaid when used as a backup for oxygen concentrators or as a standby in case of emergency. Members may be provided with a portable oxygen system to complement a stationary oxygen system, or to be used by itself, with documentation from the physician, physician assistant, or advanced registered nurse practitioner of the specific activities for which portable oxygen is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oxygen systems shall be made only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accessories, disposable supplies, servicing, and repairing of oxygen systems are included in the monthly Medicaid payment for oxygen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Wheelchairs, wheelchair accessories, and wheelchair modifications are covered when they are medically necessary for mobility within the home, nursing facility, or intermediate care facility. Wheelchairs are defined 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manual wheelchairs. Coverage of a standard manual wheelchair includes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 rims with or without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Weight-specific components required by the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Elevating legrest, lower extension tube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Armrest (detachable, non-adjustable or adjustable) with or without arm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Footrest (swingaway, detachable), including lower extension tube(s)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Standard size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Wheelchair bearings;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Caster fork, replacement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manual wheelchair accessories that are separately billable and require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Headrest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One-arm drive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Positioning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Specialized skin protection seat and back cushions;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Anti-rollback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Coverage of a standard power wheelchair requires prior authorization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Lap belt or safety belt;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Battery charger, single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Legrests (fixed, swingaway, or detachable non-elevation legrests with or without calf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Footrests/foot platform (fixed, swingaway, detachable footrests or a foot platform without angle adjustment, single adjustable footplate);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Armrests (fixed, swingaway, detachable non-adjustable height armrests with arm pad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weight-specific components (braces, bars, upholstery, brackets, motors, gears, etc.) as required by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seat width and depth. For power wheelchairs with a sling/solid seat/back, the following may be billed separately: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Any back width. For power wheelchairs with a sling/solid seat/back, the following may be billed separately: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Non-expandable controller or standard proportional joystick (integrated or remote);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accessories that are billed separately and require a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Shoulder harness/straps or chest straps/vest;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Elevating legrest;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Angle adjustable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Adjustable height armrests;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Expandable controller or nonstandard joystick (i.e., non-proportional or mini, compact or short throw proportional, or other alternative control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items are payable with a prior authorization, in accordance with 42 CFR §414.224.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78.10(3)</w:t>
      </w:r>
      <w:r>
        <w:rPr>
          <w:rFonts w:ascii="Times New Roman" w:hAnsi="Times New Roman"/>
          <w:b w:val="false"/>
          <w:i w:val="false"/>
          <w:color w:val="000000"/>
          <w:sz w:val="22"/>
        </w:rPr>
        <w:t> </w:t>
      </w:r>
      <w:r>
        <w:rPr>
          <w:rFonts w:ascii="Times New Roman" w:hAnsi="Times New Roman"/>
          <w:b w:val="false"/>
          <w:i/>
          <w:color w:val="000000"/>
          <w:sz w:val="22"/>
        </w:rPr>
        <w:t xml:space="preserve">Prosthetic devices. </w:t>
      </w:r>
      <w:r>
        <w:rPr>
          <w:rFonts w:ascii="Times New Roman" w:hAnsi="Times New Roman"/>
          <w:b w:val="false"/>
          <w:i w:val="false"/>
          <w:color w:val="000000"/>
          <w:sz w:val="22"/>
        </w:rPr>
        <w:t>Prosthetic devices mean replacement, corrective, or supportive devices prescribed by a physician (doctor of medicine, osteopathy or podiatry), physician assistant, or advanced registered nurse practitioner within the scope of practice as defined by state law to artificially replace a missing portion of the body, prevent or correct a physical deformity or malfunction, or support a weak or deformed portion of the body. This does not require a determination that there is no possibility that the member’s condition may improve sometime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Prosthetic devices are not covered when dispensed to a member prior to the time the member undergoes a procedure which will make necessary the use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prosthetic devices covered through the Medicaid program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Artificial limbs.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delivery supplies and products. See </w:t>
      </w:r>
      <w:hyperlink r:id="rId133">
        <w:r>
          <w:rPr>
            <w:rStyle w:val="Hyperlink"/>
            <w:rFonts w:ascii="Times New Roman" w:hAnsi="Times New Roman"/>
            <w:b w:val="false"/>
            <w:i w:val="false"/>
            <w:color w:val="000000"/>
            <w:sz w:val="22"/>
          </w:rPr>
          <w:t>78.10(5)</w:t>
        </w:r>
        <w:r>
          <w:rPr>
            <w:rFonts w:ascii="Times New Roman" w:hAnsi="Times New Roman"/>
            <w:b w:val="false"/>
            <w:i/>
            <w:color w:val="000000"/>
            <w:sz w:val="22"/>
          </w:rPr>
          <w:t>“l”</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 aids. See rule </w:t>
      </w:r>
      <w:hyperlink r:id="rId134">
        <w:r>
          <w:rPr>
            <w:rStyle w:val="Hyperlink"/>
            <w:rFonts w:ascii="Times New Roman" w:hAnsi="Times New Roman"/>
            <w:b w:val="false"/>
            <w:i w:val="false"/>
            <w:color w:val="000000"/>
            <w:sz w:val="22"/>
          </w:rPr>
          <w:t>441—78.14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Orthotic devices. See </w:t>
      </w:r>
      <w:hyperlink r:id="rId135">
        <w:r>
          <w:rPr>
            <w:rStyle w:val="Hyperlink"/>
            <w:rFonts w:ascii="Times New Roman" w:hAnsi="Times New Roman"/>
            <w:b w:val="false"/>
            <w:i w:val="false"/>
            <w:color w:val="000000"/>
            <w:sz w:val="22"/>
          </w:rPr>
          <w:t>78.10(3)</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limitations on coverage of cranial orthotic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Parenteral delivery supplies and products. Daily parenteral nutrition therapy is considered necessary and reasonable for a member with severe pathology of the alimentary tract that does not allow absorption of sufficient nutrients to maintain weight and strength commensurate with the member’s general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Prosthetic shoes, orthopedic shoes. See rule </w:t>
      </w:r>
      <w:hyperlink r:id="rId136">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Tracheotomy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Vibrotactile aids. Vibrotactile aids are payable only once in a four-year period unless the original aid is broken beyond repair or lost. (Cross reference </w:t>
      </w:r>
      <w:hyperlink r:id="rId137">
        <w:r>
          <w:rPr>
            <w:rStyle w:val="Hyperlink"/>
            <w:rFonts w:ascii="Times New Roman" w:hAnsi="Times New Roman"/>
            <w:b w:val="false"/>
            <w:i w:val="false"/>
            <w:color w:val="000000"/>
            <w:sz w:val="22"/>
          </w:rPr>
          <w:t>78.28(5)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Cranial orthotic device. Payment shall be approved for cranial orthotic devices when the device is medically necessary for the postsurgical treatment of synostotic plagiocephaly. Payment shall also be approved when there is documentation supporting moderate to severe nonsynostotic positional plagiocephaly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12 weeks of age but younger than 36 weeks of age and has failed to respond to a two-month trial of repositioning therapy;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is 36 weeks of age but younger than 108 weeks of age and there is documentation of either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Cephalic index at least two standard deviations above the mean for the member’s gender and age;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Asymmetry of 12 millimeters or more in the cranial vault, skull base, or orbitotragial depth.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78.10(4)</w:t>
      </w:r>
      <w:r>
        <w:rPr>
          <w:rFonts w:ascii="Times New Roman" w:hAnsi="Times New Roman"/>
          <w:b w:val="false"/>
          <w:i w:val="false"/>
          <w:color w:val="000000"/>
          <w:sz w:val="22"/>
        </w:rPr>
        <w:t> </w:t>
      </w:r>
      <w:r>
        <w:rPr>
          <w:rFonts w:ascii="Times New Roman" w:hAnsi="Times New Roman"/>
          <w:b w:val="false"/>
          <w:i/>
          <w:color w:val="000000"/>
          <w:sz w:val="22"/>
        </w:rPr>
        <w:t xml:space="preserve">Medical supplies. </w:t>
      </w:r>
      <w:r>
        <w:rPr>
          <w:rFonts w:ascii="Times New Roman" w:hAnsi="Times New Roman"/>
          <w:b w:val="false"/>
          <w:i w:val="false"/>
          <w:color w:val="000000"/>
          <w:sz w:val="22"/>
        </w:rPr>
        <w:t xml:space="preserve">Medical supplies are nondurable items consumed in the process of giving medical care, for example, nebulizers, gauze, bandages, sterile pads, adhesive tape, and sterile absorbent cotton. Medical supplies are payable for a specific medicinal purpose. This does not include food or drugs. However, active pharmaceutical ingredients and excipients that are identified as preferred on the preferred drug list published by the department pursuant to Iowa Code section </w:t>
      </w:r>
      <w:hyperlink r:id="rId138">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xml:space="preserve"> are covered. Medical supplies shall not be dispensed at any one time in quantities exceeding a 31-day supply for active pharmaceutical ingredients and excipients or a three-month supply for all other items. After the initial dispensing of medical supplies, the provider must document a refill request from the Medicaid member or the member’s caregiver for each refill.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medical supplies and supplies necessary for the effective use of a payable item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Active pharmaceutical ingredients and excipients identified as preferred on the preferred drug list published pursuant to Iowa Code section </w:t>
      </w:r>
      <w:hyperlink r:id="rId139">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xml:space="preserve">Diabetic supplies (including but not limited to blood glucose test strips, lancing devices, lancets, needles, syringes, and diabetic urine test supplies). See </w:t>
      </w:r>
      <w:hyperlink r:id="rId140">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Dialysis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Dressings.</w:t>
      </w:r>
    </w:p>
    <w:p>
      <w:pPr>
        <w:spacing w:before="0" w:after="0"/>
        <w:ind w:left="120"/>
        <w:jc w:val="both"/>
      </w:pPr>
      <w:r>
        <w:rPr>
          <w:rFonts w:ascii="Times New Roman" w:hAnsi="Times New Roman"/>
          <w:b w:val="false"/>
          <w:i w:val="false"/>
          <w:color w:val="000000"/>
          <w:sz w:val="22"/>
        </w:rPr>
        <w:t>Elastic antiembolism support stocking.</w:t>
      </w:r>
    </w:p>
    <w:p>
      <w:pPr>
        <w:spacing w:before="0" w:after="0"/>
        <w:ind w:left="120"/>
        <w:jc w:val="both"/>
      </w:pPr>
      <w:r>
        <w:rPr>
          <w:rFonts w:ascii="Times New Roman" w:hAnsi="Times New Roman"/>
          <w:b w:val="false"/>
          <w:i w:val="false"/>
          <w:color w:val="000000"/>
          <w:sz w:val="22"/>
        </w:rPr>
        <w:t>Enema.</w:t>
      </w:r>
    </w:p>
    <w:p>
      <w:pPr>
        <w:spacing w:before="0" w:after="0"/>
        <w:ind w:left="120"/>
        <w:jc w:val="both"/>
      </w:pPr>
      <w:r>
        <w:rPr>
          <w:rFonts w:ascii="Times New Roman" w:hAnsi="Times New Roman"/>
          <w:b w:val="false"/>
          <w:i w:val="false"/>
          <w:color w:val="000000"/>
          <w:sz w:val="22"/>
        </w:rPr>
        <w:t>Hearing aid batteries.</w:t>
      </w:r>
    </w:p>
    <w:p>
      <w:pPr>
        <w:spacing w:before="0" w:after="0"/>
        <w:ind w:left="120"/>
        <w:jc w:val="both"/>
      </w:pPr>
      <w:r>
        <w:rPr>
          <w:rFonts w:ascii="Times New Roman" w:hAnsi="Times New Roman"/>
          <w:b w:val="false"/>
          <w:i w:val="false"/>
          <w:color w:val="000000"/>
          <w:sz w:val="22"/>
        </w:rPr>
        <w:t>Incontinence products (for members three years of age and older).</w:t>
      </w:r>
    </w:p>
    <w:p>
      <w:pPr>
        <w:spacing w:before="0" w:after="0"/>
        <w:ind w:left="120"/>
        <w:jc w:val="both"/>
      </w:pPr>
      <w:r>
        <w:rPr>
          <w:rFonts w:ascii="Times New Roman" w:hAnsi="Times New Roman"/>
          <w:b w:val="false"/>
          <w:i w:val="false"/>
          <w:color w:val="000000"/>
          <w:sz w:val="22"/>
        </w:rPr>
        <w:t xml:space="preserve">Oral nutritional products. See </w:t>
      </w:r>
      <w:hyperlink r:id="rId141">
        <w:r>
          <w:rPr>
            <w:rStyle w:val="Hyperlink"/>
            <w:rFonts w:ascii="Times New Roman" w:hAnsi="Times New Roman"/>
            <w:b w:val="false"/>
            <w:i w:val="false"/>
            <w:color w:val="000000"/>
            <w:sz w:val="22"/>
          </w:rPr>
          <w:t>78.10(5)</w:t>
        </w:r>
        <w:r>
          <w:rPr>
            <w:rFonts w:ascii="Times New Roman" w:hAnsi="Times New Roman"/>
            <w:b w:val="false"/>
            <w:i/>
            <w:color w:val="000000"/>
            <w:sz w:val="22"/>
          </w:rPr>
          <w:t>“m”</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Respirator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Surgical supplies.</w:t>
      </w:r>
    </w:p>
    <w:p>
      <w:pPr>
        <w:spacing w:before="0" w:after="0"/>
        <w:ind w:left="120"/>
        <w:jc w:val="both"/>
      </w:pPr>
      <w:r>
        <w:rPr>
          <w:rFonts w:ascii="Times New Roman" w:hAnsi="Times New Roman"/>
          <w:b w:val="false"/>
          <w:i w:val="false"/>
          <w:color w:val="000000"/>
          <w:sz w:val="22"/>
        </w:rPr>
        <w:t>Urinary collection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types of medical supplies will be approved for payment for members receiving care in a nursing facility or an intermediate care facility for persons with an intellectual disability when prescribed by the physician, physician assistant, or advanced registered nurse practitioner:</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Diabetic supplies (including but not limited to lancing devices, lancets, needles and syringes, blood glucose test strips, and diabetic urine test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78.10(5)</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requirements. </w:t>
      </w:r>
      <w:r>
        <w:rPr>
          <w:rFonts w:ascii="Times New Roman" w:hAnsi="Times New Roman"/>
          <w:b w:val="false"/>
          <w:i w:val="false"/>
          <w:color w:val="000000"/>
          <w:sz w:val="22"/>
        </w:rPr>
        <w:t xml:space="preserve">Prior authorization pursuant to rule </w:t>
      </w:r>
      <w:hyperlink r:id="rId142">
        <w:r>
          <w:rPr>
            <w:rStyle w:val="Hyperlink"/>
            <w:rFonts w:ascii="Times New Roman" w:hAnsi="Times New Roman"/>
            <w:b w:val="false"/>
            <w:i w:val="false"/>
            <w:color w:val="000000"/>
            <w:sz w:val="22"/>
          </w:rPr>
          <w:t>441—79.8</w:t>
        </w:r>
      </w:hyperlink>
      <w:r>
        <w:rPr>
          <w:rFonts w:ascii="Times New Roman" w:hAnsi="Times New Roman"/>
          <w:b w:val="false"/>
          <w:i w:val="false"/>
          <w:color w:val="000000"/>
          <w:sz w:val="22"/>
        </w:rPr>
        <w:t>(249A) is required for the following medical equipment and supplies (Cross reference 78.28(1)):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Enclosed beds. Payment for an enclosed bed shall be approved when prescribed for a member who meets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diagnosis-related cognitive or communication impairment that results in risk to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mobility puts the member at risk for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External insulin infusion pumps. Payment will be approved according to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Vest airway clearance systems. Payment will be approved for a vest airway clearance system when prescribed by a pulmonologist for a member with a diagnosis of a lung disorder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Pulmonary function tests for the 12 months before the initiation of the vest demonstrate an overall significant decrease in lung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resides in an independent living situation or has a medical condition that precludes the caregiver from administering traditional chest physiotherapy.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by flutter device failed or is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Treatment by intrapulmonary percussive ventilation failed or is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less costly alternatives have been tried.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12/30/20</w:t>
      </w:r>
      <w:r>
        <w:rPr>
          <w:rFonts w:ascii="Times New Roman" w:hAnsi="Times New Roman"/>
          <w:b w:val="false"/>
          <w:i w:val="false"/>
          <w:color w:val="000000"/>
          <w:sz w:val="22"/>
        </w:rPr>
        <w:t>, effective 3/1/21.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DME rebate agreements. If the department has a current agreement for a rebate with at least one manufacturer of a particular category of diabetic equipment or supplies (by healthcare common procedure coding system (HCPCS) code), prior authorization is required for any equipment or supplies in that category produced by a manufacturer that does not have a current agreement to provide a rebate to the department (other than supplies for members receiving care in a nursing facility or an intermediate care facility for persons with an intellectual disability). Prior approval shall be granted when the member’s medical condition necessitates use of equipment or supplies produced by a manufacturer that does not have a current rebate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Speech generating device. Payment shall be approved according to Medicare coverage criteria. Form 470-2145, Speech Generating Device System Selection, completed by a speech-language pathologist and a physician’s, physician assistant’s, or advanced registered nurse practitioner’s prescription for a particular device shall be submitted with the request for prior authorization. In addition, documentation from a speech-language pathologist must include information on the member’s educational ability and needs, vocational potential, anticipated duration of need, prognosis regarding oral communication skills, prognosis with a particular device, and recommendations. A minimum one-month trial period is required for all devices. The Iowa Medicaid enterprise consultant with expertise in speech-language pathology will evaluate each prior authorization request and make recommendations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Bathtub/shower chair, bench. Payment shall be approved for specialized bath equipment for members whose medical condition necessitates additional body support while bathing.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Patient lift, nonstandard. Payment shall be approved for a nonstandard lift, such as a portable, ceiling or electric lifter, when the member meets the Medicare criteria for a patient lift and a standard lifter (Hoyer type) will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Power wheelchair attendant control. Payment shall be approved when the member has a power wheelchair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sip ’n puff attachment,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documentation demonstrates the member’s difficulty operating the wheelchair in tight space,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medical documentation demonstrates the member becomes fatigued.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Shower commode chairs. Prior authorization shall be granted when documentation from a physician, physician assistant, advanced registered nurse practitioner, physical therapist or occupational therapist indicates that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unable to stand for the duration of a shower or is unable to get in or out of a bathtub,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Needs upper body support while sitting,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Needs to be tilted back for safety or pressure relief, if a tilt-in-space chair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Ventilator, secondary. Payment shall be approved according to the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products and enteral delivery pumps and supplies. Payment shall be approved according to Medicare coverage criteria.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Medicare criteria for permanence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Oral nutritional products. Payment shall be approved when the member is not able to ingest or absorb sufficient nutrients from regular food due to a metabolic, digestive, or psychological disorder or pathology, to the extent that supplementation is necessary to provide 51 percent or more of the daily caloric intake, or when the use of oral nutritional products is otherwise determined medically necessary in accordance with evidence-based guidelines for treatment of the member’s condition. Nutritional products consumed orally are not covered for members in nursing facilities or intermediate care facilities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Reimbursement over the established Medicaid fee schedule amount. Payment shall be approved for bariatric equipment, pediatric equipment or other specialized medical equipment, supply, prosthetic or orthotic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Meets the definition of a code in the current healthcare common procedure coding system (HCPCS),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 established Medicaid fee schedule amount that is inadequate to cover the provider’s cost to obtain the equipment or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Customized wheelchairs, subject to the requirements of 78.10(2)</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8344B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8643B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8993B</w:t>
      </w:r>
      <w:r>
        <w:rPr>
          <w:rFonts w:ascii="Times New Roman" w:hAnsi="Times New Roman"/>
          <w:b w:val="false"/>
          <w:i w:val="false"/>
          <w:color w:val="000000"/>
          <w:sz w:val="16"/>
        </w:rPr>
        <w:t>, IAB 8/11/10,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9256B</w:t>
      </w:r>
      <w:r>
        <w:rPr>
          <w:rFonts w:ascii="Times New Roman" w:hAnsi="Times New Roman"/>
          <w:b w:val="false"/>
          <w:i w:val="false"/>
          <w:color w:val="000000"/>
          <w:sz w:val="16"/>
        </w:rPr>
        <w:t>, IAB 12/1/10,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0632C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0823C</w:t>
      </w:r>
      <w:r>
        <w:rPr>
          <w:rFonts w:ascii="Times New Roman" w:hAnsi="Times New Roman"/>
          <w:b w:val="false"/>
          <w:i w:val="false"/>
          <w:color w:val="000000"/>
          <w:sz w:val="16"/>
        </w:rPr>
        <w:t>, IAB 7/10/13, effective 9/1/13</w:t>
      </w:r>
      <w:r>
        <w:rPr>
          <w:rFonts w:ascii="Times New Roman" w:hAnsi="Times New Roman"/>
          <w:b w:val="false"/>
          <w:i w:val="false"/>
          <w:color w:val="000000"/>
          <w:sz w:val="16"/>
        </w:rPr>
        <w:t xml:space="preserve">; </w:t>
      </w:r>
      <w:r>
        <w:rPr>
          <w:rFonts w:ascii="Times New Roman" w:hAnsi="Times New Roman"/>
          <w:b/>
          <w:i w:val="false"/>
          <w:color w:val="000000"/>
          <w:sz w:val="16"/>
        </w:rPr>
        <w:t>ARC 1151C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4575C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5362C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441—78.11</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Ambulance service. </w:t>
      </w:r>
      <w:r>
        <w:rPr>
          <w:rFonts w:ascii="Times New Roman" w:hAnsi="Times New Roman"/>
          <w:b w:val="false"/>
          <w:i w:val="false"/>
          <w:color w:val="000000"/>
          <w:sz w:val="22"/>
        </w:rPr>
        <w:t>Payment will be approved for ambulance service if it is required by the recipient’s condition and the recipient is transported to the nearest hospital with appropriate facilities or to one in the same locality, from one hospital to another, to the patient’s home, to a nursing facility, or to a mental health access center. Payment for ambulance service to the nearest hospital for outpatient service will be approved only for emergency treatment. Ambulance service must be medically necessary and not merely for the convenience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Partial payment may be made when an individual is transported beyond the destinations specified, and is limited to the amount that would have been paid had the individual been transported to the nearest institution with appropriate facilities. When transportation is to the patient’s home, partial payment is limited to the amount that would have been paid from the nearest institution with appropriate facilities. When a recipient who is a resident of a nursing care facility is hospitalized and later discharged from the hospital, payment will be made for the trip to the nursing care facility where the recipient resides even though it may not in fact be the nearest nursing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medical services unit shall determine that the ambulance transportation was medically necessary and that the condition of the patient precluded any other method of transportation. Payment can be made without the physician’s confirmation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admitted as a hospital inpatient or in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 information on file relating to the patient’s condition clearly indicates ambulance service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When a patient is transferred from one nursing home to another because of the closing of a facility or from a nursing home to a custodial home because the recipient no longer requires nursing care, the conditions of medical necessity and the distance requirements shall not be applicable. Approval for transfer shall be made by the local office of the department of human services prior to the transfer. When such a transfer is made, the following rate schedule shall apply:</w:t>
      </w:r>
    </w:p>
    <w:p>
      <w:pPr>
        <w:spacing w:before="0" w:after="0"/>
        <w:ind w:left="120"/>
        <w:jc w:val="both"/>
      </w:pPr>
      <w:r>
        <w:rPr>
          <w:rFonts w:ascii="Times New Roman" w:hAnsi="Times New Roman"/>
          <w:b w:val="false"/>
          <w:i w:val="false"/>
          <w:color w:val="000000"/>
          <w:sz w:val="22"/>
        </w:rPr>
        <w:t>One patient - normal allowance</w:t>
      </w:r>
    </w:p>
    <w:p>
      <w:pPr>
        <w:spacing w:before="0" w:after="0"/>
        <w:ind w:left="120"/>
        <w:jc w:val="both"/>
      </w:pPr>
      <w:r>
        <w:rPr>
          <w:rFonts w:ascii="Times New Roman" w:hAnsi="Times New Roman"/>
          <w:b w:val="false"/>
          <w:i w:val="false"/>
          <w:color w:val="000000"/>
          <w:sz w:val="22"/>
        </w:rPr>
        <w:t>Two patients - 3/4 normal allowance per patient</w:t>
      </w:r>
    </w:p>
    <w:p>
      <w:pPr>
        <w:spacing w:before="0" w:after="0"/>
        <w:ind w:left="120"/>
        <w:jc w:val="both"/>
      </w:pPr>
      <w:r>
        <w:rPr>
          <w:rFonts w:ascii="Times New Roman" w:hAnsi="Times New Roman"/>
          <w:b w:val="false"/>
          <w:i w:val="false"/>
          <w:color w:val="000000"/>
          <w:sz w:val="22"/>
        </w:rPr>
        <w:t>Three patients - 2/3 normal allowance per patient</w:t>
      </w:r>
    </w:p>
    <w:p>
      <w:pPr>
        <w:spacing w:before="0" w:after="0"/>
        <w:ind w:left="120"/>
        <w:jc w:val="both"/>
      </w:pPr>
      <w:r>
        <w:rPr>
          <w:rFonts w:ascii="Times New Roman" w:hAnsi="Times New Roman"/>
          <w:b w:val="false"/>
          <w:i w:val="false"/>
          <w:color w:val="000000"/>
          <w:sz w:val="22"/>
        </w:rPr>
        <w:t>Four patients - 5/8 normal allowance per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of hospital inpatients. When an ambulance service provides transport of a hospital inpatient to a provider and returns the recipient to the same hospital (the recipient continuing to be an inpatient of the hospital), the ambulance service shall bill the hospital for reimbursement as the hospital’s DRG reimbursement system includes all costs associated with providing inpatient services as stated in </w:t>
      </w:r>
      <w:hyperlink r:id="rId146">
        <w:r>
          <w:rPr>
            <w:rStyle w:val="Hyperlink"/>
            <w:rFonts w:ascii="Times New Roman" w:hAnsi="Times New Roman"/>
            <w:b w:val="false"/>
            <w:i w:val="false"/>
            <w:color w:val="000000"/>
            <w:sz w:val="22"/>
          </w:rPr>
          <w:t>441—paragraph 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ambulance service is called to provide ground ambulance transport, payment shall be made only to one ambulance company. When a paramedic from one ambulance service joins a ground ambulance company already in transport, coverage is not available for the services and supplies provided by the paramedic.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441—78.12</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intervention. </w:t>
      </w:r>
      <w:r>
        <w:rPr>
          <w:rFonts w:ascii="Times New Roman" w:hAnsi="Times New Roman"/>
          <w:b w:val="false"/>
          <w:i w:val="false"/>
          <w:color w:val="000000"/>
          <w:sz w:val="22"/>
        </w:rPr>
        <w:t>Payment will be made for behavioral health intervention services not otherwise covered under this chapter that are designed to minimize or, if possible, eliminate the symptoms or causes of a mental disorder, subject to the limitations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intervention” </w:t>
      </w:r>
      <w:r>
        <w:rPr>
          <w:rFonts w:ascii="Times New Roman" w:hAnsi="Times New Roman"/>
          <w:b w:val="false"/>
          <w:i w:val="false"/>
          <w:color w:val="000000"/>
          <w:sz w:val="22"/>
        </w:rPr>
        <w:t>means skill-building services that focus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Addressing the mental and functional disabilities that negatively affect a member’s integration and stability in the community and quality of life;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Improving a member’s health and well-being related to the member’s mental disorder by reducing or managing the symptoms or behaviors that prevent the member from functioning at the member’s best possible functional level;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Promoting a member’s mental health recovery and resilience through increasing the member’s ability to manage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practitioner of the healing arts”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“LPHA,” </w:t>
      </w:r>
      <w:r>
        <w:rPr>
          <w:rFonts w:ascii="Times New Roman" w:hAnsi="Times New Roman"/>
          <w:b w:val="false"/>
          <w:i w:val="false"/>
          <w:color w:val="000000"/>
          <w:sz w:val="22"/>
        </w:rPr>
        <w:t>as used in this rule, means a practitioner such as a physician (M.D. or D.O.), a physician assistant (PA), an advanced registered nurse practitioner (ARNP), a psychologist, a social worker (LMSW or LISW), a marital and family therapist (LMFT), or a mental health counselor (LMHC) who is licensed by the applicable state authority for that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48">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disorder” </w:t>
      </w:r>
      <w:r>
        <w:rPr>
          <w:rFonts w:ascii="Times New Roman" w:hAnsi="Times New Roman"/>
          <w:b w:val="false"/>
          <w:i w:val="false"/>
          <w:color w:val="000000"/>
          <w:sz w:val="22"/>
        </w:rPr>
        <w:t>means a disorder, dysfunction, or dysphoria diagnosed pursuant to the current version of the Diagnostic and Statistical Manual of Mental Disorders published by the American Psychiatric Association, excluding intellectual disabilities, personality disorders, medication-induced movement disorders and other adverse effects of medication, and other conditions that may be a focus of clinical attention.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behavioral health intervention is available to a member living in a community-based environment. Services have a primary goal of assisting the member and the member’s family to learn age-appropriate skills to manage behavior and regain or retain self-control. Depending on the member’s age and diagnosis, specific services offered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Crisis intervention,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Skill training and development,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behavioral health intervention is available to members eligible for foster group care payment pursuant to </w:t>
      </w:r>
      <w:hyperlink r:id="rId149">
        <w:r>
          <w:rPr>
            <w:rStyle w:val="Hyperlink"/>
            <w:rFonts w:ascii="Times New Roman" w:hAnsi="Times New Roman"/>
            <w:b w:val="false"/>
            <w:i w:val="false"/>
            <w:color w:val="000000"/>
            <w:sz w:val="22"/>
          </w:rPr>
          <w:t>441—subrule 156.20(1)</w:t>
        </w:r>
      </w:hyperlink>
      <w:r>
        <w:rPr>
          <w:rFonts w:ascii="Times New Roman" w:hAnsi="Times New Roman"/>
          <w:b w:val="false"/>
          <w:i w:val="false"/>
          <w:color w:val="000000"/>
          <w:sz w:val="22"/>
        </w:rPr>
        <w:t>. Services have the primary goal of assisting the member to prepare to transition to the community through learning age-appropriate skills to manage behavior and regain or retain self-control. Specific services offered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Crisis intervention,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 is not covered for members who are in an acute care or psychiatric hospital, or a long-term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Crisis intervention. </w:t>
      </w:r>
      <w:r>
        <w:rPr>
          <w:rFonts w:ascii="Times New Roman" w:hAnsi="Times New Roman"/>
          <w:b w:val="false"/>
          <w:i w:val="false"/>
          <w:color w:val="000000"/>
          <w:sz w:val="22"/>
        </w:rPr>
        <w:t>Crisis intervention services shall provide a focused intervention and rapid stabilization of acute symptoms of mental illness or emotional distress. The intervention shall be designed to de-escalate situations in which a risk to self, others, or property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shall assist a member to regain self-control and reestablish effective management of behavioral symptoms associated with a psychological disorder in an age-appropriate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 is covered only for Medicaid members who are aged 20 or under and shall be provided as outlined in a written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intervention services do not include control room or other restraint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intervention. </w:t>
      </w:r>
      <w:r>
        <w:rPr>
          <w:rFonts w:ascii="Times New Roman" w:hAnsi="Times New Roman"/>
          <w:b w:val="false"/>
          <w:i w:val="false"/>
          <w:color w:val="000000"/>
          <w:sz w:val="22"/>
        </w:rPr>
        <w:t>Behavior intervention includes services designed to modify the psychological, behavioral, emotional, cognitive, and social factors affecting a member’s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Interventions may address the following skills for effective functioning with family, peers, and community in an age-appropriate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Cognitive flexibility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Emotional regulation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Executive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Social skills.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 intervention shall be provided in a location appropriate for skill identification, teaching and development. Intervention may be provided in an individual, family, or group format as appropriate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 intervention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Covered services include only direct teaching or development of skills and not general recreation, non-skill-based activities, mentoring, or interruption of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w:t>
      </w:r>
      <w:r>
        <w:rPr>
          <w:rFonts w:ascii="Times New Roman" w:hAnsi="Times New Roman"/>
          <w:b w:val="false"/>
          <w:i w:val="false"/>
          <w:color w:val="000000"/>
          <w:sz w:val="22"/>
        </w:rPr>
        <w:t>Family training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Family training services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Enhance the family’s ability to effectively interact with the child and support the child’s functioning in the home and community,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Teach parents to identify and implement strategies to reduce target behaviors and reinforce the appropriate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provided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for the direct benefit of the member,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based on a curriculum with a training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Skill training and development. </w:t>
      </w:r>
      <w:r>
        <w:rPr>
          <w:rFonts w:ascii="Times New Roman" w:hAnsi="Times New Roman"/>
          <w:b w:val="false"/>
          <w:i w:val="false"/>
          <w:color w:val="000000"/>
          <w:sz w:val="22"/>
        </w:rPr>
        <w:t>Skill training and development services are covered for Medicaid members aged 18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Skill training and development shall consist of interventions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Enhance a member’s independent living, social, and communication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Minimize or eliminate psychological barriers to a member’s ability to effectively manage symptoms associated with a psychological disorder;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Maximize a member’s ability to live and participate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may include training in the following skills for effective functioning with family, peers, and community: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Daily living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Employment-related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are habilitative in nature are not covered under behavioral health intervention. For purposes of this subrule, “habilitative services” means services that are designed to assist individuals in acquiring skills that they never had, as well as associated training to acquire self-help, socialization, and adaptive skills necessary to reside successfully in a home or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day care, education, and recreation services are not covered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color w:val="000000"/>
          <w:sz w:val="22"/>
        </w:rPr>
        <w:t xml:space="preserve">Coverage requirements. </w:t>
      </w:r>
      <w:r>
        <w:rPr>
          <w:rFonts w:ascii="Times New Roman" w:hAnsi="Times New Roman"/>
          <w:b w:val="false"/>
          <w:i w:val="false"/>
          <w:color w:val="000000"/>
          <w:sz w:val="22"/>
        </w:rPr>
        <w:t>Medicaid covers behavioral health intervention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practitioner of the healing arts acting within the practitioner’s scope of practice under state law has diagnosed the member with a psychological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licensed practitioner of the healing arts has recommended the behavioral health intervention as part of a plan of treatment designed to treat the member’s psychological disorder. The plan of treatment shall be comprehensive in nature and shall detail all behavioral health services that the member may require, not only services included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need for services must meet specific individual goals that are focused to address: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Risk of harm to self or others,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Behavioral support in the community,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Specific skills impaired due to the member’s mental illness,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Needs of children at risk of out-of-home placement due to mental health needs or the transition back to the community or home following an out-of-home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treatment plan development are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member under the age of 21,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in cooperation with the managed care contractor, selected a standardized assessment instrument appropriate for baseline measurement of the member’s current skill level in managing mental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completed an initial formal assessment of the member using the instrument selected;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Completes a formal assessment every six months thereafter if continued services are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behavioral health intervention provider has prepared a written services implementation plan that meets the requirements of subrule </w:t>
      </w:r>
      <w:hyperlink r:id="rId150">
        <w:r>
          <w:rPr>
            <w:rStyle w:val="Hyperlink"/>
            <w:rFonts w:ascii="Times New Roman" w:hAnsi="Times New Roman"/>
            <w:b w:val="false"/>
            <w:i w:val="false"/>
            <w:color w:val="000000"/>
            <w:sz w:val="22"/>
          </w:rPr>
          <w:t>78.12(5)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color w:val="000000"/>
          <w:sz w:val="22"/>
        </w:rPr>
        <w:t xml:space="preserve">Approval of plan. </w:t>
      </w:r>
      <w:r>
        <w:rPr>
          <w:rFonts w:ascii="Times New Roman" w:hAnsi="Times New Roman"/>
          <w:b w:val="false"/>
          <w:i w:val="false"/>
          <w:color w:val="000000"/>
          <w:sz w:val="22"/>
        </w:rPr>
        <w:t>The behavioral health intervention provider shall contact the member’s managed care plan for authorization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plan. </w:t>
      </w:r>
      <w:r>
        <w:rPr>
          <w:rFonts w:ascii="Times New Roman" w:hAnsi="Times New Roman"/>
          <w:b w:val="false"/>
          <w:i w:val="false"/>
          <w:color w:val="000000"/>
          <w:sz w:val="22"/>
        </w:rPr>
        <w:t>The initial services implementation plan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conforms to the medical necessity requirements in subrule </w:t>
      </w:r>
      <w:hyperlink r:id="rId151">
        <w:r>
          <w:rPr>
            <w:rStyle w:val="Hyperlink"/>
            <w:rFonts w:ascii="Times New Roman" w:hAnsi="Times New Roman"/>
            <w:b w:val="false"/>
            <w:i w:val="false"/>
            <w:color w:val="000000"/>
            <w:sz w:val="22"/>
          </w:rPr>
          <w:t>78.12(6)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consistent with the written diagnosis and treatment recommendations made by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meets the requirements of rule </w:t>
      </w:r>
      <w:hyperlink r:id="rId152">
        <w:r>
          <w:rPr>
            <w:rStyle w:val="Hyperlink"/>
            <w:rFonts w:ascii="Times New Roman" w:hAnsi="Times New Roman"/>
            <w:b w:val="false"/>
            <w:i w:val="false"/>
            <w:color w:val="000000"/>
            <w:sz w:val="22"/>
          </w:rPr>
          <w:t>441—77.12</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plan does not exceed six months’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Subsequent plans. </w:t>
      </w:r>
      <w:r>
        <w:rPr>
          <w:rFonts w:ascii="Times New Roman" w:hAnsi="Times New Roman"/>
          <w:b w:val="false"/>
          <w:i w:val="false"/>
          <w:color w:val="000000"/>
          <w:sz w:val="22"/>
        </w:rPr>
        <w:t xml:space="preserve">The member’s managed care plan may approve a subsequent services implementation plan according to the conditions in paragraph </w:t>
      </w:r>
      <w:hyperlink r:id="rId153">
        <w:r>
          <w:rPr>
            <w:rStyle w:val="Hyperlink"/>
            <w:rFonts w:ascii="Times New Roman" w:hAnsi="Times New Roman"/>
            <w:b w:val="false"/>
            <w:i w:val="false"/>
            <w:color w:val="000000"/>
            <w:sz w:val="22"/>
          </w:rPr>
          <w:t>78.12(5)</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services are recommended by a licensed practitioner of the healing arts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Reexamined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Reviewed the original diagnosis and treatment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Evaluated the member’s progress, including a formal assessment as required by </w:t>
      </w:r>
      <w:hyperlink r:id="rId154">
        <w:r>
          <w:rPr>
            <w:rStyle w:val="Hyperlink"/>
            <w:rFonts w:ascii="Times New Roman" w:hAnsi="Times New Roman"/>
            <w:b w:val="false"/>
            <w:i w:val="false"/>
            <w:color w:val="000000"/>
            <w:sz w:val="22"/>
          </w:rPr>
          <w:t>78.12(4)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78.12(6)</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behavioral health intervention from the requirement that services be medically necessary. For purposes of behavioral health intervention,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 and specific to a daily impairment caused by a mental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evidence-based medical practice. The standards of practice for each field of medical and remedial care covered by the Iowa Medicaid program are those standards of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evidence-based practices in the field.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8504B</w:t>
      </w:r>
      <w:r>
        <w:rPr>
          <w:rFonts w:ascii="Times New Roman" w:hAnsi="Times New Roman"/>
          <w:b w:val="false"/>
          <w:i w:val="false"/>
          <w:color w:val="000000"/>
          <w:sz w:val="16"/>
        </w:rPr>
        <w:t>, IAB 2/10/10, effective 3/22/10</w:t>
      </w:r>
      <w:r>
        <w:rPr>
          <w:rFonts w:ascii="Times New Roman" w:hAnsi="Times New Roman"/>
          <w:b w:val="false"/>
          <w:i w:val="false"/>
          <w:color w:val="000000"/>
          <w:sz w:val="16"/>
        </w:rPr>
        <w:t xml:space="preserve">; </w:t>
      </w:r>
      <w:r>
        <w:rPr>
          <w:rFonts w:ascii="Times New Roman" w:hAnsi="Times New Roman"/>
          <w:b/>
          <w:i w:val="false"/>
          <w:color w:val="000000"/>
          <w:sz w:val="16"/>
        </w:rPr>
        <w:t>ARC 9487B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1850C</w:t>
      </w:r>
      <w:r>
        <w:rPr>
          <w:rFonts w:ascii="Times New Roman" w:hAnsi="Times New Roman"/>
          <w:b w:val="false"/>
          <w:i w:val="false"/>
          <w:color w:val="000000"/>
          <w:sz w:val="16"/>
        </w:rPr>
        <w:t>, IAB 2/4/15, effective 4/1/15</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8959C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441—78.13</w:t>
      </w:r>
      <w:r>
        <w:rPr>
          <w:rFonts w:ascii="Times New Roman" w:hAnsi="Times New Roman"/>
          <w:b/>
          <w:i w:val="false"/>
          <w:color w:val="000000"/>
          <w:sz w:val="22"/>
        </w:rPr>
        <w:t xml:space="preserve">(249A) </w:t>
      </w:r>
      <w:r>
        <w:rPr>
          <w:rFonts w:ascii="Times New Roman" w:hAnsi="Times New Roman"/>
          <w:b/>
          <w:i w:val="false"/>
          <w:color w:val="000000"/>
          <w:sz w:val="22"/>
        </w:rPr>
        <w:t xml:space="preserve">Nonemergency medical transportation. </w:t>
      </w:r>
      <w:r>
        <w:rPr>
          <w:rFonts w:ascii="Times New Roman" w:hAnsi="Times New Roman"/>
          <w:b w:val="false"/>
          <w:i w:val="false"/>
          <w:color w:val="000000"/>
          <w:sz w:val="22"/>
        </w:rPr>
        <w:t>The department makes available nonemergency medical transportation through a transportation brokerage. Medicaid members who are eligible for full Medicaid benefits and need transportation services so that they can receive Medicaid-covered services from providers enrolled with the Iowa Medicaid program may obtain transportation services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 xml:space="preserve">Nonemergency medical transportation services available are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most economical transportation appropriate to the needs of the member, provided to members eligible for nonemergency transportation when those members need transportation to providers enrolled in the Iowa Medicaid program for the receipt of goods or services covered by the Iowa Medicaid program. Consistent with the member’s needs and subject to the limitations and restrictions set forth in this rule, subject to the advance approval of the broker, such transportation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the member, if the member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a volunteer or other responsible person, if the volunteer or other responsible person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Taxi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Public transportation when public transportation is reasonably available and the member’s condition does not preclude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Wheelchair and stretcher vans.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Airfare costs when the most appropriate mode of transport is by air, based on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for costs of the member’s meals necessary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of lodging expenses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Reimbursement of car rental costs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Reimbursement of a medically necessary escort’s travel expenses when an escort is required because of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Nonemergency medical transportation is not available through the Iowa Medicaid program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to obtain services not covered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to providers that are not enrolled in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for members residing in nursing facilities or ICF/ID facilities when such facilities provide the transportation (i.e., within 30 miles, one way,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of family members to visit or participate in therapy when the member is hospitalized or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to durable medical equipment providers when such providers offer a delivery service that can be accessed at no cost to the member, unless the equipment requires a fitting that cannot be provided without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to HCBS and Medicaid providers for transportation provided as part of other covered services, such as personal care, home health, and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 to a pharmacy that provides a free delivery service, with the exception of new prescription fills that are otherwise not available to the patient in the absence of nonemergency medical transportation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78.13(3)</w:t>
      </w:r>
      <w:r>
        <w:rPr>
          <w:rFonts w:ascii="Times New Roman" w:hAnsi="Times New Roman"/>
          <w:b w:val="false"/>
          <w:i w:val="false"/>
          <w:color w:val="000000"/>
          <w:sz w:val="22"/>
        </w:rPr>
        <w:t> </w:t>
      </w:r>
      <w:r>
        <w:rPr>
          <w:rFonts w:ascii="Times New Roman" w:hAnsi="Times New Roman"/>
          <w:b w:val="false"/>
          <w:i/>
          <w:color w:val="000000"/>
          <w:sz w:val="22"/>
        </w:rPr>
        <w:t xml:space="preserve">Conditions and limitations on covered services. </w:t>
      </w:r>
      <w:r>
        <w:rPr>
          <w:rFonts w:ascii="Times New Roman" w:hAnsi="Times New Roman"/>
          <w:b w:val="false"/>
          <w:i w:val="false"/>
          <w:color w:val="000000"/>
          <w:sz w:val="22"/>
        </w:rPr>
        <w:t>Nonemergency medical transportation services are subject to the following limitations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 request. </w:t>
      </w:r>
      <w:r>
        <w:rPr>
          <w:rFonts w:ascii="Times New Roman" w:hAnsi="Times New Roman"/>
          <w:b w:val="false"/>
          <w:i w:val="false"/>
          <w:color w:val="000000"/>
          <w:sz w:val="22"/>
        </w:rPr>
        <w:t>When a member needs nonemergency transportation to receive medical care provided by the Iowa Medicaid program, the member must contact the broker with as much advance notice as possible, but not more than 30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Generally, members who require a ride from a transportation provider scheduled by the broker must contact the broker at least two business days in advance of the member’s appointment to schedule the transportation. For purposes of calculating the two-business-day notice obligation, the advance notice includes the day of the medical appointment but not the day of the telephone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nonemergency transportation need for a ride from a transportation provider scheduled by the broker makes the provision of two business days’ notice impossible because of the member’s urgent transportation need, the member must provide as much advance notice as is possible before the transportation need so that the broker can appropriately schedule the most economical form of transportation for the member. Urgent transportation needs for a ride from a transportation provider scheduled by the broker are limited to unscheduled episodic situations in which there is no immediate threat to life or limb but which require that the broker schedule transportation with less than two business days’ notice. Examples of urgent trips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Postsurgical or medical follow-up care specified by a health care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Unexpected preoperative appointments;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Hospital discharges;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Appointments for new medical conditions or tests;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two-business-day advance notice obligation does not apply when the member requests only mileage reimbursement. To be eligible for mileage reimbursement: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 must notify the broker no later than the day of the trip;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transportation must be provided by a driver with a valid driver’s license and insurance coverage on the vehicle at the time of the transport;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other requirements of rule </w:t>
      </w:r>
      <w:hyperlink r:id="rId156">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free transportation alternatives available. </w:t>
      </w:r>
      <w:r>
        <w:rPr>
          <w:rFonts w:ascii="Times New Roman" w:hAnsi="Times New Roman"/>
          <w:b w:val="false"/>
          <w:i w:val="false"/>
          <w:color w:val="000000"/>
          <w:sz w:val="22"/>
        </w:rPr>
        <w:t>Member transportation through the nonemergency medical transportation broker is not available to the member when the member is capable of securing the member’s own transportation at no cost to the member (e.g., free-gas voucher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 member transportation alternatives available. </w:t>
      </w:r>
      <w:r>
        <w:rPr>
          <w:rFonts w:ascii="Times New Roman" w:hAnsi="Times New Roman"/>
          <w:b w:val="false"/>
          <w:i w:val="false"/>
          <w:color w:val="000000"/>
          <w:sz w:val="22"/>
        </w:rPr>
        <w:t>Members who have their own transportation available to them are required to use their own vehicle and seek mileage reimbursement. For purposes of determining whether or not the member has the member’s own transportation that is available to the member, the broker shall take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member owns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 member-owned vehicle is in working mechanical order and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a valid driver’s license and auto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member is unable to drive because of age, physical condition, cognitive impairment, or developmental limitations;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friends or family are available to transport the member to the member’s medical appointment and receive mileage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meals. </w:t>
      </w:r>
      <w:r>
        <w:rPr>
          <w:rFonts w:ascii="Times New Roman" w:hAnsi="Times New Roman"/>
          <w:b w:val="false"/>
          <w:i w:val="false"/>
          <w:color w:val="000000"/>
          <w:sz w:val="22"/>
        </w:rPr>
        <w:t>Reimbursement for costs of members’ meals necessary during periods of transportation and medical treatment is limited to situations in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transportation being provided spans the entire meal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one-way distance to or from the medical appointment is more than 50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meal is necessary to satisfy the needs of the member or medically necessary escort;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meal reimbursement is limited to the subsistence allowance amounts applicable to state officers and state employees pursuant to Iowa Administrative Code rule </w:t>
      </w:r>
      <w:hyperlink r:id="rId157">
        <w:r>
          <w:rPr>
            <w:rStyle w:val="Hyperlink"/>
            <w:rFonts w:ascii="Times New Roman" w:hAnsi="Times New Roman"/>
            <w:b w:val="false"/>
            <w:i w:val="false"/>
            <w:color w:val="000000"/>
            <w:sz w:val="22"/>
          </w:rPr>
          <w:t>11—41.6</w:t>
        </w:r>
      </w:hyperlink>
      <w:r>
        <w:rPr>
          <w:rFonts w:ascii="Times New Roman" w:hAnsi="Times New Roman"/>
          <w:b w:val="false"/>
          <w:i w:val="false"/>
          <w:color w:val="000000"/>
          <w:sz w:val="22"/>
        </w:rPr>
        <w:t>(8A) and is supported by detailed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lodging expenses. </w:t>
      </w:r>
      <w:r>
        <w:rPr>
          <w:rFonts w:ascii="Times New Roman" w:hAnsi="Times New Roman"/>
          <w:b w:val="false"/>
          <w:i w:val="false"/>
          <w:color w:val="000000"/>
          <w:sz w:val="22"/>
        </w:rPr>
        <w:t>Reimbursement of lodging expenses incurred by members during periods of transportation and medical treatment is limited to reasonable reimbursement for expenses incurred by the member or the medically necessary escort, or both, during a nonemergency trip provided by the broker when the one-way distance to or from the medical appointment is more than 50 miles, supported by detailed receipts, and required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Closest medical provider. </w:t>
      </w:r>
      <w:r>
        <w:rPr>
          <w:rFonts w:ascii="Times New Roman" w:hAnsi="Times New Roman"/>
          <w:b w:val="false"/>
          <w:i w:val="false"/>
          <w:color w:val="000000"/>
          <w:sz w:val="22"/>
        </w:rPr>
        <w:t xml:space="preserve">Nonemergency medical transportation will only be provided to members to the closest qualified and enrolled Medicaid provider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closest qualified and enrolled Medicaid provider and the enrolled provider requested by the member is less than 10 miles one way;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additional cost of transportation to the enrolled provider requested by the member is medically justified based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member’s previous relationship with the requested provider;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prior experience with the requested provider;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requested provider’s special expertise or experience;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referral requiring the member to be seen by the requested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Member scheduling obligations. </w:t>
      </w:r>
      <w:r>
        <w:rPr>
          <w:rFonts w:ascii="Times New Roman" w:hAnsi="Times New Roman"/>
          <w:b w:val="false"/>
          <w:i w:val="false"/>
          <w:color w:val="000000"/>
          <w:sz w:val="22"/>
        </w:rPr>
        <w:t xml:space="preserve">Members who require a ride will need to schedule medical appointments on days the transportation provider sends a shuttle to facilitate the provision of the most economical nonemergency medical transportation available, subject to reasonable medical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Abusive behavior. </w:t>
      </w:r>
      <w:r>
        <w:rPr>
          <w:rFonts w:ascii="Times New Roman" w:hAnsi="Times New Roman"/>
          <w:b w:val="false"/>
          <w:i w:val="false"/>
          <w:color w:val="000000"/>
          <w:sz w:val="22"/>
        </w:rPr>
        <w:t>Members who are abusive or inappropriate may be restricted by the department to only receiving mileage reimbursement. Such restricted members will be responsible for finding their own way to their medical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Member claim submission. </w:t>
      </w:r>
      <w:r>
        <w:rPr>
          <w:rFonts w:ascii="Times New Roman" w:hAnsi="Times New Roman"/>
          <w:b w:val="false"/>
          <w:i w:val="false"/>
          <w:color w:val="000000"/>
          <w:sz w:val="22"/>
        </w:rPr>
        <w:t>Members must submit claims and supporting documentation to the broker within 120 days of the date of service. The broker shall deny member claims submitted more than 120 days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78.13(4)</w:t>
      </w:r>
      <w:r>
        <w:rPr>
          <w:rFonts w:ascii="Times New Roman" w:hAnsi="Times New Roman"/>
          <w:b w:val="false"/>
          <w:i w:val="false"/>
          <w:color w:val="000000"/>
          <w:sz w:val="22"/>
        </w:rPr>
        <w:t> </w:t>
      </w:r>
      <w:r>
        <w:rPr>
          <w:rFonts w:ascii="Times New Roman" w:hAnsi="Times New Roman"/>
          <w:b w:val="false"/>
          <w:i/>
          <w:color w:val="000000"/>
          <w:sz w:val="22"/>
        </w:rPr>
        <w:t xml:space="preserve">Grievance procedure. </w:t>
      </w:r>
      <w:r>
        <w:rPr>
          <w:rFonts w:ascii="Times New Roman" w:hAnsi="Times New Roman"/>
          <w:b w:val="false"/>
          <w:i w:val="false"/>
          <w:color w:val="000000"/>
          <w:sz w:val="22"/>
        </w:rPr>
        <w:t>The broker shall establish an internal grievance procedure for members and 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may appeal to the department pursuant to </w:t>
      </w:r>
      <w:hyperlink r:id="rId15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as an “aggrieved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for state fair hearing.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Transportation providers that are contracted with the broker and are in good standing with the broker may request a state fair hearing only for disputes regarding payment of claims, specifically, disputes concerning the denial of a claim or reduction in payment, and only when acting on behalf of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transportation provider requesting such a state fair hearing must have the prior, express, signed written consent of the member or the member’s lawfully appointed guardian in order to request such a hearing. Notwithstanding any contrary provision in </w:t>
      </w:r>
      <w:hyperlink r:id="rId15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no state fair hearing will be granted unless the transportation provider submits a document providing such member approval with the request for a state fair hearing.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document must specifically inform the member that protected health information (PHI) may be discussed at the hearing and may be made public in the course of the hearing and subsequent administrative and judicial proceedings. The document must contain language that indicates the knowledge of the potential for PHI to become public and that the member knowingly, voluntarily and intelligently consents to the network provider’s bringing the state fair hearing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transportation provider grievances not addressed by paragraph </w:t>
      </w:r>
      <w:hyperlink r:id="rId160">
        <w:r>
          <w:rPr>
            <w:rStyle w:val="Hyperlink"/>
            <w:rFonts w:ascii="Times New Roman" w:hAnsi="Times New Roman"/>
            <w:b w:val="false"/>
            <w:i w:val="false"/>
            <w:color w:val="000000"/>
            <w:sz w:val="22"/>
          </w:rPr>
          <w:t>78.13(4)</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grievance process shall end with binding arbitration, with a designee of the Iowa Medicaid enterprise as arbitrator.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8344B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8643B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8994B</w:t>
      </w:r>
      <w:r>
        <w:rPr>
          <w:rFonts w:ascii="Times New Roman" w:hAnsi="Times New Roman"/>
          <w:b w:val="false"/>
          <w:i w:val="false"/>
          <w:color w:val="000000"/>
          <w:sz w:val="16"/>
        </w:rPr>
        <w:t>, IAB 8/11/10,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1264C</w:t>
      </w:r>
      <w:r>
        <w:rPr>
          <w:rFonts w:ascii="Times New Roman" w:hAnsi="Times New Roman"/>
          <w:b w:val="false"/>
          <w:i w:val="false"/>
          <w:color w:val="000000"/>
          <w:sz w:val="16"/>
        </w:rPr>
        <w:t>, IAB 1/8/14, effective 3/1/14</w:t>
      </w:r>
      <w:r>
        <w:rPr>
          <w:rFonts w:ascii="Times New Roman" w:hAnsi="Times New Roman"/>
          <w:b w:val="false"/>
          <w:i w:val="false"/>
          <w:color w:val="000000"/>
          <w:sz w:val="16"/>
        </w:rPr>
        <w:t xml:space="preserve">; </w:t>
      </w:r>
      <w:r>
        <w:rPr>
          <w:rFonts w:ascii="Times New Roman" w:hAnsi="Times New Roman"/>
          <w:b/>
          <w:i w:val="false"/>
          <w:color w:val="000000"/>
          <w:sz w:val="16"/>
        </w:rPr>
        <w:t>ARC 1976C</w:t>
      </w:r>
      <w:r>
        <w:rPr>
          <w:rFonts w:ascii="Times New Roman" w:hAnsi="Times New Roman"/>
          <w:b w:val="false"/>
          <w:i w:val="false"/>
          <w:color w:val="000000"/>
          <w:sz w:val="16"/>
        </w:rPr>
        <w:t>, IAB 4/29/15,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441—78.14</w:t>
      </w:r>
      <w:r>
        <w:rPr>
          <w:rFonts w:ascii="Times New Roman" w:hAnsi="Times New Roman"/>
          <w:b/>
          <w:i w:val="false"/>
          <w:color w:val="000000"/>
          <w:sz w:val="22"/>
        </w:rPr>
        <w:t xml:space="preserve">(249A) </w:t>
      </w:r>
      <w:r>
        <w:rPr>
          <w:rFonts w:ascii="Times New Roman" w:hAnsi="Times New Roman"/>
          <w:b/>
          <w:i w:val="false"/>
          <w:color w:val="000000"/>
          <w:sz w:val="22"/>
        </w:rPr>
        <w:t xml:space="preserve">Hearing aids. </w:t>
      </w:r>
      <w:r>
        <w:rPr>
          <w:rFonts w:ascii="Times New Roman" w:hAnsi="Times New Roman"/>
          <w:b w:val="false"/>
          <w:i w:val="false"/>
          <w:color w:val="000000"/>
          <w:sz w:val="22"/>
        </w:rPr>
        <w:t>Payment shall be approved for a hearing aid and examinations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color w:val="000000"/>
          <w:sz w:val="22"/>
        </w:rPr>
        <w:t xml:space="preserve">Physician examination. </w:t>
      </w:r>
      <w:r>
        <w:rPr>
          <w:rFonts w:ascii="Times New Roman" w:hAnsi="Times New Roman"/>
          <w:b w:val="false"/>
          <w:i w:val="false"/>
          <w:color w:val="000000"/>
          <w:sz w:val="22"/>
        </w:rPr>
        <w:t>The member shall have an examination by a physician to determine that the member has no condition which would contraindicate the use of a hearing aid. This report shall be documented in the patient record. The requirement for a physician evaluation shall be waived for members 18 years of age or older when the member has signed an informed consent statement acknowledging that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advised that it may be in the member’s best health interest to receive a medical evaluation from a licensed physician before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wish to receive a medical evaluation prior to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color w:val="000000"/>
          <w:sz w:val="22"/>
        </w:rPr>
        <w:t xml:space="preserve">Audiological testings. </w:t>
      </w:r>
      <w:r>
        <w:rPr>
          <w:rFonts w:ascii="Times New Roman" w:hAnsi="Times New Roman"/>
          <w:b w:val="false"/>
          <w:i w:val="false"/>
          <w:color w:val="000000"/>
          <w:sz w:val="22"/>
        </w:rPr>
        <w:t>A physician or an audiologist shall perform audiological testing as a part of making a determination that a member could benefit from the use of a hearing aid. The department shall cover vestibular testing performed by an audiologist only when prescribed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color w:val="000000"/>
          <w:sz w:val="22"/>
        </w:rPr>
        <w:t xml:space="preserve">Hearing aid evaluation. </w:t>
      </w:r>
      <w:r>
        <w:rPr>
          <w:rFonts w:ascii="Times New Roman" w:hAnsi="Times New Roman"/>
          <w:b w:val="false"/>
          <w:i w:val="false"/>
          <w:color w:val="000000"/>
          <w:sz w:val="22"/>
        </w:rPr>
        <w:t>A physician or an audiologist shall perform a hearing aid evaluation to establish if a member could benefit from a hearing aid. When a hearing aid is recommended for a member, the physician or audiologist recommending the hearing aid shall see the member at least one time within 30 days after purchase of the hearing aid to determine that the aid is 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color w:val="000000"/>
          <w:sz w:val="22"/>
        </w:rPr>
        <w:t xml:space="preserve">Hearing aid selection. </w:t>
      </w:r>
      <w:r>
        <w:rPr>
          <w:rFonts w:ascii="Times New Roman" w:hAnsi="Times New Roman"/>
          <w:b w:val="false"/>
          <w:i w:val="false"/>
          <w:color w:val="000000"/>
          <w:sz w:val="22"/>
        </w:rPr>
        <w:t>A physician or audiologist may recommend a specific brand or model appropriate to the member’s condition. When a physician or an audiologist makes a general hearing aid recommendation, a hearing aid dispenser may perform the tests to determine the specific brand or model appropriate to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78.14(5)</w:t>
      </w:r>
      <w:r>
        <w:rPr>
          <w:rFonts w:ascii="Times New Roman" w:hAnsi="Times New Roman"/>
          <w:b w:val="false"/>
          <w:i w:val="false"/>
          <w:color w:val="000000"/>
          <w:sz w:val="22"/>
        </w:rPr>
        <w:t> </w:t>
      </w:r>
      <w:r>
        <w:rPr>
          <w:rFonts w:ascii="Times New Roman" w:hAnsi="Times New Roman"/>
          <w:b w:val="false"/>
          <w:i/>
          <w:color w:val="000000"/>
          <w:sz w:val="22"/>
        </w:rPr>
        <w:t xml:space="preserve">Travel. </w:t>
      </w:r>
      <w:r>
        <w:rPr>
          <w:rFonts w:ascii="Times New Roman" w:hAnsi="Times New Roman"/>
          <w:b w:val="false"/>
          <w:i w:val="false"/>
          <w:color w:val="000000"/>
          <w:sz w:val="22"/>
        </w:rPr>
        <w:t xml:space="preserve">When a member is unable to travel to the physician or audiologist because of health reasons, the department shall make payment for travel to the member’s place of residence or other suitable location. The department shall make payment to physicians as specified in </w:t>
      </w:r>
      <w:hyperlink r:id="rId162">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and payment to audiologists at the same rate it reimburses state employees for travel.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78.14(6)</w:t>
      </w:r>
      <w:r>
        <w:rPr>
          <w:rFonts w:ascii="Times New Roman" w:hAnsi="Times New Roman"/>
          <w:b w:val="false"/>
          <w:i w:val="false"/>
          <w:color w:val="000000"/>
          <w:sz w:val="22"/>
        </w:rPr>
        <w:t> </w:t>
      </w:r>
      <w:r>
        <w:rPr>
          <w:rFonts w:ascii="Times New Roman" w:hAnsi="Times New Roman"/>
          <w:b w:val="false"/>
          <w:i/>
          <w:color w:val="000000"/>
          <w:sz w:val="22"/>
        </w:rPr>
        <w:t xml:space="preserve">Purchase of hearing aid. </w:t>
      </w:r>
      <w:r>
        <w:rPr>
          <w:rFonts w:ascii="Times New Roman" w:hAnsi="Times New Roman"/>
          <w:b w:val="false"/>
          <w:i w:val="false"/>
          <w:color w:val="000000"/>
          <w:sz w:val="22"/>
        </w:rPr>
        <w:t xml:space="preserve">The department shall pay for the type of hearing aid recommended when purchased from an eligible licensed hearing aid dispenser pursuant to rule </w:t>
      </w:r>
      <w:hyperlink r:id="rId163">
        <w:r>
          <w:rPr>
            <w:rStyle w:val="Hyperlink"/>
            <w:rFonts w:ascii="Times New Roman" w:hAnsi="Times New Roman"/>
            <w:b w:val="false"/>
            <w:i w:val="false"/>
            <w:color w:val="000000"/>
            <w:sz w:val="22"/>
          </w:rPr>
          <w:t>441—77.13</w:t>
        </w:r>
      </w:hyperlink>
      <w:r>
        <w:rPr>
          <w:rFonts w:ascii="Times New Roman" w:hAnsi="Times New Roman"/>
          <w:b w:val="false"/>
          <w:i w:val="false"/>
          <w:color w:val="000000"/>
          <w:sz w:val="22"/>
        </w:rPr>
        <w:t>(249A). The department shall pay for binaural amplification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needs the aid for speech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aid is needed for educational or vocational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aid is for a blind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member’s hearing loss has caused marked restriction of daily activities and constriction of interests resulting in seriously impaired ability to relate to other people,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Lack of binaural amplification poses a hazard to a member’s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78.14(7)</w:t>
      </w:r>
      <w:r>
        <w:rPr>
          <w:rFonts w:ascii="Times New Roman" w:hAnsi="Times New Roman"/>
          <w:b w:val="false"/>
          <w:i w:val="false"/>
          <w:color w:val="000000"/>
          <w:sz w:val="22"/>
        </w:rPr>
        <w:t> </w:t>
      </w:r>
      <w:r>
        <w:rPr>
          <w:rFonts w:ascii="Times New Roman" w:hAnsi="Times New Roman"/>
          <w:b w:val="false"/>
          <w:i/>
          <w:color w:val="000000"/>
          <w:sz w:val="22"/>
        </w:rPr>
        <w:t xml:space="preserve">Payment for hearing aids.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for hearing aids shall be acquisition cost plus a dispensing fee covering the fitting and service for six months. The department shall make payment for routine service after the first six months. Dispensing fees and payment for routine service shall not exceed the fee schedule appropriate to the place of service. Shipping and handling charges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ear mold and batteries shall be at the current audiologist’s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repairs shall be made to the dealer for repairs made by the dealer. Payment for in-house repairs shall be made at the current fee schedule. Payment shall also be made to the dealer for repairs when the hearing aid is repaired by the manufacturer or manufacturer’s depot. Payment for out-of-house repairs shall be at the amount shown on the manufacturer’s invoice. Payment shall be allowed for a service or handling charge when it is necessary for repairs to be performed by the manufacturer or manufacturer’s depot and this charge is made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When prior approval is required, Form 470-4767, Examiner Report of Need for a Hearing Aid, shall be submitted along with the forms required by </w:t>
      </w:r>
      <w:hyperlink r:id="rId164">
        <w:r>
          <w:rPr>
            <w:rStyle w:val="Hyperlink"/>
            <w:rFonts w:ascii="Times New Roman" w:hAnsi="Times New Roman"/>
            <w:b w:val="false"/>
            <w:i w:val="false"/>
            <w:color w:val="000000"/>
            <w:sz w:val="22"/>
          </w:rPr>
          <w:t>441—paragraph 79.8(1)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the replacement of a hearing aid less than four years old shall require prior approval except when the member is under 21 years of age. The department shall approve payment when the original hearing aid is lost or broken beyond repair or there is a significant change in the member’s hearing that would require a different hearing aid. (Cross reference </w:t>
      </w:r>
      <w:hyperlink r:id="rId165">
        <w:r>
          <w:rPr>
            <w:rStyle w:val="Hyperlink"/>
            <w:rFonts w:ascii="Times New Roman" w:hAnsi="Times New Roman"/>
            <w:b w:val="false"/>
            <w:i w:val="false"/>
            <w:color w:val="000000"/>
            <w:sz w:val="22"/>
          </w:rPr>
          <w:t>78.28(5)</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a hearing aid costing more than $650 shall require prior approval. The department shall approve payment for either of the following purposes (Cross reference </w:t>
      </w:r>
      <w:hyperlink r:id="rId166">
        <w:r>
          <w:rPr>
            <w:rStyle w:val="Hyperlink"/>
            <w:rFonts w:ascii="Times New Roman" w:hAnsi="Times New Roman"/>
            <w:b w:val="false"/>
            <w:i w:val="false"/>
            <w:color w:val="000000"/>
            <w:sz w:val="22"/>
          </w:rPr>
          <w:t>78.28(5)</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8008B</w:t>
      </w:r>
      <w:r>
        <w:rPr>
          <w:rFonts w:ascii="Times New Roman" w:hAnsi="Times New Roman"/>
          <w:b w:val="false"/>
          <w:i w:val="false"/>
          <w:color w:val="000000"/>
          <w:sz w:val="16"/>
        </w:rPr>
        <w:t>, IAB 7/29/09, effective 8/1/09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441—78.15</w:t>
      </w:r>
      <w:r>
        <w:rPr>
          <w:rFonts w:ascii="Times New Roman" w:hAnsi="Times New Roman"/>
          <w:b/>
          <w:i w:val="false"/>
          <w:color w:val="000000"/>
          <w:sz w:val="22"/>
        </w:rPr>
        <w:t xml:space="preserve">(249A) </w:t>
      </w:r>
      <w:r>
        <w:rPr>
          <w:rFonts w:ascii="Times New Roman" w:hAnsi="Times New Roman"/>
          <w:b/>
          <w:i w:val="false"/>
          <w:color w:val="000000"/>
          <w:sz w:val="22"/>
        </w:rPr>
        <w:t xml:space="preserve">Orthopedic shoes. </w:t>
      </w:r>
      <w:r>
        <w:rPr>
          <w:rFonts w:ascii="Times New Roman" w:hAnsi="Times New Roman"/>
          <w:b w:val="false"/>
          <w:i w:val="false"/>
          <w:color w:val="000000"/>
          <w:sz w:val="22"/>
        </w:rPr>
        <w:t>Payment shall be approved only for depth or custom-molded orthopedic shoes, inserts, and modifications, subject to the following definitions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“Custom-molded shoe”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constructed over a cast or model of the recipient’s foot;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of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inserts that can be removed, altered, or replaced according to the recipient’s conditions and needs;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some form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“Depth shoe”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 full length, heel-to-toe filler that when removed provides a minimum of 3/16 inch of additional depth used to accommodate custom-molded or customized inserts;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from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some form of closure;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available in full and half sizes with a minimum of three widths, so that the sole is graded to the size and width of the upper portions of the shoe according to the American Standard last sizing schedule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“Insert” </w:t>
      </w:r>
      <w:r>
        <w:rPr>
          <w:rFonts w:ascii="Times New Roman" w:hAnsi="Times New Roman"/>
          <w:b w:val="false"/>
          <w:i w:val="false"/>
          <w:color w:val="000000"/>
          <w:sz w:val="22"/>
        </w:rPr>
        <w:t>means a foot mold or orthosis constructed of more than one layer of a material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soft enough and firm enough to take and hold an impression during use,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molded to the recipient’s foot or is made over a model of the foot.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Prescription. </w:t>
      </w:r>
      <w:r>
        <w:rPr>
          <w:rFonts w:ascii="Times New Roman" w:hAnsi="Times New Roman"/>
          <w:b w:val="false"/>
          <w:i w:val="false"/>
          <w:color w:val="000000"/>
          <w:sz w:val="22"/>
        </w:rPr>
        <w:t>The recipient shall present to the provider a written prescription by a physician, a podiatrist, a physician assistant, or an advanced registered nurse practitioner that includes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patient’s diagnosis.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reason orthopedic shoes are needed.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probable duration of need.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specific description of any required modification of the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The recipient shall have a diagnosis of an orthopedic, neuromuscular, vascular, or insensate foot condition, supported by applicable codes from the current version of the International Classification of Diseases (ICD). A diagnosis of flat feet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recipient with diabetes must meet the Medicare criteria for therapeutic depth and custom-molded shoes.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Custom-molded shoes are covered only when the recipient has a foot deformity and the provider has documentation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the recipient cannot be fitted with a depth shoe.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Tissue breakdown or a high probability of tissue breakdown.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limitation on walking.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Frequency. </w:t>
      </w:r>
      <w:r>
        <w:rPr>
          <w:rFonts w:ascii="Times New Roman" w:hAnsi="Times New Roman"/>
          <w:b w:val="false"/>
          <w:i w:val="false"/>
          <w:color w:val="000000"/>
          <w:sz w:val="22"/>
        </w:rPr>
        <w:t xml:space="preserve">Only two pairs of orthopedic shoes are allowed per recipient in a 12-month period unless documentation of change in size or evidence of excessive wear is submitted.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School-aged children under the age of 21 may obtain athletic shoes in addition to the two pairs of shoes in a 12-month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 mental health centers. </w:t>
      </w:r>
      <w:r>
        <w:rPr>
          <w:rFonts w:ascii="Times New Roman" w:hAnsi="Times New Roman"/>
          <w:b w:val="false"/>
          <w:i w:val="false"/>
          <w:color w:val="000000"/>
          <w:sz w:val="22"/>
        </w:rPr>
        <w:t>Payment will be approved for all reasonable and necessary services provided by a psychiatrist on the staff of a community mental health center. Payment will be approved for services provided by a clinical psychologist, social worker or psychiatric nurse on the staff of the center,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reasonable and necessary services provided to members by a psychiatrist, psychologist, social worker or psychiatric nurse on the staff of the center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must be rendered under the supervision of a board-eligible or board-certified psychiatrist. All services must be performed under the supervision of a board-eligible or board-certified psychiatrist subject to the conditions set forth in </w:t>
      </w:r>
      <w:hyperlink r:id="rId169">
        <w:r>
          <w:rPr>
            <w:rStyle w:val="Hyperlink"/>
            <w:rFonts w:ascii="Times New Roman" w:hAnsi="Times New Roman"/>
            <w:b w:val="false"/>
            <w:i w:val="false"/>
            <w:color w:val="000000"/>
            <w:sz w:val="22"/>
          </w:rPr>
          <w:t>78.16(1)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by staff psychiatrists,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rendered by psychologists meeting the requirements of the National Register of Health Service Providers in Psychology,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staff member listed in this subrule performing the preliminary diagnostic evaluation of a member for voluntary admission to one of the state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Supervisory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patient shall have an initial evaluation completed which shall include at least one personal evaluation interview with a mental health professional, as defined under Iowa Code section </w:t>
      </w:r>
      <w:hyperlink r:id="rId170">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 If the evaluation interview results indicate a need for an interview with a board-eligible or board-certified psychiatrist, then such referral shall be made. This must be accomplished before submission of the first claim for services rendered to that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Ongoing review and assessment of patients’ treatment needs, treatment plans, and the appropriateness of services rendered shall be assured through the peer review process in effect for community mental health centers, as directed by </w:t>
      </w:r>
      <w:r>
        <w:rPr>
          <w:rFonts w:ascii="Times New Roman" w:hAnsi="Times New Roman"/>
          <w:b w:val="false"/>
          <w:i w:val="false"/>
          <w:color w:val="000000"/>
          <w:sz w:val="22"/>
        </w:rPr>
        <w:t>2002 Iowa Acts, chapter 1120, section 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plans for and services rendered to patients of the center shall be evaluated and revised as necessary and appropriate, consistent with the standards of the peer review process described in subparagraph </w:t>
      </w:r>
      <w:hyperlink r:id="rId171">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 process and related activities, as described under subparagraph </w:t>
      </w:r>
      <w:hyperlink r:id="rId172">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are not payable as separate services under the Medicaid program. The center shall maintain the results of and information related to the peer review process, and these records shall be subject to audit by the department of human services or department designees,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val="false"/>
          <w:color w:val="000000"/>
          <w:sz w:val="22"/>
        </w:rPr>
        <w:t>Clinical records of medical assistance patients shall be available to the carrier on request. All these records shall be held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val="false"/>
          <w:color w:val="000000"/>
          <w:sz w:val="22"/>
        </w:rPr>
        <w:t>At the time of application for participation in the program the center will be provided with a form on which to list its professional staff. The center shall report acquisitions or losses of professional staff to the carrier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21 or over if the center is certified by the department for day treatment services, the services are provided on the premises of the community mental health center or satellite office of the community mental health center, and the services meet the standards outlined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centers providing day treatment services for persons aged 21 or over shall have available a written narrative providing the following day treatment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21 and over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21 and over that meet the day treatment program guidelines noted in </w:t>
      </w:r>
      <w:hyperlink r:id="rId173">
        <w:r>
          <w:rPr>
            <w:rStyle w:val="Hyperlink"/>
            <w:rFonts w:ascii="Times New Roman" w:hAnsi="Times New Roman"/>
            <w:b w:val="false"/>
            <w:i w:val="false"/>
            <w:color w:val="000000"/>
            <w:sz w:val="22"/>
          </w:rPr>
          <w:t>78.16(6)</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21 and over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Day treatment services for persons aged 21 and over shall be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day treatment services provided by or under the general supervision of a mental health professional as defined in rule </w:t>
      </w:r>
      <w:hyperlink r:id="rId174">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When services are provided by an employee or consultant of the community mental health center who is not a mental health professional, the employee or consultant shall be supervised by a mental health professional who gives professional direction and active guidance to the employee or consultant and who retains responsibility for consumer care. The supervision shall be timely, regular, and documented. The employee or consultant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in a human services related field from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Iowa license to practice as a registered nurse with two years of experience in the delivery of nursing or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aged 18 through 20 with chronic mental illness as defined by rule </w:t>
      </w:r>
      <w:hyperlink r:id="rId175">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(225C) can receive day treatment services under this subrule or subrule </w:t>
      </w:r>
      <w:hyperlink r:id="rId176">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20 or under if the center is certified by the department for day treatment services and the services are provided on the premises of the community mental health center or satellite office of the community mental health center. Exception: Field trips away from the premises are a covered service when the trip is therapeutic and integrated into the day treatment program’s description and milieu plan.</w:t>
      </w:r>
    </w:p>
    <w:p>
      <w:pPr>
        <w:spacing w:before="0" w:after="0"/>
        <w:ind w:left="120"/>
        <w:jc w:val="both"/>
      </w:pPr>
      <w:r>
        <w:rPr>
          <w:rFonts w:ascii="Times New Roman" w:hAnsi="Times New Roman"/>
          <w:b w:val="false"/>
          <w:i w:val="false"/>
          <w:color w:val="000000"/>
          <w:sz w:val="22"/>
        </w:rPr>
        <w:t xml:space="preserve">Day treatment coverage will be limited to a maximum of 15 hours per week. Day treatment services for persons aged 20 or under shall be outpatient services provided to persons who are not inpatients in a medical institution or residents of a group care facility licensed under </w:t>
      </w:r>
      <w:hyperlink r:id="rId177">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documentation. </w:t>
      </w:r>
      <w:r>
        <w:rPr>
          <w:rFonts w:ascii="Times New Roman" w:hAnsi="Times New Roman"/>
          <w:b w:val="false"/>
          <w:i w:val="false"/>
          <w:color w:val="000000"/>
          <w:sz w:val="22"/>
        </w:rPr>
        <w:t>Community mental health centers providing day treatment services for persons aged 20 or under shall have available a written narrative which provides the following day treatment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20 or under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20 or under that meet the guidelines noted in paragraphs </w:t>
      </w: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20 or under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standards. </w:t>
      </w:r>
      <w:r>
        <w:rPr>
          <w:rFonts w:ascii="Times New Roman" w:hAnsi="Times New Roman"/>
          <w:b w:val="false"/>
          <w:i w:val="false"/>
          <w:color w:val="000000"/>
          <w:sz w:val="22"/>
        </w:rPr>
        <w:t>Medicaid day treatment program services for persons aged 20 and under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sufficient to deliver program services and provide stable, consistent, and cohesive milieu with a staff-to-patient ratio of no less than one staff for each eight participants. Clinical, professional, and paraprofessional staff may be counted in determining the staff-to-patient ratio. Professional or clinical staff are those staff who are either mental health professionals as defined in rule </w:t>
      </w:r>
      <w:hyperlink r:id="rId178">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or persons employed for the purpose of providing offered services under the supervision of a mental health professional. All other staff (administrative, adjunctive, support, nonclinical, clerical, and consulting staff or professional clinical staff) when engaged in administrative or clerical activities shall not be counted in determining the staff-to-patient ratio or in defining program staffing patterns. Educational staff may be counted in the staff-to-patient ratio.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Reflect how program continuity will be provided.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Reflect an interdisciplinary team of professionals and paraprofessionals.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Include a designated director who is a mental health professional as defined in rule </w:t>
      </w:r>
      <w:hyperlink r:id="rId179">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The director shall be responsible for direct supervision of the individual treatment plans for participants and the ongoing assessment of program effectiveness.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Be provided by or under the general supervision of a mental health professional as defined in rule </w:t>
      </w:r>
      <w:hyperlink r:id="rId180">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 When services are provided by an employee or consultant of the community mental health center who is not a mental health professional, the employee or consultant shall be supervised by a mental health professional who gives direct professional direction and active guidance to the employee or consultant and who retains responsibility for consumer care. The supervision shall be timely, regular and documented. The employee or consultant shall have a bachelor’s degree in a human services related field from an accredited college or university or have an Iowa license to practice as a registered nurse with two years of experience in the delivery of nursing or human services. Exception: Other certified or licensed staff, such as certified addiction counselors or certified occupational and recreational therapy assistants, are eligible to provide direct services under the general supervision of a mental health professional, but they shall not be included in the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addressing the following: admission criteria; patient assessment; patient evaluation; treatment plan; discharge plan; community linkage with other psychiatric, mental health, and human service providers; a process to review the quality of care being provided with a quarterly review of the effectiveness of the clinical program;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hours of operation available for a minimum of three consecutive hours per day, three days or evenings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length of stay in a day treatment program for persons aged 20 or under shall not exceed 180 treatment days per episode of care, unless the rationale for a longer stay is documented in the patient’s case record and treatment plan every 30 calendar days after the first 180 treatment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Programming shall meet the individual needs of the patient. A description of services provided for patients shall be documented along with a schedule of when service activities are available including the days and hours of program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accessing emergency services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community liaison with other psychiatric, mental health, and human service providers. Formal relationships shall exist with hospitals providing inpatient programs to facilitate referral, communication, and discharge planning. Relationships shall also exist with appropriate school districts and educational cooperatives. Relationships with other entities such as physicians, hospitals, private practitioners, halfway houses, the department, juvenile justice system, community support groups, and child advocacy groups are encouraged. The provider’s program description will describe how community links will be established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and psychosocial rehabilitation services shall be available. A description of the services shall accompany the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distinct clinical record for each patient admitted. Documentation, at a minimum, shall include: the specific services rendered, the date and actual time services were rendered, who rendered the services, the setting in which the services were rendered, the amount of time it took to deliver the services, the relationship of the services to the treatment regimen described in the plan of care, and updates describing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Day treatment services for persons aged 20 or under shall be a time-limited, goal-oriented active treatment program that offers therapeutically intensive, coordinated, structured clinical services within a stable therapeutic milieu. Time-limited means that the patient is not expected to need services indefinitely or lifelong, and that the primary goal of the program is to improve the behavioral functioning or emotional adjustment of the patient in order that the service is no longer necessary. Day treatment services shall be provided within the least restrictive therapeutically appropriate context and shall be community-based and family focused. The overall expected outcome is clinically adaptive behavior on the part of the patient and the family.</w:t>
      </w:r>
    </w:p>
    <w:p>
      <w:pPr>
        <w:spacing w:before="0" w:after="0"/>
        <w:ind w:left="120"/>
        <w:jc w:val="both"/>
      </w:pPr>
      <w:r>
        <w:rPr>
          <w:rFonts w:ascii="Times New Roman" w:hAnsi="Times New Roman"/>
          <w:b w:val="false"/>
          <w:i w:val="false"/>
          <w:color w:val="000000"/>
          <w:sz w:val="22"/>
        </w:rPr>
        <w:t>At a minimum, day treatment services will be expected to improve the patient’s condition, restore the condition to the level of functioning prior to onset of illness, control symptoms, or establish and maintain a functional level to avoid further deterioration or hospitalization. Services are expected to be age-appropriate forms of psychosocial rehabilitation activities, psychotherapeutic services, social skills training, or training in basic care activities to establish, retain or encourage age-appropriate or developmentally appropriate psychosocial, educational, and emotional adjustment.</w:t>
      </w:r>
    </w:p>
    <w:p>
      <w:pPr>
        <w:spacing w:before="0" w:after="0"/>
        <w:ind w:left="120"/>
        <w:jc w:val="both"/>
      </w:pPr>
      <w:r>
        <w:rPr>
          <w:rFonts w:ascii="Times New Roman" w:hAnsi="Times New Roman"/>
          <w:b w:val="false"/>
          <w:i w:val="false"/>
          <w:color w:val="000000"/>
          <w:sz w:val="22"/>
        </w:rPr>
        <w:t>Day treatment programs shall use an integrated, comprehensive and complementary schedule of therapeutic activities and shall have the capacity to treat a wide array of clinical conditions.</w:t>
      </w:r>
    </w:p>
    <w:p>
      <w:pPr>
        <w:spacing w:before="0" w:after="0"/>
        <w:ind w:left="120"/>
        <w:jc w:val="both"/>
      </w:pPr>
      <w:r>
        <w:rPr>
          <w:rFonts w:ascii="Times New Roman" w:hAnsi="Times New Roman"/>
          <w:b w:val="false"/>
          <w:i w:val="false"/>
          <w:color w:val="000000"/>
          <w:sz w:val="22"/>
        </w:rPr>
        <w:t>The following services shall be available as components of the day treatment program. These services are not separately billable to Medicaid, as day treatment reimbursement includes reimbursement for all day treatment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(examples would include individual, group, and family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Psychosocial rehabilitation services. Active treatment examples include, but are not limited to, individual and group therapy, medication evaluation and management, expressive therapies, and theme groups such as communication skills, assertiveness training, other forms of community skills training, stress management, chemical dependency counseling, education, and prevention, symptom recognition and reduction, problem solving, relaxation techniques, and victimization (sexual, emotional, or physical abuse issues).</w:t>
      </w:r>
    </w:p>
    <w:p>
      <w:pPr>
        <w:spacing w:before="0" w:after="0"/>
        <w:ind w:left="120"/>
        <w:jc w:val="both"/>
      </w:pPr>
      <w:r>
        <w:rPr>
          <w:rFonts w:ascii="Times New Roman" w:hAnsi="Times New Roman"/>
          <w:b w:val="false"/>
          <w:i w:val="false"/>
          <w:color w:val="000000"/>
          <w:sz w:val="22"/>
        </w:rPr>
        <w:t>Other program components may be provided, such as personal hygiene, recreation, community awareness, arts and crafts, and social activities designed to improve interpersonal skills and family mental health. Although these other services may be provided, they are not the primary focus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services to determine need for day treatment prior to program admission. For persons for whom clarification is needed to determine whether day treatment is an appropriate therapy approach, or for persons who do not clearly meet admission criteria, an evaluation service may be performed. Evaluation services shall be individual and family evaluation activities made available to courts, schools, other agencies, and individuals upon request, who assess, plan, and link individuals with appropriate services. This service must be completed by a mental health professional. An evaluation from another source performed within the previous 12 months or sooner if there has not been a change may be substituted. Medicaid will not make separate payment for these services under the day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services. All day treatment patients will receive a formal, comprehensive biopsychosocial assessment of day treatment needs including, if applicable, a diagnostic impression based on the current Diagnostic and Statistical Manual of Mental Disorders. An assessment from another source performed within the previous 12 months may be used if the symptomatology is the same as 12 months ago. If not, parts of the assessment which reflect current functioning may be used as an update. Using the assessment, a comprehensive summation will be produced, including the findings of all assessments performed. The summary will be used in forming a treatment plan including treatment goals. Indicators for discharge planning, including recommended follow-up goals and provision for future services, should also be considered, and consistently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day treatment program may include an educational component as an additional service. The patient’s educational needs shall be served without conflict from the day treatment program. Hours in which the patient is involved in the educational component of the day treatment program are not included in the day treatment hours billable to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Admission criteria. </w:t>
      </w:r>
      <w:r>
        <w:rPr>
          <w:rFonts w:ascii="Times New Roman" w:hAnsi="Times New Roman"/>
          <w:b w:val="false"/>
          <w:i w:val="false"/>
          <w:color w:val="000000"/>
          <w:sz w:val="22"/>
        </w:rPr>
        <w:t>Admission criteria for day treatment services for persons aged 20 or under shall reflect the following clinical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 is at risk for exclusion from normative community activities or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exhibits psychiatric symptoms, disturbances of conduct, decompensating conditions affecting mental health, severe developmental delays, psychological symptoms, or chemical dependency issues sufficiently severe to bring about significant or profound impairment in day-to-day educational, social, vocational, or interpersonal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is provided that the traditional outpatient setting has been considered and has been determined not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patient’s principal caretaker (family, guardian, foster family or custodian) must be able and willing to provide the support and monitoring of the patient, to enable adequate control of the patient’s behavior, and must be involved in the patient’s treatment.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patient has the capacity to benefit from the interventions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 treatment plan. </w:t>
      </w:r>
      <w:r>
        <w:rPr>
          <w:rFonts w:ascii="Times New Roman" w:hAnsi="Times New Roman"/>
          <w:b w:val="false"/>
          <w:i w:val="false"/>
          <w:color w:val="000000"/>
          <w:sz w:val="22"/>
        </w:rPr>
        <w:t>Each patient receiving day treatment services shall have a treatment plan prepared. A preliminary treatment plan should be formulated within 3 days of participation after admission, and replaced within 30 calendar days by a comprehensive, formalized plan utilizing the comprehensive assessment. This individual treatment plan should reflect the patient’s strengths and weaknesses and identify areas of therapeutic focus. The treatment goals which are general statements of consumer outcomes shall be related to identified strengths, weaknesses, and clinical needs with time-limited, measurable objectives. Objectives shall be related to the goal and have specific anticipated outcomes. Methods that will be used to pursue the objectives shall be stated. The plan should be reviewed and revised as needed, but shall be reviewed at least every 30 calendar days. The treatment plan shall be developed or approved by a board-eligible or board-certified psychiatrist, a staff psychiatrist, physician, or a psychologist registered either on the “National Register of Health Service Providers in Psychology” or the “Iowa Register of Health Service Providers for Psychology.” Approval will be evidenced by a signature of the physician or health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Discharge criteria. </w:t>
      </w:r>
      <w:r>
        <w:rPr>
          <w:rFonts w:ascii="Times New Roman" w:hAnsi="Times New Roman"/>
          <w:b w:val="false"/>
          <w:i w:val="false"/>
          <w:color w:val="000000"/>
          <w:sz w:val="22"/>
        </w:rPr>
        <w:t>Discharge criteria for the day treatment program for persons aged 20 or under shall incorporate at least the following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patient improvement: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patient’s clinical condition has improved as shown by symptom relief, behavioral control, or indication of mastery of skills at the patient’s developmental level. Reduced interference with and increased responsibility with social, vocational, interpersonal, or educational goals occurs sufficient to warrant a treatment program of less supervision, support, and therapeutic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Treatment goals in the individualized treatment plan have been achieved.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aftercare plan has been developed that is appropriate to the patient’s needs and agreed to by the patient and family, custodian,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patient does not improve: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patient’s clinical condition has deteriorated to the extent that the safety and security of inpatient or residential care is necessary.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Patient, family, or custodian noncompliance with treatment or with program rules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services. </w:t>
      </w:r>
      <w:r>
        <w:rPr>
          <w:rFonts w:ascii="Times New Roman" w:hAnsi="Times New Roman"/>
          <w:b w:val="false"/>
          <w:i w:val="false"/>
          <w:color w:val="000000"/>
          <w:sz w:val="22"/>
        </w:rPr>
        <w:t>Programming services shall be provided in accordance with the individual treatment plan developed by appropriate day treatment staff, in collaboration with the patient and appropriate caretaker figure (parent, guardian, or principal caretaker), and under the supervision of the program director, coordinator, or supervisor.</w:t>
      </w:r>
    </w:p>
    <w:p>
      <w:pPr>
        <w:spacing w:before="0" w:after="0"/>
        <w:ind w:left="120"/>
        <w:jc w:val="both"/>
      </w:pPr>
      <w:r>
        <w:rPr>
          <w:rFonts w:ascii="Times New Roman" w:hAnsi="Times New Roman"/>
          <w:b w:val="false"/>
          <w:i w:val="false"/>
          <w:color w:val="000000"/>
          <w:sz w:val="22"/>
        </w:rPr>
        <w:t>The program for each patient will be coordinated by primary care staff of the community mental health center. A coordinated, consistent array of scheduled therapeutic services and activities shall comprise the day treatment program. These may include counseling or psychotherapy, theme groups, social skills development, behavior management, and other adjunctive therapies. At least 50 percent of scheduled therapeutic program hours exclusive of educational hours for each patient shall consist of active treatment that specifically addresses the targeted problems of the population served. Active treatment shall be defined as treatment in which the program staff assume significant responsibility and often intervene.</w:t>
      </w:r>
    </w:p>
    <w:p>
      <w:pPr>
        <w:spacing w:before="0" w:after="0"/>
        <w:ind w:left="120"/>
        <w:jc w:val="both"/>
      </w:pPr>
      <w:r>
        <w:rPr>
          <w:rFonts w:ascii="Times New Roman" w:hAnsi="Times New Roman"/>
          <w:b w:val="false"/>
          <w:i w:val="false"/>
          <w:color w:val="000000"/>
          <w:sz w:val="22"/>
        </w:rPr>
        <w:t>Family, guardian, or principal caretaker shall be involved with the program through family therapy sessions or scheduled family components of the program. They will be encouraged to adopt an active role in treatment. Medicaid will not make separate payment for family therapy services.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Therapeutic activities will be scheduled according to the needs of the patients, both individually and as a group.</w:t>
      </w:r>
    </w:p>
    <w:p>
      <w:pPr>
        <w:spacing w:before="0" w:after="0"/>
        <w:ind w:left="120"/>
        <w:jc w:val="both"/>
      </w:pPr>
      <w:r>
        <w:rPr>
          <w:rFonts w:ascii="Times New Roman" w:hAnsi="Times New Roman"/>
          <w:b w:val="false"/>
          <w:i w:val="false"/>
          <w:color w:val="000000"/>
          <w:sz w:val="22"/>
        </w:rPr>
        <w:t>Scheduled therapeutic activities, which may include other program components as described above, shall be provided at least 3 hours per week up to a maximum of 15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Stable milieu. </w:t>
      </w:r>
      <w:r>
        <w:rPr>
          <w:rFonts w:ascii="Times New Roman" w:hAnsi="Times New Roman"/>
          <w:b w:val="false"/>
          <w:i w:val="false"/>
          <w:color w:val="000000"/>
          <w:sz w:val="22"/>
        </w:rPr>
        <w:t>The program shall formally seek to provide a stable, consistent, and cohesive therapeutic milieu. In part this will be encouraged by scheduling attendance such that a stable core of patients exists as much as possible. The milieu will consider the developmental and social stage of the participants such that no patient will be significantly involved with other patients who are likely to contribute to retardation or deterioration of the patient’s social and emotional functioning. To help establish a sense of program identity, the array of therapeutic interventions shall be specifically identified as the day treatment program. Program planning meetings shall be held at least quarterly to evaluate the effectiveness of the clinical program. In the program description, the provider shall state how milieu stability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Chronic mental illness. </w:t>
      </w:r>
      <w:r>
        <w:rPr>
          <w:rFonts w:ascii="Times New Roman" w:hAnsi="Times New Roman"/>
          <w:b w:val="false"/>
          <w:i w:val="false"/>
          <w:color w:val="000000"/>
          <w:sz w:val="22"/>
        </w:rPr>
        <w:t xml:space="preserve">Persons aged 18 through 20 with chronic mental illness as defined by rule </w:t>
      </w:r>
      <w:hyperlink r:id="rId181">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(225C) can receive day treatment services under this subrule or subrule </w:t>
      </w:r>
      <w:hyperlink r:id="rId182">
        <w:r>
          <w:rPr>
            <w:rStyle w:val="Hyperlink"/>
            <w:rFonts w:ascii="Times New Roman" w:hAnsi="Times New Roman"/>
            <w:b w:val="false"/>
            <w:i w:val="false"/>
            <w:color w:val="000000"/>
            <w:sz w:val="22"/>
          </w:rPr>
          <w:t>78.16(6)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441—78.17</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therapists. </w:t>
      </w:r>
      <w:r>
        <w:rPr>
          <w:rFonts w:ascii="Times New Roman" w:hAnsi="Times New Roman"/>
          <w:b w:val="false"/>
          <w:i w:val="false"/>
          <w:color w:val="000000"/>
          <w:sz w:val="22"/>
        </w:rPr>
        <w:t xml:space="preserve">Payment will be approved for the same services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441—78.18</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centers. </w:t>
      </w:r>
      <w:r>
        <w:rPr>
          <w:rFonts w:ascii="Times New Roman" w:hAnsi="Times New Roman"/>
          <w:b w:val="false"/>
          <w:i w:val="false"/>
          <w:color w:val="000000"/>
          <w:sz w:val="22"/>
        </w:rPr>
        <w:t xml:space="preserve">Payment will be approved for health screening as defined in </w:t>
      </w:r>
      <w:hyperlink r:id="rId185">
        <w:r>
          <w:rPr>
            <w:rStyle w:val="Hyperlink"/>
            <w:rFonts w:ascii="Times New Roman" w:hAnsi="Times New Roman"/>
            <w:b w:val="false"/>
            <w:i w:val="false"/>
            <w:color w:val="000000"/>
            <w:sz w:val="22"/>
          </w:rPr>
          <w:t>441—subrule 84.1(1)</w:t>
        </w:r>
      </w:hyperlink>
      <w:r>
        <w:rPr>
          <w:rFonts w:ascii="Times New Roman" w:hAnsi="Times New Roman"/>
          <w:b w:val="false"/>
          <w:i w:val="false"/>
          <w:color w:val="000000"/>
          <w:sz w:val="22"/>
        </w:rPr>
        <w:t xml:space="preserve"> for Medicaid members under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78.18(1)</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screening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necessary laboratory service related to an element of screening when performed by the screening center and billed as a separate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78.18(3)</w:t>
      </w:r>
      <w:r>
        <w:rPr>
          <w:rFonts w:ascii="Times New Roman" w:hAnsi="Times New Roman"/>
          <w:b w:val="false"/>
          <w:i w:val="false"/>
          <w:color w:val="000000"/>
          <w:sz w:val="22"/>
        </w:rPr>
        <w:t> </w:t>
      </w:r>
      <w:r>
        <w:rPr>
          <w:rFonts w:ascii="Times New Roman" w:hAnsi="Times New Roman"/>
          <w:b w:val="false"/>
          <w:i w:val="false"/>
          <w:color w:val="000000"/>
          <w:sz w:val="22"/>
        </w:rPr>
        <w:t>Periodicity schedules for health, hearing, vision, and dental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health, vision, and hearing screenings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Six screenings in the first year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screenings between the ages of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screening a year at ages 3, 4, 5, and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screening a year at ages 8, 10, 12, 14, 16, 18, and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dental screenings will be approved in conjunction with the health screenings up to age 12 months. Screenings will be approved at ages 12 months and 24 months and thereafter at six-month intervals up to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Interperiodic screenings will be approved as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it is established by the periodicity schedule in </w:t>
      </w:r>
      <w:hyperlink r:id="rId186">
        <w:r>
          <w:rPr>
            <w:rStyle w:val="Hyperlink"/>
            <w:rFonts w:ascii="Times New Roman" w:hAnsi="Times New Roman"/>
            <w:b w:val="false"/>
            <w:i w:val="false"/>
            <w:color w:val="000000"/>
            <w:sz w:val="22"/>
          </w:rPr>
          <w:t>78.18(3)</w:t>
        </w:r>
      </w:hyperlink>
      <w:r>
        <w:rPr>
          <w:rFonts w:ascii="Times New Roman" w:hAnsi="Times New Roman"/>
          <w:b w:val="false"/>
          <w:i w:val="false"/>
          <w:color w:val="000000"/>
          <w:sz w:val="22"/>
        </w:rPr>
        <w:t xml:space="preserve"> that an individual is in need of screening the individual will receive a notice that screening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78.18(5)</w:t>
      </w:r>
      <w:r>
        <w:rPr>
          <w:rFonts w:ascii="Times New Roman" w:hAnsi="Times New Roman"/>
          <w:b w:val="false"/>
          <w:i w:val="false"/>
          <w:color w:val="000000"/>
          <w:sz w:val="22"/>
        </w:rPr>
        <w:t> </w:t>
      </w:r>
      <w:r>
        <w:rPr>
          <w:rFonts w:ascii="Times New Roman" w:hAnsi="Times New Roman"/>
          <w:b w:val="false"/>
          <w:i w:val="false"/>
          <w:color w:val="000000"/>
          <w:sz w:val="22"/>
        </w:rPr>
        <w:t>When an individual is screened, a member of the screening center shall complete a medical history. The medical history shall become part of the individual’s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78.18(7)</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screening center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78.18(8)</w:t>
      </w:r>
      <w:r>
        <w:rPr>
          <w:rFonts w:ascii="Times New Roman" w:hAnsi="Times New Roman"/>
          <w:b w:val="false"/>
          <w:i w:val="false"/>
          <w:color w:val="000000"/>
          <w:sz w:val="22"/>
        </w:rPr>
        <w:t> </w:t>
      </w:r>
      <w:r>
        <w:rPr>
          <w:rFonts w:ascii="Times New Roman" w:hAnsi="Times New Roman"/>
          <w:b w:val="false"/>
          <w:i w:val="false"/>
          <w:color w:val="000000"/>
          <w:sz w:val="22"/>
        </w:rPr>
        <w:t>Payment shall be made for dental services provided by a dental hygienist employed by or under contract with a screening center.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441—78.19</w:t>
      </w:r>
      <w:r>
        <w:rPr>
          <w:rFonts w:ascii="Times New Roman" w:hAnsi="Times New Roman"/>
          <w:b/>
          <w:i w:val="false"/>
          <w:color w:val="000000"/>
          <w:sz w:val="22"/>
        </w:rPr>
        <w:t xml:space="preserve">(249A) </w:t>
      </w:r>
      <w:r>
        <w:rPr>
          <w:rFonts w:ascii="Times New Roman" w:hAnsi="Times New Roman"/>
          <w:b/>
          <w:i w:val="false"/>
          <w:color w:val="000000"/>
          <w:sz w:val="22"/>
        </w:rPr>
        <w:t xml:space="preserve">Rehabilitation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78.19(1)</w:t>
      </w:r>
      <w:r>
        <w:rPr>
          <w:rFonts w:ascii="Times New Roman" w:hAnsi="Times New Roman"/>
          <w:b w:val="false"/>
          <w:i w:val="false"/>
          <w:color w:val="000000"/>
          <w:sz w:val="22"/>
        </w:rPr>
        <w:t> </w:t>
      </w:r>
      <w:r>
        <w:rPr>
          <w:rFonts w:ascii="Times New Roman" w:hAnsi="Times New Roman"/>
          <w:b w:val="false"/>
          <w:i/>
          <w:color w:val="000000"/>
          <w:sz w:val="22"/>
        </w:rPr>
        <w:t xml:space="preserve">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regarding 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are provided in the member’s home or in a care facility (other than a hospital) by a speech therapist, physical therapist, or occupational therapist employed by or contracted by the agency. A nursing facility, an intermediate care facility for persons with an intellectual disability, or a hospital where services are provided is not considered a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to a member residing in a residential care facility licensed under Iowa Code section </w:t>
      </w:r>
      <w:hyperlink r:id="rId188">
        <w:r>
          <w:rPr>
            <w:rStyle w:val="Hyperlink"/>
            <w:rFonts w:ascii="Times New Roman" w:hAnsi="Times New Roman"/>
            <w:b w:val="false"/>
            <w:i w:val="false"/>
            <w:color w:val="000000"/>
            <w:sz w:val="22"/>
          </w:rPr>
          <w:t>135C.4</w:t>
        </w:r>
      </w:hyperlink>
      <w:r>
        <w:rPr>
          <w:rFonts w:ascii="Times New Roman" w:hAnsi="Times New Roman"/>
          <w:b w:val="false"/>
          <w:i w:val="false"/>
          <w:color w:val="000000"/>
          <w:sz w:val="22"/>
        </w:rPr>
        <w:t xml:space="preserve"> by the department of inspections and appeals are payable when the residential care facility submits a signed statement that the residential care facility does not have these services available. The statement need only be submitted at the start of care unless the situation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will the IME or managed care organizations (MCOs) make payments to a rehabilitation agency for therapy provided to a member residing in a nursing facility or an intermediate care facility for persons with an intellectual disability. Physical, occupational, and speech therapy services for residents of the nursing facility, intermediate care facility for persons with an intellectual disability or hospital are the responsibility of the nursing facility, intermediate care facility for persons with an intellectual disability or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services must be determined to be medically necessary, reasonable, and meet a significant need of the recipient that cannot be met by a family member, friend, medical staff personnel, or other caregiver; must meet accepted standards of medical practice; and must be a specific and effective treatment for a patient’s medical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for a service to be payable, a licensed therapist must complete a plan of treatment every 30 days and indicate the type of service required. The plan of treatment must contain the information noted in subrule </w:t>
      </w:r>
      <w:hyperlink r:id="rId189">
        <w:r>
          <w:rPr>
            <w:rStyle w:val="Hyperlink"/>
            <w:rFonts w:ascii="Times New Roman" w:hAnsi="Times New Roman"/>
            <w:b w:val="false"/>
            <w:i w:val="false"/>
            <w:color w:val="000000"/>
            <w:sz w:val="22"/>
          </w:rPr>
          <w:t>78.19(2)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no specific limitation on the number of visits for which payment through the program will be made so long as that amount of service is medically necessary in the individual case, is related to a diagnosed medical impairment or disabling condition, and meets the current standards of practice in each related field. Documentation must be submitted with each claim to support the need for the number of services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will be made both for restorative service and also for maintenance types of service. Essentially, maintenance services means services to a patient whose condition is stabilized and who requires observation by a therapist of conditions defined by the physician as indicating a possible deterioration of health status. This would include persons with long-term illnesses or a disabling condition whose status is stable rather than posthospital. Refer to </w:t>
      </w:r>
      <w:hyperlink r:id="rId190">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Restorative or maintenance therapy sessions must meet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must be face-to-face patient contact interaction.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must be provided primarily on an individual basis. Group therapy is covered, but total units of service in a month shall not exceed total units of individual therapy. Family members receiving therapy may be included as part of a group.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Treatment sessions may be no less than 15 minutes of service and no more than 60 minutes of service per date unless more than 60 minutes of service is required for a treatment session due to the patient’s specific condition. If more than 60 minutes of service is required for a treatment session, additional documentation of the specific condition and the need for the longer treatment session shall be submitted with the claim. A unit of treatment shall be considered to be 15 minutes in length.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Progress must be documented in measurable statistics in the progress notes in order for services to be reimbursed. Refer to </w:t>
      </w:r>
      <w:hyperlink r:id="rId191">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an appropriate period of diagnostic therapy or trial therapy (up to two months) to determine a patient’s rehabilitation potential and establish appropriate short-term and long-term goals. Documentation must be submitted with each plan to support the need for diagnostic or trial therapy. Refer to </w:t>
      </w:r>
      <w:hyperlink r:id="rId192">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for guidelines under diagnostic or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under rehabilitation agency services, physical therapy services must relate directly and specifically to an active written treatment plan, follow a treatment plan established by the licensed therapist after consultation with the physician, be reasonable and necessary to the treatment of the person’s illness, injury, or disabling condition, be specific and effective treatment for the patient’s medical or disabling condition, and be of such a level of complexity and sophistication, or the condition of the patient must be such that the services required can be safely and effectively performed only by a qualified physical therapist or under the supervision of the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physical therapist assistant may provide any restorative services performed by a licensed physical therapist under supervision of the therapist as set forth in the department of public health, professional licensure division, </w:t>
      </w:r>
      <w:hyperlink r:id="rId193">
        <w:r>
          <w:rPr>
            <w:rStyle w:val="Hyperlink"/>
            <w:rFonts w:ascii="Times New Roman" w:hAnsi="Times New Roman"/>
            <w:b w:val="false"/>
            <w:i w:val="false"/>
            <w:color w:val="000000"/>
            <w:sz w:val="22"/>
          </w:rPr>
          <w:t>645—subrule 200.20(7)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initial physical therapy evaluation must be provided by a licensed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must be an expectation that there will be a significant, practical improvement in the patient’s condition in a reasonable amount of time based on the patient’s restorative potential assessed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It must be demonstrated there is a need to establish a safe and effective maintenance program related to a specific disease state,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frequency, and duration of the services must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Restorative therapy must be reasonable and necessary to the treatment of the patient’s injury or disabling condition. The expected restorative potential must be practical and in relation to the extent and duration of the treatment. There must be an expectation that the patient’s medical or disabling condition will show functional improvement in a reasonable period of time. Functional improvement means that demonstrable measurable increases have occurred in the patient’s level of independence outside the therapeutic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Generally, maintenance therapy means services to a patient whose condition is stabilized and who requires observation by a therapist of conditions defined by the physician as indicating a possible deterioration of health status. This includes persons with long-term illnesses or disabling conditions whose status is stable rather than posthospital. Maintenance therapy is also appropriate for individuals whose condition is such that a professionally established program of activities, exercises, or stimulation is medically necessary to prevent deterioration or maintain present functioning levels.</w:t>
      </w:r>
    </w:p>
    <w:p>
      <w:pPr>
        <w:spacing w:before="0" w:after="0"/>
        <w:ind w:left="120"/>
        <w:jc w:val="both"/>
      </w:pPr>
      <w:r>
        <w:rPr>
          <w:rFonts w:ascii="Times New Roman" w:hAnsi="Times New Roman"/>
          <w:b w:val="false"/>
          <w:i w:val="false"/>
          <w:color w:val="000000"/>
          <w:sz w:val="22"/>
        </w:rPr>
        <w:t>Where a maintenance program is appropriate, the initial evaluation and the instruction of the patient, family members, home health aides, facility personnel, or other caregivers to carry out the program are considered a covered physical therapy service. Payment shall be made for a maximum of three visits to establish a maintenance program and instruct the caregivers. Payment for supervisory visits to monitor the program is limited to two per month for a maximum period of 12 months. The plan of treatment must specify the anticipated monitoring activity of the supervisor.</w:t>
      </w:r>
    </w:p>
    <w:p>
      <w:pPr>
        <w:spacing w:before="0" w:after="0"/>
        <w:ind w:left="120"/>
        <w:jc w:val="both"/>
      </w:pPr>
      <w:r>
        <w:rPr>
          <w:rFonts w:ascii="Times New Roman" w:hAnsi="Times New Roman"/>
          <w:b w:val="false"/>
          <w:i w:val="false"/>
          <w:color w:val="000000"/>
          <w:sz w:val="22"/>
        </w:rPr>
        <w:t>Beyond evaluation, instruction, and monitoring, maintenance therapy is not reimbursable.</w:t>
      </w:r>
    </w:p>
    <w:p>
      <w:pPr>
        <w:spacing w:before="0" w:after="0"/>
        <w:ind w:left="120"/>
        <w:jc w:val="both"/>
      </w:pPr>
      <w:r>
        <w:rPr>
          <w:rFonts w:ascii="Times New Roman" w:hAnsi="Times New Roman"/>
          <w:b w:val="false"/>
          <w:i w:val="false"/>
          <w:color w:val="000000"/>
          <w:sz w:val="22"/>
        </w:rPr>
        <w:t>After 12 months of maintenance therapy, a reevaluation is a covered service, if medically necessary. A reevaluation will be considered medically necessary only if there is a significant change in residential or employment situation or the patient exhibits an increase or decrease in functional ability or motivation, clearing of confusion, or the remission of some other medical condition which previously contraindicated restorative therapy. A statement by the interdisciplinary team of a person with developmental disabilities recommending a reevaluation and stating the basis for medical necessity will be considered as supporting the necessity of a reevaluation and may expedite approval.</w:t>
      </w:r>
    </w:p>
    <w:p>
      <w:pPr>
        <w:spacing w:before="0" w:after="0"/>
        <w:ind w:left="120"/>
        <w:jc w:val="both"/>
      </w:pPr>
      <w:r>
        <w:rPr>
          <w:rFonts w:ascii="Times New Roman" w:hAnsi="Times New Roman"/>
          <w:b w:val="false"/>
          <w:i w:val="false"/>
          <w:color w:val="000000"/>
          <w:sz w:val="22"/>
        </w:rPr>
        <w:t>(Restorative and maintenance therapy definitions also apply to speech and occupational therapy.)</w:t>
      </w:r>
    </w:p>
    <w:p>
      <w:pPr>
        <w:spacing w:before="0" w:after="0"/>
        <w:ind w:left="120"/>
        <w:jc w:val="both"/>
      </w:pPr>
      <w:r>
        <w:rPr>
          <w:rFonts w:ascii="Times New Roman" w:hAnsi="Times New Roman"/>
          <w:b w:val="false"/>
          <w:i w:val="false"/>
          <w:color w:val="000000"/>
          <w:sz w:val="22"/>
        </w:rPr>
        <w:t>When a patient is under a restorative physical therapy program, the patient’s condition is regularly reevaluated and the program adjusted by the physical therapist. It is expected that prior to discharge, a maintenance program has been designed by the physical therapist. Consequently, where a maintenance program is not established until after the restorative program has been completed, it would not be considered reasonable and necessary to the treatment of the patient’s condition and would be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Hot packs, hydrocollator, infrared treatments, paraffin baths, and whirlpool baths do not ordinarily require the skills of a qualified physical therapist. These are covered when the patient’s condition is complicated by other conditions such as a circulatory deficiency or open wounds or if the service is an integral part of a skilled physical therapy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Gait training and gait evaluation and training constitute a covered service if the patient’s ability to walk has been impaired by a neurological, muscular or skeletal condition or illness. The gait training must be expected to significantly improve the patient’s ability to walk or level of independence.</w:t>
      </w:r>
    </w:p>
    <w:p>
      <w:pPr>
        <w:spacing w:before="0" w:after="0"/>
        <w:ind w:left="120"/>
        <w:jc w:val="both"/>
      </w:pPr>
      <w:r>
        <w:rPr>
          <w:rFonts w:ascii="Times New Roman" w:hAnsi="Times New Roman"/>
          <w:b w:val="false"/>
          <w:i w:val="false"/>
          <w:color w:val="000000"/>
          <w:sz w:val="22"/>
        </w:rPr>
        <w:t>Repetitious exercise to increase endurance of weak or unstable patients can be safely provided by supportive personnel, e.g., aides, nursing personnel. Therefore, it is not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Ultrasound, shortwave, and microwave diathermy treatments are considered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Range of motion tests must be performed by a qualified physical therapist. Range of motion exercises require the skills of a qualified physical therapist only when they are part of the active treatment of a specific disease or disabling condition which has resulted in a loss or restriction of mobility.</w:t>
      </w:r>
    </w:p>
    <w:p>
      <w:pPr>
        <w:spacing w:before="0" w:after="0"/>
        <w:ind w:left="120"/>
        <w:jc w:val="both"/>
      </w:pPr>
      <w:r>
        <w:rPr>
          <w:rFonts w:ascii="Times New Roman" w:hAnsi="Times New Roman"/>
          <w:b w:val="false"/>
          <w:i w:val="false"/>
          <w:color w:val="000000"/>
          <w:sz w:val="22"/>
        </w:rPr>
        <w:t>Documentation must reflect the degree of motion lost, the normal range of motion, and the degree to be restored.</w:t>
      </w:r>
    </w:p>
    <w:p>
      <w:pPr>
        <w:spacing w:before="0" w:after="0"/>
        <w:ind w:left="120"/>
        <w:jc w:val="both"/>
      </w:pPr>
      <w:r>
        <w:rPr>
          <w:rFonts w:ascii="Times New Roman" w:hAnsi="Times New Roman"/>
          <w:b w:val="false"/>
          <w:i w:val="false"/>
          <w:color w:val="000000"/>
          <w:sz w:val="22"/>
        </w:rPr>
        <w:t>Range of motion to unaffected joints only does not constitute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Reconditioning programs after surgery or prolonged hospitalization are not covered as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Therapeutic exercises would constitute a physical therapy service due either to the type of exercise employed or to the condition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Use of isokinetic or isotonic type equipment in physical therapy is covered when normal range of motion of a joint is affected due to bone, joint, ligament or tendon injury or postsurgical trauma. Billing can only be made for the time actually spent by the therapist in instructing the patient and assessing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When recipients do not meet restorative or maintenance therapy criteria, diagnostic or trial therapy may be utilized. When the initial evaluation is not sufficient to determine whether there are rehabilitative goals that should be addressed, diagnostic or trial therapy to establish goals shall be considered appropriate. Diagnostic or trial therapy may be appropriate for recipients who need evaluation in multiple environments in order to adequately determine their rehabilitative potential. Diagnostic or trial therapy consideration may be appropriate when there is a need to assess the patient’s response to treatment in the recipient’s environment.</w:t>
      </w:r>
    </w:p>
    <w:p>
      <w:pPr>
        <w:spacing w:before="0" w:after="0"/>
        <w:ind w:left="120"/>
        <w:jc w:val="both"/>
      </w:pPr>
      <w:r>
        <w:rPr>
          <w:rFonts w:ascii="Times New Roman" w:hAnsi="Times New Roman"/>
          <w:b w:val="false"/>
          <w:i w:val="false"/>
          <w:color w:val="000000"/>
          <w:sz w:val="22"/>
        </w:rPr>
        <w:t>When during diagnostic or trial therapy a recipient has been sufficiently evaluated to determine potential for restorative or maintenance therapy, or lack of therapy potential, diagnostic or trial therapy ends. When as a result of diagnostic or trial therapy, restorative or maintenance therapy is found appropriate, claims shall be submitted noting restorative or maintenance therapy (instead of diagnostic or trial therapy).</w:t>
      </w:r>
    </w:p>
    <w:p>
      <w:pPr>
        <w:spacing w:before="0" w:after="0"/>
        <w:ind w:left="120"/>
        <w:jc w:val="both"/>
      </w:pPr>
      <w:r>
        <w:rPr>
          <w:rFonts w:ascii="Times New Roman" w:hAnsi="Times New Roman"/>
          <w:b w:val="false"/>
          <w:i w:val="false"/>
          <w:color w:val="000000"/>
          <w:sz w:val="22"/>
        </w:rPr>
        <w:t>At the end of diagnostic or trial therapy, the rehabilitation provider shall recommend continuance of services under restorative therapy, recommend continuance of services under maintenance therapy, or recommend discontinuance of services. Continuance of services under restorative or maintenance therapy will be reviewed based on the criteria in place for restorative or maintenance therapy.</w:t>
      </w:r>
    </w:p>
    <w:p>
      <w:pPr>
        <w:spacing w:before="0" w:after="0"/>
        <w:ind w:left="120"/>
        <w:jc w:val="both"/>
      </w:pPr>
      <w:r>
        <w:rPr>
          <w:rFonts w:ascii="Times New Roman" w:hAnsi="Times New Roman"/>
          <w:b w:val="false"/>
          <w:i w:val="false"/>
          <w:color w:val="000000"/>
          <w:sz w:val="22"/>
        </w:rPr>
        <w:t>Trial therapy shall not be granted more often than once per year for the same issue. If the recipient has a previous history of rehabilitative services, trial therapy for the same type of services generally would be payable only when a significant change has occurred since the last therapy. Requests for subsequent diagnostic or trial therapy for the same issue would require documentation reflecting a significant change. See number 4 below for guidelines under a significant change. Further diagnostic or trial therapy for the same issue would not be considered appropriate when progress was not achieved, unless the reasons which blocked change previously are listed and the reasons the new diagnostic or trial therapy would not have these blocks are provided.</w:t>
      </w:r>
    </w:p>
    <w:p>
      <w:pPr>
        <w:spacing w:before="0" w:after="0"/>
        <w:ind w:left="120"/>
        <w:jc w:val="both"/>
      </w:pPr>
      <w:r>
        <w:rPr>
          <w:rFonts w:ascii="Times New Roman" w:hAnsi="Times New Roman"/>
          <w:b w:val="false"/>
          <w:i w:val="false"/>
          <w:color w:val="000000"/>
          <w:sz w:val="22"/>
        </w:rPr>
        <w:t>The number of diagnostic or trial therapy hours authorized in the initial treatment period shall not exceed 12 hours per month. Documentation of the medical necessity and the plan for services under diagnostic trial therapy are required as they will be reviewed in the determination of the medical necessity of the number of hours of service provided.</w:t>
      </w:r>
    </w:p>
    <w:p>
      <w:pPr>
        <w:spacing w:before="0" w:after="0"/>
        <w:ind w:left="120"/>
        <w:jc w:val="both"/>
      </w:pPr>
      <w:r>
        <w:rPr>
          <w:rFonts w:ascii="Times New Roman" w:hAnsi="Times New Roman"/>
          <w:b w:val="false"/>
          <w:i w:val="false"/>
          <w:color w:val="000000"/>
          <w:sz w:val="22"/>
        </w:rPr>
        <w:t>Diagnostic or trial therapy standards also apply to speech and occupational therapy.</w:t>
      </w:r>
    </w:p>
    <w:p>
      <w:pPr>
        <w:spacing w:before="0" w:after="0"/>
        <w:ind w:left="120"/>
        <w:jc w:val="both"/>
      </w:pPr>
      <w:r>
        <w:rPr>
          <w:rFonts w:ascii="Times New Roman" w:hAnsi="Times New Roman"/>
          <w:b w:val="false"/>
          <w:i w:val="false"/>
          <w:color w:val="000000"/>
          <w:sz w:val="22"/>
        </w:rPr>
        <w:t>The following criteria additionally must be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must be face-to-face interaction with a licensed therapist. (An aide’s services will not be payable.)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must be provided on an individual basis. (Group diagnostic or trial therapy will not be payable.)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the diagnostic therapy or trial therapy must reflect the provider’s plan for therapy and the recipient’s response.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the recipient has a previous history of rehabilitative services, trial therapy for the same type of services generally would be payable only when a significant change has occurred since the last therapy. A significant change would be considered as having occurred when any of the following exist: new onset, new problem, new need, new growth issue, a change in vocational or residential setting that requires a reevaluation of potential, or surgical intervention that may have caused new rehabilitative potentials.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persons who received previous rehabilitative treatment, consideration of trial therapy generally should occur only if the person has incorporated any regimen recommended during prior treatment into the person’s daily life to the extent of the person’s abilities.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should include any previous attempts to resolve problems using nontherapy personnel (i.e., residential group home staff, family members, etc.) and whether follow-up programs from previous therapy have been carried out.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Referrals from residential, vocational or other rehabilitation personnel that do not meet present evaluation, restorative or maintenance criteria shall be considered for trial therapy. Documentation of the proposed service, the medical necessity and the current medical or disabling condition, including any secondary rehabilitative diagnosis, will need to be submitted with the claim.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Claims for diagnostic or trial therapy shall reflect the progress being made toward the initial diagnostic or trial therapy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covered under rehabilitation agency services, occupational therapy services must be included in a plan of treatment, improve or restore practical functions which have been impaired by illness, injury, or disabling condition, or enhance the person’s ability to perform those tasks required for independent functioning, be prescribed by a physician under a plan of treatment, be performed by a qualified licensed occupational therapist or a qualified licensed occupational therapist assistant under the general supervision of a qualified licensed occupational therapist as set forth in the department of public health, professional licensure division, rule </w:t>
      </w:r>
      <w:hyperlink r:id="rId194">
        <w:r>
          <w:rPr>
            <w:rStyle w:val="Hyperlink"/>
            <w:rFonts w:ascii="Times New Roman" w:hAnsi="Times New Roman"/>
            <w:b w:val="false"/>
            <w:i w:val="false"/>
            <w:color w:val="000000"/>
            <w:sz w:val="22"/>
          </w:rPr>
          <w:t>645—201.9</w:t>
        </w:r>
      </w:hyperlink>
      <w:r>
        <w:rPr>
          <w:rFonts w:ascii="Times New Roman" w:hAnsi="Times New Roman"/>
          <w:b w:val="false"/>
          <w:i w:val="false"/>
          <w:color w:val="000000"/>
          <w:sz w:val="22"/>
        </w:rPr>
        <w:t>(148B), and be reasonable and necessary for the treatment of the person’s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Restorative therapy is covered when an expectation exists that the therapy will result in a significant practical improvement in the person’s condition.</w:t>
      </w:r>
    </w:p>
    <w:p>
      <w:pPr>
        <w:spacing w:before="0" w:after="0"/>
        <w:ind w:left="120"/>
        <w:jc w:val="both"/>
      </w:pPr>
      <w:r>
        <w:rPr>
          <w:rFonts w:ascii="Times New Roman" w:hAnsi="Times New Roman"/>
          <w:b w:val="false"/>
          <w:i w:val="false"/>
          <w:color w:val="000000"/>
          <w:sz w:val="22"/>
        </w:rPr>
        <w:t>However, in these cases where there is a valid expectation of improvement met at the time the occupational therapy program is instituted, but the expectation goal is not realized, services would only be covered up to the time one would reasonably conclude the patient would not improve.</w:t>
      </w:r>
    </w:p>
    <w:p>
      <w:pPr>
        <w:spacing w:before="0" w:after="0"/>
        <w:ind w:left="120"/>
        <w:jc w:val="both"/>
      </w:pPr>
      <w:r>
        <w:rPr>
          <w:rFonts w:ascii="Times New Roman" w:hAnsi="Times New Roman"/>
          <w:b w:val="false"/>
          <w:i w:val="false"/>
          <w:color w:val="000000"/>
          <w:sz w:val="22"/>
        </w:rPr>
        <w:t xml:space="preserve">The guidelines under restorative therapy, maintenance therapy, and diagnostic or trial therapy for physical therapy in </w:t>
      </w:r>
      <w:hyperlink r:id="rId195">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hyperlink r:id="rId196">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197">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apply to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therapy, or any activity or exercise program required to maintain a function at the restored level, is not a covered service. However, designing a maintenance program in accordance with the requirements of </w:t>
      </w:r>
      <w:hyperlink r:id="rId198">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and monitoring the progress would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selection and teaching of tasks designed to restore physical function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Planning and implementing therapeutic tasks, such as activities to restore sensory-integrative functions are covered. Other examples include providing motor and tactile activities to increase input and improve responses for a stroke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teaching of activities of daily living and energy conservation to improve the level of independence of a patient which require the skill of a licensed therapist and meet the definition of restorative therapy is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designing, fabricating, and fitting of orthotic and self-help devices are considered covered services if they relate to the patient’s condition and require occupational therapy. A maximum of 13 visits is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Vocational and prevocational assessment and training are not payable by Medicaid. These include services which are related solely to specific employment opportunities, work skills, or work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by Medicaid as rehabilitation agency services, speech therapy services must be included in a plan of treatment established by the licensed, skilled therapist after consultation with the physician, relate to a specific medical diagnosis which will significantly improve a patient’s practical, functional level in a reasonable and predictable time period, and require the skilled services of a speech therapist. Services provided by a speech aide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Speech therapy activities which are considered covered services include: restorative therapy services to restore functions affected by illness, injury, or disabling condition resulting in a communication impairment or to develop functions where deficiencies currently exist. Communication impairments fall into the general categories of disorders of voice, fluency, articulation, language, and swallowing disorders resulting from any condition other than mental impairment. Treatment of these conditions is payable if restorative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Aural rehabilitation, the instruction given by a qualified speech pathologist in speech reading or lip reading to patients who have suffered a hearing loss or become hard of hearing (input impairment), constitutes a covered service if reasonable and necessary to the patient’s illness or injury. Group treatment is not covered. Audiological services related to the use of a hearing aid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a patient to use sign language and to use an augmentative communication device is reimbursable. The patient must show significant progress outside the therapy sessions in order for these services to be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 maintenance program is appropriate, the initial evaluation, the instruction of the patient and caregivers to carry out the program, and supervisory visits to monitor progress are covered services. Beyond evaluation, instruction, and monitoring, maintenance therapy is not reimbursable. However, designing a maintenance program in accordance with the requirements of maintenance therapy and monitoring the progress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and limits on restorative therapy, maintenance therapy, and diagnostic or trial therapy for physical therapy in </w:t>
      </w:r>
      <w:hyperlink r:id="rId199">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hyperlink r:id="rId200">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201">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apply to speech therapy. If the only goal of prior rehabilitative speech therapy was to learn the prerequisite speech components, then number “5” under </w:t>
      </w:r>
      <w:hyperlink r:id="rId202">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will not apply to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78.19(2)</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for plans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information to be included on medical information forms and treatment plans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current medical condition and functional abilities, including any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physician’s signature and date (within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Patient’s progress in measurable statistics. (Refer to </w:t>
      </w:r>
      <w:hyperlink r:id="rId203">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place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Dates of prior surgery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the patient was last seen by the physician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diagnosis relevant to the medical necessity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Dates of onset of any diagnoses for which treatment is being rendered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initial evaluation or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services to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 and 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anticipated duration of the services and the estimated date of discharge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Assistive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patient’s rehabilitative potential and the extent to which the patient has been able to apply the skills learned in the rehabilitation setting to everyday living outside the therapy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date of the last episode of instability or the date of the last episode of acute recurrence of illness or symptoms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Quantitative, measurable, short-term and long-term functional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The period of time of a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Prior treatment (history related to current diagnosis) if available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to be included when developing plans for teaching, training, and counseling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whom the services were provided (patient, family member,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teaching, training, or counseling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medical necessity of the rendered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identification of specific services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of the start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Progress in response to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estimated length of time the services are needed.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0994C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441—78.20</w:t>
      </w:r>
      <w:r>
        <w:rPr>
          <w:rFonts w:ascii="Times New Roman" w:hAnsi="Times New Roman"/>
          <w:b/>
          <w:i w:val="false"/>
          <w:color w:val="000000"/>
          <w:sz w:val="22"/>
        </w:rPr>
        <w:t xml:space="preserve">(249A) </w:t>
      </w:r>
      <w:r>
        <w:rPr>
          <w:rFonts w:ascii="Times New Roman" w:hAnsi="Times New Roman"/>
          <w:b/>
          <w:i w:val="false"/>
          <w:color w:val="000000"/>
          <w:sz w:val="22"/>
        </w:rPr>
        <w:t xml:space="preserve">Independent laboratories. </w:t>
      </w:r>
      <w:r>
        <w:rPr>
          <w:rFonts w:ascii="Times New Roman" w:hAnsi="Times New Roman"/>
          <w:b w:val="false"/>
          <w:i w:val="false"/>
          <w:color w:val="000000"/>
          <w:sz w:val="22"/>
        </w:rPr>
        <w:t>Payment will be made for medically necessary laboratory services provided by laboratories that are independent of attending and consulting physicians’ offices, hospitals, and critical access hospitals and that are certified to participate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441—78.21</w:t>
      </w:r>
      <w:r>
        <w:rPr>
          <w:rFonts w:ascii="Times New Roman" w:hAnsi="Times New Roman"/>
          <w:b/>
          <w:i w:val="false"/>
          <w:color w:val="000000"/>
          <w:sz w:val="22"/>
        </w:rPr>
        <w:t xml:space="preserve">(249A) </w:t>
      </w:r>
      <w:r>
        <w:rPr>
          <w:rFonts w:ascii="Times New Roman" w:hAnsi="Times New Roman"/>
          <w:b/>
          <w:i w:val="false"/>
          <w:color w:val="000000"/>
          <w:sz w:val="22"/>
        </w:rPr>
        <w:t xml:space="preserve">Rural health clinics. </w:t>
      </w:r>
      <w:r>
        <w:rPr>
          <w:rFonts w:ascii="Times New Roman" w:hAnsi="Times New Roman"/>
          <w:b w:val="false"/>
          <w:i w:val="false"/>
          <w:color w:val="000000"/>
          <w:sz w:val="22"/>
        </w:rPr>
        <w:t>Payment will be made to rural health clinics for the same services payable under the Medicare program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Payment will be made for sterilization in accordance with </w:t>
      </w:r>
      <w:hyperlink r:id="rId206">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207">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208">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rural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441—78.22</w:t>
      </w:r>
      <w:r>
        <w:rPr>
          <w:rFonts w:ascii="Times New Roman" w:hAnsi="Times New Roman"/>
          <w:b/>
          <w:i w:val="false"/>
          <w:color w:val="000000"/>
          <w:sz w:val="22"/>
        </w:rPr>
        <w:t xml:space="preserve">(249A) </w:t>
      </w:r>
      <w:r>
        <w:rPr>
          <w:rFonts w:ascii="Times New Roman" w:hAnsi="Times New Roman"/>
          <w:b/>
          <w:i w:val="false"/>
          <w:color w:val="000000"/>
          <w:sz w:val="22"/>
        </w:rPr>
        <w:t xml:space="preserve">Family planning clinics. </w:t>
      </w:r>
      <w:r>
        <w:rPr>
          <w:rFonts w:ascii="Times New Roman" w:hAnsi="Times New Roman"/>
          <w:b w:val="false"/>
          <w:i w:val="false"/>
          <w:color w:val="000000"/>
          <w:sz w:val="22"/>
        </w:rPr>
        <w:t>Payments will be made on a fee schedule basis for services provided by family planning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 in accordance with </w:t>
      </w:r>
      <w:hyperlink r:id="rId210">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family planning clinic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441—78.23</w:t>
      </w:r>
      <w:r>
        <w:rPr>
          <w:rFonts w:ascii="Times New Roman" w:hAnsi="Times New Roman"/>
          <w:b/>
          <w:i w:val="false"/>
          <w:color w:val="000000"/>
          <w:sz w:val="22"/>
        </w:rPr>
        <w:t xml:space="preserve">(249A) </w:t>
      </w:r>
      <w:r>
        <w:rPr>
          <w:rFonts w:ascii="Times New Roman" w:hAnsi="Times New Roman"/>
          <w:b/>
          <w:i w:val="false"/>
          <w:color w:val="000000"/>
          <w:sz w:val="22"/>
        </w:rPr>
        <w:t xml:space="preserve">Other clinic services. </w:t>
      </w:r>
      <w:r>
        <w:rPr>
          <w:rFonts w:ascii="Times New Roman" w:hAnsi="Times New Roman"/>
          <w:b w:val="false"/>
          <w:i w:val="false"/>
          <w:color w:val="000000"/>
          <w:sz w:val="22"/>
        </w:rPr>
        <w:t>Payment will be made on a fee schedule basis to facilities not part of a hospital, funded publicly or by private contributions, which provide medically necessary treatment by or under the direct supervision of a physician or dentist to outpatients.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 xml:space="preserve">Payment will be made for sterilization in accordance with </w:t>
      </w:r>
      <w:hyperlink r:id="rId212">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213">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78.23(3)</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214">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clinic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441—78.24</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Psychologists. </w:t>
      </w:r>
      <w:r>
        <w:rPr>
          <w:rFonts w:ascii="Times New Roman" w:hAnsi="Times New Roman"/>
          <w:b w:val="false"/>
          <w:i w:val="false"/>
          <w:color w:val="000000"/>
          <w:sz w:val="22"/>
        </w:rPr>
        <w:t>Payment will be approved for services authorized by state law when they are provided by the psychologist in the psychologist’s office, a hospital, nursing facility, or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78.24(1)</w:t>
      </w:r>
      <w:r>
        <w:rPr>
          <w:rFonts w:ascii="Times New Roman" w:hAnsi="Times New Roman"/>
          <w:b w:val="false"/>
          <w:i w:val="false"/>
          <w:color w:val="000000"/>
          <w:sz w:val="22"/>
        </w:rPr>
        <w:t> </w:t>
      </w:r>
      <w:r>
        <w:rPr>
          <w:rFonts w:ascii="Times New Roman" w:hAnsi="Times New Roman"/>
          <w:b w:val="false"/>
          <w:i w:val="false"/>
          <w:color w:val="000000"/>
          <w:sz w:val="22"/>
        </w:rPr>
        <w:t>Payment for covered services provided by the psychologist shall be made on a fee for service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only for time spent in face-to-face consultation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spent with clients shall be rounded to the quarter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psychological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outpatient psychotherapy or other psychological procedures not to exceed one hour per week or 40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Couple, marital, family, or group outpatient therapy not to exceed one and one-half hours per week or 60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combination of individual and group therapy not to exceed the cost of 40 individual therapy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and testing for purposes of evaluation, placement, psychotherapy, or assessment of therapeutic progress, not to exceed eight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Mileage at the same rate as in </w:t>
      </w:r>
      <w:hyperlink r:id="rId216">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psychologist to travel outside of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qualified mental health professional more immediately available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has a medical condition which prohibits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Covered procedures necessary to maintain continuity of psychological treatment during periods of hospitalization or convalescence for physical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provided within a licensed hospital, residential treatment facility, day hospital, or nursing home as part of an approved treatment plan and a psychologist is not employed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78.24(3)</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performed without relationship to evaluations or psychotherapy for a specific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covered under Part B of Medicare, except for the Part B Medicare deductible and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employing unusual or experimental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 and group psychotherapy without specification of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growth groups or marathons, or psychotherapy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78.24(5)</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shall require review by a consultant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Protracted therapy beyond 16 visits. These cases shall be reviewed following the sixteenth therapy session and periodically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 which does not appear necessary or appears to fall outside the scope of what is professionally appropriate or necessary for a particular condition.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218">
        <w:r>
          <w:rPr>
            <w:rStyle w:val="Hyperlink"/>
            <w:rFonts w:ascii="Times New Roman" w:hAnsi="Times New Roman"/>
            <w:b w:val="false"/>
            <w:i w:val="false"/>
            <w:color w:val="000000"/>
            <w:sz w:val="22"/>
          </w:rPr>
          <w:t>249A.15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441—78.25</w:t>
      </w:r>
      <w:r>
        <w:rPr>
          <w:rFonts w:ascii="Times New Roman" w:hAnsi="Times New Roman"/>
          <w:b/>
          <w:i w:val="false"/>
          <w:color w:val="000000"/>
          <w:sz w:val="22"/>
        </w:rPr>
        <w:t xml:space="preserve">(249A) </w:t>
      </w:r>
      <w:r>
        <w:rPr>
          <w:rFonts w:ascii="Times New Roman" w:hAnsi="Times New Roman"/>
          <w:b/>
          <w:i w:val="false"/>
          <w:color w:val="000000"/>
          <w:sz w:val="22"/>
        </w:rPr>
        <w:t xml:space="preserve">Maternal health centers. </w:t>
      </w:r>
      <w:r>
        <w:rPr>
          <w:rFonts w:ascii="Times New Roman" w:hAnsi="Times New Roman"/>
          <w:b w:val="false"/>
          <w:i w:val="false"/>
          <w:color w:val="000000"/>
          <w:sz w:val="22"/>
        </w:rPr>
        <w:t xml:space="preserve">Payment will be made for prenatal and postpartum medical care, health education, and transportation to receive prenatal and postpartum services. Payment will be made for enhanced perinatal services for persons determined high risk. These services include additional health education services, nutrition counseling, social services, and one postpartum home visit. Maternal health centers shall provide trimester and postpartum reports to the referring physician. Risk assessment using Form 470-2942, Medicaid Prenatal Risk Assessment, shall be completed at the initial visit during a Medicaid member’s pregnancy. If the risk assessment reflects a low-risk pregnancy, the assessment shall be completed again at approximately the twenty-eighth week of pregnancy. If the risk assessment reflects a high-risk pregnancy, referral shall be made for enhanced services. (See description of enhanced services at subrule </w:t>
      </w:r>
      <w:hyperlink r:id="rId219">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78.25(1)</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Prenatal and postpartum medical services shall be provided by a physician, a physician assistant, or a nurse practitioner employed by or on contract with the center. Medical services performed by maternal health centers shall be performed under the supervision of a physician. Nurse practitioners and physician assistants performing under the supervision of a physician must do so within the scope of practice of that profession, as defined by Iowa Code chapters </w:t>
      </w:r>
      <w:hyperlink r:id="rId220">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22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Education services and postpartum home visits shall be provided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Nutrition services shall be provided by a licensed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Psychosocial services shall be provided by a person with at least a bachelor’s degree in social work, counseling, sociology, psychology, family and community services, health or human development, health education, or individual and family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78.25(2)</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for all pregnant women. </w:t>
      </w:r>
      <w:r>
        <w:rPr>
          <w:rFonts w:ascii="Times New Roman" w:hAnsi="Times New Roman"/>
          <w:b w:val="false"/>
          <w:i w:val="false"/>
          <w:color w:val="000000"/>
          <w:sz w:val="22"/>
        </w:rPr>
        <w:t>Services provided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Prenatal and postpartum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education,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Importance of continued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Normal changes of pregnancy including both maternal changes and fetal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Self-care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Comfort measures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Danger signs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 and delivery including the normal process of labor, signs of labor, coping skills, danger signs, and management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Preparation for baby including feeding, equipment, and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 on the use of over-the-counter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 about HIV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to receive prenatal and postpartum services that is not payable under rule </w:t>
      </w:r>
      <w:hyperlink r:id="rId222">
        <w:r>
          <w:rPr>
            <w:rStyle w:val="Hyperlink"/>
            <w:rFonts w:ascii="Times New Roman" w:hAnsi="Times New Roman"/>
            <w:b w:val="false"/>
            <w:i w:val="false"/>
            <w:color w:val="000000"/>
            <w:sz w:val="22"/>
          </w:rPr>
          <w:t>441—78.11</w:t>
        </w:r>
      </w:hyperlink>
      <w:r>
        <w:rPr>
          <w:rFonts w:ascii="Times New Roman" w:hAnsi="Times New Roman"/>
          <w:b w:val="false"/>
          <w:i w:val="false"/>
          <w:color w:val="000000"/>
          <w:sz w:val="22"/>
        </w:rPr>
        <w:t xml:space="preserve">(249A) or </w:t>
      </w:r>
      <w:hyperlink r:id="rId223">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hygiene services within the scope of practice as defined by the dental board at </w:t>
      </w:r>
      <w:hyperlink r:id="rId224">
        <w:r>
          <w:rPr>
            <w:rStyle w:val="Hyperlink"/>
            <w:rFonts w:ascii="Times New Roman" w:hAnsi="Times New Roman"/>
            <w:b w:val="false"/>
            <w:i w:val="false"/>
            <w:color w:val="000000"/>
            <w:sz w:val="22"/>
          </w:rPr>
          <w:t>650—paragraph 10.5(3)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78.25(3)</w:t>
      </w:r>
      <w:r>
        <w:rPr>
          <w:rFonts w:ascii="Times New Roman" w:hAnsi="Times New Roman"/>
          <w:b w:val="false"/>
          <w:i w:val="false"/>
          <w:color w:val="000000"/>
          <w:sz w:val="22"/>
        </w:rPr>
        <w:t> </w:t>
      </w:r>
      <w:r>
        <w:rPr>
          <w:rFonts w:ascii="Times New Roman" w:hAnsi="Times New Roman"/>
          <w:b w:val="false"/>
          <w:i/>
          <w:color w:val="000000"/>
          <w:sz w:val="22"/>
        </w:rPr>
        <w:t xml:space="preserve">Enhanced services covered for women with high-risk pregnancies. </w:t>
      </w:r>
      <w:r>
        <w:rPr>
          <w:rFonts w:ascii="Times New Roman" w:hAnsi="Times New Roman"/>
          <w:b w:val="false"/>
          <w:i w:val="false"/>
          <w:color w:val="000000"/>
          <w:sz w:val="22"/>
        </w:rPr>
        <w:t>Enhanced perinatal services may be provided to a patient who has been determined to have a high-risk pregnancy as documented by Form 470-2942, Medicaid Prenatal Risk Assessment. An appropriately trained physician or advanced registered nurse practitioner must be involved in staffing the patients receiving enhanced services.</w:t>
      </w:r>
    </w:p>
    <w:p>
      <w:pPr>
        <w:spacing w:before="0" w:after="0"/>
        <w:ind w:left="120"/>
        <w:jc w:val="both"/>
      </w:pPr>
      <w:r>
        <w:rPr>
          <w:rFonts w:ascii="Times New Roman" w:hAnsi="Times New Roman"/>
          <w:b w:val="false"/>
          <w:i w:val="false"/>
          <w:color w:val="000000"/>
          <w:sz w:val="22"/>
        </w:rPr>
        <w:t>Enhanced services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which shall include as appropriate education about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High-risk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High-risk 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Smoking cessation.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Alcohol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Environmental and occupational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Nutrition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assessment of nutritional risk based on height, current and prepregnancy weight status, laboratory data, clinical data, and self-reported dietary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nutritional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Development of an individualized nutritional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Referral to food assistance programs if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Nutritional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Psychosocial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psychosocial assessment including: needs assessment, profile of client demographic factors, mental and physical health history and concerns, adjustment to pregnancy and future parenting, and environmental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profile of the client’s family composition, patterns of functioning and support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assessment-based plan of care, risk tracking, counseling and anticipatory guidance as appropriate, and referral and follow-up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postpartum home visit within two weeks of the child’s discharge from the hospital,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mother’s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and emotional changes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Parenting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Assessment of infant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Infant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Grief support for unhealthy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Parenting of a preterm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Identification of and referral to community resources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maternal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441—78.26</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Ambulatory surgical center services. </w:t>
      </w:r>
      <w:r>
        <w:rPr>
          <w:rFonts w:ascii="Times New Roman" w:hAnsi="Times New Roman"/>
          <w:b w:val="false"/>
          <w:i w:val="false"/>
          <w:color w:val="000000"/>
          <w:sz w:val="22"/>
        </w:rPr>
        <w:t>Ambulatory surgical center services are those services furnished by an ambulatory surgical center in connection with a covered surgical procedure or a covered dental procedure. Covered procedures are listed in the fee schedule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78.26(1)</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surgical procedures shall be those medically necessary procedures that are eligible for payment as physicians’ services, under the circumstances specified in rule </w:t>
      </w:r>
      <w:hyperlink r:id="rId226">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and performed on a Medicaid member, that can safely be performed in an outpatient setting as determined by the department upon advice from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78.26(2)</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dental procedures are those medically necessary procedures that are eligible for payment as dentists’ services, under the circumstances specified in rule </w:t>
      </w:r>
      <w:hyperlink r:id="rId227">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 performed on a Medicaid member, that can safely be performed in an outpatient setting for Medicaid members whose mental, physical, or emotional condition necessitates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78.26(3)</w:t>
      </w:r>
      <w:r>
        <w:rPr>
          <w:rFonts w:ascii="Times New Roman" w:hAnsi="Times New Roman"/>
          <w:b w:val="false"/>
          <w:i w:val="false"/>
          <w:color w:val="000000"/>
          <w:sz w:val="22"/>
        </w:rPr>
        <w:t> </w:t>
      </w:r>
      <w:r>
        <w:rPr>
          <w:rFonts w:ascii="Times New Roman" w:hAnsi="Times New Roman"/>
          <w:b w:val="false"/>
          <w:i w:val="false"/>
          <w:color w:val="000000"/>
          <w:sz w:val="22"/>
        </w:rPr>
        <w:t>The covered services provided by the ambulatory surgical center in connection with a Medicaid-covered surgical or dental procedure shall be those nonsurgical and nondental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medically necessary in connection with a Medicaid-covered surgical or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Are eligible for payment as physicians’ services under the circumstances specified in rule </w:t>
      </w:r>
      <w:hyperlink r:id="rId228">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 xml:space="preserve">(249A) or as dentists’ services under the circumstances specified in rule </w:t>
      </w:r>
      <w:hyperlink r:id="rId229">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 safely and economically be performed in an outpatient setting, as determined by the department upon advice from the Iowa Medicaid enterprise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78.26(4)</w:t>
      </w:r>
      <w:r>
        <w:rPr>
          <w:rFonts w:ascii="Times New Roman" w:hAnsi="Times New Roman"/>
          <w:b w:val="false"/>
          <w:i w:val="false"/>
          <w:color w:val="000000"/>
          <w:sz w:val="22"/>
        </w:rPr>
        <w:t> </w:t>
      </w:r>
      <w:r>
        <w:rPr>
          <w:rFonts w:ascii="Times New Roman" w:hAnsi="Times New Roman"/>
          <w:b w:val="false"/>
          <w:i w:val="false"/>
          <w:color w:val="000000"/>
          <w:sz w:val="22"/>
        </w:rPr>
        <w:t>Limits on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Abortion procedures are covered only when criteria in subrule </w:t>
      </w:r>
      <w:hyperlink r:id="rId230">
        <w:r>
          <w:rPr>
            <w:rStyle w:val="Hyperlink"/>
            <w:rFonts w:ascii="Times New Roman" w:hAnsi="Times New Roman"/>
            <w:b w:val="false"/>
            <w:i w:val="false"/>
            <w:color w:val="000000"/>
            <w:sz w:val="22"/>
          </w:rPr>
          <w:t>78.1(17)</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Sterilization procedures are covered only when criteria in subrule </w:t>
      </w:r>
      <w:hyperlink r:id="rId231">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ambulatory surgical centers are to be reimbursed for certain frequently performed surgical procedures as set forth under subrule </w:t>
      </w:r>
      <w:hyperlink r:id="rId232">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Criteria are available from the IME medical services unit. (Cross reference </w:t>
      </w:r>
      <w:hyperlink r:id="rId233">
        <w:r>
          <w:rPr>
            <w:rStyle w:val="Hyperlink"/>
            <w:rFonts w:ascii="Times New Roman" w:hAnsi="Times New Roman"/>
            <w:b w:val="false"/>
            <w:i w:val="false"/>
            <w:color w:val="000000"/>
            <w:sz w:val="22"/>
          </w:rPr>
          <w:t>78.28(7)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441—78.27</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and community-based habilitation services. </w:t>
      </w:r>
      <w:r>
        <w:rPr>
          <w:rFonts w:ascii="Times New Roman" w:hAnsi="Times New Roman"/>
          <w:b w:val="false"/>
          <w:i w:val="false"/>
          <w:color w:val="000000"/>
          <w:sz w:val="22"/>
        </w:rPr>
        <w:t>Payment for habilitation services will only be made to providers enrolled to provide habilitation through the Iowa Medicaid enterprise. Effective March 17, 2022, payment shall only be made for services provided to members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education” </w:t>
      </w:r>
      <w:r>
        <w:rPr>
          <w:rFonts w:ascii="Times New Roman" w:hAnsi="Times New Roman"/>
          <w:b w:val="false"/>
          <w:i w:val="false"/>
          <w:color w:val="000000"/>
          <w:sz w:val="22"/>
        </w:rPr>
        <w:t>means providing basic information to understand and access appropriate resources to pursue employment, and knowledge of work incentives and the Medicaid for employed persons with disabilities (MEPD) program. Benefits education may include gathering information needed to pursue work incentives and offering basic financial management information to members, families, guardians and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coordinator” </w:t>
      </w:r>
      <w:r>
        <w:rPr>
          <w:rFonts w:ascii="Times New Roman" w:hAnsi="Times New Roman"/>
          <w:b w:val="false"/>
          <w:i w:val="false"/>
          <w:color w:val="000000"/>
          <w:sz w:val="22"/>
        </w:rPr>
        <w:t xml:space="preserve">means the professional who assists members in care coordination as described in paragraph </w:t>
      </w:r>
      <w:hyperlink r:id="rId235">
        <w:r>
          <w:rPr>
            <w:rStyle w:val="Hyperlink"/>
            <w:rFonts w:ascii="Times New Roman" w:hAnsi="Times New Roman"/>
            <w:b w:val="false"/>
            <w:i w:val="false"/>
            <w:color w:val="000000"/>
            <w:sz w:val="22"/>
          </w:rPr>
          <w:t>78.53(2)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“Career exploration,” </w:t>
      </w:r>
      <w:r>
        <w:rPr>
          <w:rFonts w:ascii="Times New Roman" w:hAnsi="Times New Roman"/>
          <w:b w:val="false"/>
          <w:i w:val="false"/>
          <w:color w:val="000000"/>
          <w:sz w:val="22"/>
        </w:rPr>
        <w:t>also referred to as “career planning,” means a person-centered, comprehensive employment planning and support service that provides assistance for waiver program participants to obtain, maintain or advance in competitive employment or self-employment. Career exploration is a focused, time-limited service engaging a participant in identifying a career direction and developing a plan for achieving competitive, integrated employment at or above the state’s minimum wage. The outcome of this service is documentation of the participant’s stated career objective and a career plan used to guide individual employment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“Career plan” </w:t>
      </w:r>
      <w:r>
        <w:rPr>
          <w:rFonts w:ascii="Times New Roman" w:hAnsi="Times New Roman"/>
          <w:b w:val="false"/>
          <w:i w:val="false"/>
          <w:color w:val="000000"/>
          <w:sz w:val="22"/>
        </w:rPr>
        <w:t>means a written plan documenting the member’s stated career objective and used to guide individual employment support services for achieving competitive, integrated employment at or above the state’s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means case management services accredited under </w:t>
      </w:r>
      <w:hyperlink r:id="rId23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provided according to </w:t>
      </w:r>
      <w:hyperlink r:id="rId237">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employment specialist”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“CES” </w:t>
      </w:r>
      <w:r>
        <w:rPr>
          <w:rFonts w:ascii="Times New Roman" w:hAnsi="Times New Roman"/>
          <w:b w:val="false"/>
          <w:i w:val="false"/>
          <w:color w:val="000000"/>
          <w:sz w:val="22"/>
        </w:rPr>
        <w:t xml:space="preserve">means a person who has demonstrated a sufficient level of knowledge and skill to provide integrated employment support services to a variety of client populations and has earned a CES certification through a nationally recognized accrediting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and Adolescent Level of Care Utilization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“CALOCUS” </w:t>
      </w:r>
      <w:r>
        <w:rPr>
          <w:rFonts w:ascii="Times New Roman" w:hAnsi="Times New Roman"/>
          <w:b w:val="false"/>
          <w:i w:val="false"/>
          <w:color w:val="000000"/>
          <w:sz w:val="22"/>
        </w:rPr>
        <w:t>means the comprehensive functional assessment tool utilized to determine eligibility for the habilitation program and service authorization for the home-based habilitation service for individuals aged 16 to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 plan” </w:t>
      </w:r>
      <w:r>
        <w:rPr>
          <w:rFonts w:ascii="Times New Roman" w:hAnsi="Times New Roman"/>
          <w:b w:val="false"/>
          <w:i w:val="false"/>
          <w:color w:val="000000"/>
          <w:sz w:val="22"/>
        </w:rPr>
        <w:t>means an individualized, person-centered, and goal-oriented plan of services written in language understandable by the member using the service and developed collaboratively by the member and the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“Customized employment” </w:t>
      </w:r>
      <w:r>
        <w:rPr>
          <w:rFonts w:ascii="Times New Roman" w:hAnsi="Times New Roman"/>
          <w:b w:val="false"/>
          <w:i w:val="false"/>
          <w:color w:val="000000"/>
          <w:sz w:val="22"/>
        </w:rPr>
        <w:t>means an approach to supported employment which individualizes the employment relationship between employees and employers in ways that meet the needs of both. Customized employment is based on an individualized determination of the strengths, needs, and interests of the person with a disability and is also designed to meet the specific needs of the employer. Customized employment may include employment developed through job carving, self-employment or entrepreneurial initiatives, or other job development or restructuring strategies that result in job responsibilities being customized and individually negotiated to fit the needs of the individual with a disability. Customized employment assumes the provision of reasonable accommodations and supports necessary for the individual to perform the functions of a job that is individually negotiated and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a situation for which no approved individual program plan exists that, if not addressed, may result in injury or harm to the member or to other persons or in significant amounts of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“HCBS” </w:t>
      </w:r>
      <w:r>
        <w:rPr>
          <w:rFonts w:ascii="Times New Roman" w:hAnsi="Times New Roman"/>
          <w:b w:val="false"/>
          <w:i w:val="false"/>
          <w:color w:val="000000"/>
          <w:sz w:val="22"/>
        </w:rPr>
        <w:t>means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employment” </w:t>
      </w:r>
      <w:r>
        <w:rPr>
          <w:rFonts w:ascii="Times New Roman" w:hAnsi="Times New Roman"/>
          <w:b w:val="false"/>
          <w:i w:val="false"/>
          <w:color w:val="000000"/>
          <w:sz w:val="22"/>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“IPS” </w:t>
      </w:r>
      <w:r>
        <w:rPr>
          <w:rFonts w:ascii="Times New Roman" w:hAnsi="Times New Roman"/>
          <w:b w:val="false"/>
          <w:i w:val="false"/>
          <w:color w:val="000000"/>
          <w:sz w:val="22"/>
        </w:rPr>
        <w:t xml:space="preserve">means the evidence-based practice of supported employment that is guided by IPS practice principles outlined by the IPS Employment Center at Westat, and as measured by its most recently published 25-item supported employment fidelity scale available online at </w:t>
      </w:r>
      <w:hyperlink r:id="rId238">
        <w:r>
          <w:rPr>
            <w:rStyle w:val="Hyperlink"/>
            <w:rFonts w:ascii="Times New Roman" w:hAnsi="Times New Roman"/>
            <w:b w:val="false"/>
            <w:i w:val="false"/>
            <w:color w:val="000000"/>
            <w:sz w:val="22"/>
            <w:u w:val="single"/>
          </w:rPr>
          <w:t>ipsworks.org/wp-content/uploads/2017/08/ips-fidelity-manual-3rd-edition_2-4-16.pdf</w:t>
        </w:r>
      </w:hyperlink>
      <w:r>
        <w:rPr>
          <w:rFonts w:ascii="Times New Roman" w:hAnsi="Times New Roman"/>
          <w:b w:val="false"/>
          <w:i w:val="false"/>
          <w:color w:val="000000"/>
          <w:sz w:val="22"/>
        </w:rPr>
        <w:t>. The IPS practice principles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Focus on competitive employment: Agencies providing IPS services are committed to competitive employment as an attainable goal for people with behavioral health conditions seeking employment. Mainstream education and specialized training may enhance career paths.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Zero exclusion criteria based on client choice: People are not excluded on the basis of readiness, diagnoses, symptoms, substance use history, psychiatric hospitalizations, homelessness, level of disability, or legal system involvement.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Integration of rehabilitation and mental health services: IPS programs are closely integrated with mental health treatment teams.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Attention to worker preferences: Services are based on each person’s preferences and choices, rather than providers’ judgments.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Personalized benefits counseling: Employment specialists help people obtain personalized, understandable, and accurate information about their social security, Medicaid, and other government entitlements.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Rapid job search: IPS programs use a rapid job search approach to help job seekers obtain jobs directly, rather than providing lengthy preemployment assessment, training, and counseling. If further education is part of their plan, IPS specialists assist in these activities as needed.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Systematic job development: Employment specialists systematically visit employers, who are selected based on job seeker preferences, to learn about their business needs and hiring preferences.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Time-unlimited and individualized support: Job supports are individualized and continue for as long as each worker wants and needs the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community employment” </w:t>
      </w:r>
      <w:r>
        <w:rPr>
          <w:rFonts w:ascii="Times New Roman" w:hAnsi="Times New Roman"/>
          <w:b w:val="false"/>
          <w:i w:val="false"/>
          <w:color w:val="000000"/>
          <w:sz w:val="22"/>
        </w:rPr>
        <w:t>means work (including self-employment) for which an individual with a disability is paid at or above minimum wage and not less than the customary wage and level of benefits paid by the employer for the same or similar work performed by employees who are not disabled, where the individual interacts with other persons who are not disabled to the same extent as others who are in comparable positions, and which presents opportunities for advancement that are similar to those for employees who are not disabled. In the case of an individual who is self-employed, the business results in an income that is comparable to the income received by others who are not disabled and are self-employed in similar occupations.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services” </w:t>
      </w:r>
      <w:r>
        <w:rPr>
          <w:rFonts w:ascii="Times New Roman" w:hAnsi="Times New Roman"/>
          <w:b w:val="false"/>
          <w:i w:val="false"/>
          <w:color w:val="000000"/>
          <w:sz w:val="22"/>
        </w:rPr>
        <w:t xml:space="preserve">means the provision of services to enrolled members as described in subrule </w:t>
      </w:r>
      <w:hyperlink r:id="rId239">
        <w:r>
          <w:rPr>
            <w:rStyle w:val="Hyperlink"/>
            <w:rFonts w:ascii="Times New Roman" w:hAnsi="Times New Roman"/>
            <w:b w:val="false"/>
            <w:i w:val="false"/>
            <w:color w:val="000000"/>
            <w:sz w:val="22"/>
          </w:rPr>
          <w:t>78.53(2)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residential service homes”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“intensive residential services” </w:t>
      </w:r>
      <w:r>
        <w:rPr>
          <w:rFonts w:ascii="Times New Roman" w:hAnsi="Times New Roman"/>
          <w:b w:val="false"/>
          <w:i w:val="false"/>
          <w:color w:val="000000"/>
          <w:sz w:val="22"/>
        </w:rPr>
        <w:t xml:space="preserve">means intensive, community-based services provided 24 hours per day, 7 days per week, 365 days per year to individuals with a severe and persistent mental illness who have functional impairments and may also have multi-occurring conditions. Providers of intensive residential service homes are enrolled with Medicaid as providers of HCBS habilitation or HCBS intellectual disability waiver supported community living and meet additional criteria specified in </w:t>
      </w:r>
      <w:hyperlink r:id="rId240">
        <w:r>
          <w:rPr>
            <w:rStyle w:val="Hyperlink"/>
            <w:rFonts w:ascii="Times New Roman" w:hAnsi="Times New Roman"/>
            <w:b w:val="false"/>
            <w:i w:val="false"/>
            <w:color w:val="000000"/>
            <w:sz w:val="22"/>
          </w:rPr>
          <w:t>441—subrule 25.6(8)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means a group of persons with varied professional backgrounds who meet with the member to develop a comprehensive service plan to address the member’s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“ISIS” </w:t>
      </w:r>
      <w:r>
        <w:rPr>
          <w:rFonts w:ascii="Times New Roman" w:hAnsi="Times New Roman"/>
          <w:b w:val="false"/>
          <w:i w:val="false"/>
          <w:color w:val="000000"/>
          <w:sz w:val="22"/>
        </w:rPr>
        <w:t>means the department’s individualized services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of Care Utilization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“LOCUS” </w:t>
      </w:r>
      <w:r>
        <w:rPr>
          <w:rFonts w:ascii="Times New Roman" w:hAnsi="Times New Roman"/>
          <w:b w:val="false"/>
          <w:i w:val="false"/>
          <w:color w:val="000000"/>
          <w:sz w:val="22"/>
        </w:rPr>
        <w:t>means the comprehensive functional assessment tool utilized to determine eligibility for the habilitation program and service authorization for the home-based habilitation service for individuals aged 19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24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24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for qualifying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and persistent mental illness” </w:t>
      </w:r>
      <w:r>
        <w:rPr>
          <w:rFonts w:ascii="Times New Roman" w:hAnsi="Times New Roman"/>
          <w:b w:val="false"/>
          <w:i w:val="false"/>
          <w:color w:val="000000"/>
          <w:sz w:val="22"/>
        </w:rPr>
        <w:t xml:space="preserve">means the same as defined in rule </w:t>
      </w:r>
      <w:hyperlink r:id="rId243">
        <w:r>
          <w:rPr>
            <w:rStyle w:val="Hyperlink"/>
            <w:rFonts w:ascii="Times New Roman" w:hAnsi="Times New Roman"/>
            <w:b w:val="false"/>
            <w:i w:val="false"/>
            <w:color w:val="000000"/>
            <w:sz w:val="22"/>
          </w:rPr>
          <w:t>441—25.1</w:t>
        </w:r>
      </w:hyperlink>
      <w:r>
        <w:rPr>
          <w:rFonts w:ascii="Times New Roman" w:hAnsi="Times New Roman"/>
          <w:b w:val="false"/>
          <w:i w:val="false"/>
          <w:color w:val="000000"/>
          <w:sz w:val="22"/>
        </w:rPr>
        <w:t>(331).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w:t>
      </w:r>
      <w:r>
        <w:rPr>
          <w:rFonts w:ascii="Times New Roman" w:hAnsi="Times New Roman"/>
          <w:b w:val="false"/>
          <w:i w:val="false"/>
          <w:color w:val="000000"/>
          <w:sz w:val="22"/>
        </w:rPr>
        <w:t>means the ongoing supports to participants who, because of their disabilities, need intensive ongoing support to obtain and maintain an individual job in competitive or customized employment, or self-employment, in an integrated work setting in the general workforce at or above the state’s minimum wage or at or above the customary wage and level of benefits paid by the employer for the same or similar work performed by individuals without disabilities. The outcome of this service is sustained paid employment at or above the minimum wage in an integrated setting in the general workforce in a job that meets personal and career goals. Supported employment services can be provided through many different service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self-employment” </w:t>
      </w:r>
      <w:r>
        <w:rPr>
          <w:rFonts w:ascii="Times New Roman" w:hAnsi="Times New Roman"/>
          <w:b w:val="false"/>
          <w:i w:val="false"/>
          <w:color w:val="000000"/>
          <w:sz w:val="22"/>
        </w:rPr>
        <w:t>includes services and supports that assist the participant in achieving self-employment through the operation of a business; however, Medicaid funds may not be used to defray the expenses associated with starting up or operating a business. Assistance for self-employment may include aid to the individual in identifying potential business opportunities; assistance in the development of a business plan, including potential sources of business financing and other assistance in developing and launching a business; identification of the supports necessary for the individual to operate the business; and ongoing assistance, counseling and guidance once the business has been launched.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“Sustained employment” </w:t>
      </w:r>
      <w:r>
        <w:rPr>
          <w:rFonts w:ascii="Times New Roman" w:hAnsi="Times New Roman"/>
          <w:b w:val="false"/>
          <w:i w:val="false"/>
          <w:color w:val="000000"/>
          <w:sz w:val="22"/>
        </w:rPr>
        <w:t>means an individual employment situation that the member maintains over time but not for less than 90 calendar days following the receipt of employment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home- and community-based 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LOCUS/CALOCUS actual disposition. </w:t>
      </w:r>
      <w:r>
        <w:rPr>
          <w:rFonts w:ascii="Times New Roman" w:hAnsi="Times New Roman"/>
          <w:b w:val="false"/>
          <w:i w:val="false"/>
          <w:color w:val="000000"/>
          <w:sz w:val="22"/>
        </w:rPr>
        <w:t>The member has a LOCUS/CALOCUS actual disposition of level one recovery maintenance and health management or higher on the most current LOCUS/CALOCUS assessment completed within the past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has at least one of the following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inpatient, partial hospitalization, or emergency psychiatric treatment more than once in the individual’s life;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continuous professional psychiatric supportive care other than hospitalization;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involvement with the criminal justice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available in the individual’s community have not been able to meet the individual’s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unemployment or employment in a sheltered setting or poor work history;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individual has a history of homelessness or is at risk of homelessness.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individual has a need for assistance demonstrated by meeting at least two of the following criteria on a continuing or intermittent basis for at least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to obtain or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requires financial assistance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needs significant assistance to establish or maintain a personal social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with at least one of the activities of daily living (ADLs) or instrumental activities of daily living (IADLs)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needs assistance with management and intervention of maladaptive or antisocial behaviors to ensure the safety of the individual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countable income used in determining the member’s Medicaid eligibility does not exceed 150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LOCUS or CALOCUS tool has been completed in the LOCUS online system, and using the algorithm developed by Deerfield Solutions to derive the actual disposition score based on the comprehensive assessment and social history (CASH) completed by the integrated health home (IHH) or community-based case manager (CBCM) during a face-to-face interview with the member and the member’s representative as applicable, and based on information submitted on the information submission tool and other supporting documentation as relevant, the IME medical services unit has determined that the member is in need of home- and community-based habilitation services. The LOCUS/CALOCUS information submission tools are available on request from the IME medical services unit. Copies of the information submission tool for an individual are available to that individual from the individual’s case manager, integrated health home care coordinator, or managed care organization. The designated case manager or integrated health home care coordinator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Arrange for the completion of the LOCUS or CALOCUS, before services begin and annually thereafter, and more frequently if significant observable changes occur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Use the information submission tool and other supporting documentation as relevant to develop a comprehensive service plan as specified in </w:t>
      </w:r>
      <w:hyperlink r:id="rId244">
        <w:r>
          <w:rPr>
            <w:rStyle w:val="Hyperlink"/>
            <w:rFonts w:ascii="Times New Roman" w:hAnsi="Times New Roman"/>
            <w:b w:val="false"/>
            <w:i w:val="false"/>
            <w:color w:val="000000"/>
            <w:sz w:val="22"/>
          </w:rPr>
          <w:t>subrule 78.27(4)</w:t>
        </w:r>
      </w:hyperlink>
      <w:r>
        <w:rPr>
          <w:rFonts w:ascii="Times New Roman" w:hAnsi="Times New Roman"/>
          <w:b w:val="false"/>
          <w:i w:val="false"/>
          <w:color w:val="000000"/>
          <w:sz w:val="22"/>
        </w:rPr>
        <w:t xml:space="preserve"> and </w:t>
      </w:r>
      <w:hyperlink r:id="rId245">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services begin and annually thereafter, and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Plan for service. </w:t>
      </w:r>
      <w:r>
        <w:rPr>
          <w:rFonts w:ascii="Times New Roman" w:hAnsi="Times New Roman"/>
          <w:b w:val="false"/>
          <w:i w:val="false"/>
          <w:color w:val="000000"/>
          <w:sz w:val="22"/>
        </w:rPr>
        <w:t>The department or the member’s managed care organization has approved the member’s comprehensive service plan for home- and community-based habilitation services. Home- and community-based habilitation services included in a comprehensive service plan or treatment plan that has been validated by the IME or the member’s managed care organization shall be considered approved by the department. Home- and community-based habilitation services provided before approval of a member’s eligibility for the program cannot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comprehensive service plan shall be completed annually according to the requirements of subrule </w:t>
      </w:r>
      <w:hyperlink r:id="rId246">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and </w:t>
      </w:r>
      <w:hyperlink r:id="rId247">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A service plan may change when requested by the member or the member’s interdisciplinary team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receiving home-based habilitation, the service plan shall include the member’s LOCUS/CALOCUS actual disposition, the LOCUS/CALOCUS composite score, and each individual domain score for each of the six LOCUS/CALOCUS domains.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habilitation services shall not exceed the maximum number of units established for each service in </w:t>
      </w:r>
      <w:hyperlink r:id="rId24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habilitation services shall not exceed unit expense maximums established in </w:t>
      </w:r>
      <w:hyperlink r:id="rId24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services. </w:t>
      </w:r>
      <w:r>
        <w:rPr>
          <w:rFonts w:ascii="Times New Roman" w:hAnsi="Times New Roman"/>
          <w:b w:val="false"/>
          <w:i w:val="false"/>
          <w:color w:val="000000"/>
          <w:sz w:val="22"/>
        </w:rPr>
        <w:t>The member, case manager or integrated health home care coordinator shall apply for habilitation services on behalf of a member by contacting the IME medical services unit. The department shall issue a notice of decision to the applicant when financial eligibility and needs-based eligibility determinations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78.27(4)</w:t>
      </w: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 plan. </w:t>
      </w:r>
      <w:r>
        <w:rPr>
          <w:rFonts w:ascii="Times New Roman" w:hAnsi="Times New Roman"/>
          <w:b w:val="false"/>
          <w:i w:val="false"/>
          <w:color w:val="000000"/>
          <w:sz w:val="22"/>
        </w:rPr>
        <w:t>Individualized, planned, and appropriate services shall be guided by a member-specific comprehensive service plan or treatment plan developed with the member in collaboration with an interdisciplinary team, as appropriate. Medically necessary services shall be planned for and provided at the locations where the member lives, learns, works, and socializes.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A comprehensive service plan or treatment plan shall be developed for each member receiving home- and community-based habilitation services based on the member’s current assessment and shall be reviewed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manager or the integrated health home care coordinator shall establish an interdisciplinary team as selected by the member or the member’s legal representative. The team shall include the case manager or integrated health home care coordinator and the member and, if applicable, the member’s legal representative, the member’s family, the member’s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assistance from the member and the interdisciplinary team, the case manager or integrated health home care coordinator shall identify the member’s services based on the member’s needs, the availability of services, and the member’s choice of services and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comprehensive service plan development shall be completed at the member’s home or at another location chosen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meeting shall be conducted before the current comprehensive service plan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comprehensive service plan shall reflect desired individual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defined in the comprehensive service plan shall be appropriate to the severity of the member’s problems and to the member’s specific needs or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Activities identified in the comprehensive service plan shall encourage the ability and right of the member to make choices, to experience a sense of achievement, and to modify or continue participation in the treatment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members receiving home-based habilitation in a licensed residential care facility of 16 or fewer beds, the service plan shall address the member’s opportunities for independence and community integration.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initial comprehensive service plan or treatment plan and annual updates to the comprehensive service plan or treatment plan must be approved by the IME medical services unit in ISIS before services are implemented. Services provided before the approval date are not payable. The written comprehensive service plan or treatment plan must be completed, signed and dated by the case manager or integrated health home care coordinator within 30 calendar days after plan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changes to the comprehensive service plan or treatment plan must be approved by the IME medical services unit for members not eligible to enroll in a managed care organization in ISIS before the implementation of services. Services provided before the approval date are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goals and activities. </w:t>
      </w:r>
      <w:r>
        <w:rPr>
          <w:rFonts w:ascii="Times New Roman" w:hAnsi="Times New Roman"/>
          <w:b w:val="false"/>
          <w:i w:val="false"/>
          <w:color w:val="000000"/>
          <w:sz w:val="22"/>
        </w:rPr>
        <w:t>The comprehensive service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observable or measurable individual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interventions and supports needed to meet those goals with incremental action steps,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staff persons, businesses, or organizations responsible for carrying out the interventions or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 all Medicaid and non-Medicaid services received by the member and identify: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provider responsible for delivering the service;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funding source for the service;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units of service to be received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for a member receiving home-based habilitation: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member’s living environment at the time of enrollment;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per day of on-site staff supervision needed by the member;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other members who will live with the member in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Include a separate, individualized, anticipated discharge plan that is specific to each service the member receives.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Rights restrictions. </w:t>
      </w:r>
      <w:r>
        <w:rPr>
          <w:rFonts w:ascii="Times New Roman" w:hAnsi="Times New Roman"/>
          <w:b w:val="false"/>
          <w:i w:val="false"/>
          <w:color w:val="000000"/>
          <w:sz w:val="22"/>
        </w:rPr>
        <w:t xml:space="preserve">Any rights restrictions must be implemented in accordance with </w:t>
      </w:r>
      <w:hyperlink r:id="rId250">
        <w:r>
          <w:rPr>
            <w:rStyle w:val="Hyperlink"/>
            <w:rFonts w:ascii="Times New Roman" w:hAnsi="Times New Roman"/>
            <w:b w:val="false"/>
            <w:i w:val="false"/>
            <w:color w:val="000000"/>
            <w:sz w:val="22"/>
          </w:rPr>
          <w:t>441—subrule 77.25(4)</w:t>
        </w:r>
      </w:hyperlink>
      <w:r>
        <w:rPr>
          <w:rFonts w:ascii="Times New Roman" w:hAnsi="Times New Roman"/>
          <w:b w:val="false"/>
          <w:i w:val="false"/>
          <w:color w:val="000000"/>
          <w:sz w:val="22"/>
        </w:rPr>
        <w:t>. The comprehensive service plan or treatment plan shall include documentation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maintenance of personal funds and 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Either a plan to restore those rights or written documentation that a plan is not necessary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plan. </w:t>
      </w:r>
      <w:r>
        <w:rPr>
          <w:rFonts w:ascii="Times New Roman" w:hAnsi="Times New Roman"/>
          <w:b w:val="false"/>
          <w:i w:val="false"/>
          <w:color w:val="000000"/>
          <w:sz w:val="22"/>
        </w:rPr>
        <w:t>The comprehensive service plan or treatment plan shall include a plan for emergencies and identification of the supports available to the member in an emergency. Emergency plans shall be developed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interdisciplinary team shall identify in the comprehensive service plan or treatment plan any health and safety issues applicable to the individual member based on information gathered before the team meeting, including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identify an emergency backup support and crisis response system to address problems or issues arising when support services are interrupted or delayed or the member’s needs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of applicable services shall provide for emergency backup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Plan approval. </w:t>
      </w:r>
      <w:r>
        <w:rPr>
          <w:rFonts w:ascii="Times New Roman" w:hAnsi="Times New Roman"/>
          <w:b w:val="false"/>
          <w:i w:val="false"/>
          <w:color w:val="000000"/>
          <w:sz w:val="22"/>
        </w:rPr>
        <w:t xml:space="preserve">Services shall be entered into ISIS based on the comprehensive service plan. A comprehensive service plan or treatment plan that has been validated and authorized through ISIS shall be considered approved by the department. Services must be authorized in ISIS as specified in paragraph </w:t>
      </w:r>
      <w:hyperlink r:id="rId251">
        <w:r>
          <w:rPr>
            <w:rStyle w:val="Hyperlink"/>
            <w:rFonts w:ascii="Times New Roman" w:hAnsi="Times New Roman"/>
            <w:b w:val="false"/>
            <w:i w:val="false"/>
            <w:color w:val="000000"/>
            <w:sz w:val="22"/>
          </w:rPr>
          <w:t>78.27(2)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services. </w:t>
      </w:r>
      <w:r>
        <w:rPr>
          <w:rFonts w:ascii="Times New Roman" w:hAnsi="Times New Roman"/>
          <w:b w:val="false"/>
          <w:i w:val="false"/>
          <w:color w:val="000000"/>
          <w:sz w:val="22"/>
        </w:rPr>
        <w:t>Home- and community-based habilitation services shall be provided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shall be based on the member’s needs as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shall be delivered in the least restrictive environment appropriate to the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shall include the applicable and necessary instruction, supervision, assistance, and support required by the member to achieve the member’s life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components that are the same or similar shall not be provided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costs are not reimbursable while the member is in a medical institution, including but not limited to a hospital or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is not available for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Services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documented. Each unit billed must have corresponding financial and medical records as set forth in rule </w:t>
      </w:r>
      <w:hyperlink r:id="rId25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78.27(6)</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Case management assists members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Case management services shall be provided as set forth in rules </w:t>
      </w:r>
      <w:hyperlink r:id="rId253">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254">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not be made for case management provided to a member who is enrolled for integrated health home services under rule </w:t>
      </w:r>
      <w:hyperlink r:id="rId255">
        <w:r>
          <w:rPr>
            <w:rStyle w:val="Hyperlink"/>
            <w:rFonts w:ascii="Times New Roman" w:hAnsi="Times New Roman"/>
            <w:b w:val="false"/>
            <w:i w:val="false"/>
            <w:color w:val="000000"/>
            <w:sz w:val="22"/>
          </w:rPr>
          <w:t>441—78.53</w:t>
        </w:r>
      </w:hyperlink>
      <w:r>
        <w:rPr>
          <w:rFonts w:ascii="Times New Roman" w:hAnsi="Times New Roman"/>
          <w:b w:val="false"/>
          <w:i w:val="false"/>
          <w:color w:val="000000"/>
          <w:sz w:val="22"/>
        </w:rPr>
        <w:t>(249A) except during the transition to the integrated health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not be made for case management provided to a member who is eligible for case management services under </w:t>
      </w:r>
      <w:hyperlink r:id="rId256">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78.27(7)</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w:t>
      </w:r>
      <w:r>
        <w:rPr>
          <w:rFonts w:ascii="Times New Roman" w:hAnsi="Times New Roman"/>
          <w:b w:val="false"/>
          <w:i w:val="false"/>
          <w:color w:val="000000"/>
          <w:sz w:val="22"/>
        </w:rPr>
        <w:t>“Home-based habilitation” means individually tailored supports that assist with the acquisition, retention, or improvement of skills related to living, working, and recreating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Home-based habilitation services are individualized supportive services provided in the member’s home and community that assist the member to reside in the most integrated setting appropriate to the member’s needs. Services are intended to provide for the daily living needs of the member and shall be available as needed during any 24-hour period. The specific support needs for each member shall be determined necessary by the interdisciplinary team and shall be identified in the member’s comprehensive service plan. Covered supports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Adaptive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with activities to address daily living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with symptom management and participation in mental health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physical and mental health care treatment, communication, and implementation of health care recommendations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and participating in substance use disorder treatment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medication administration and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with understanding communication whether verbal or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Community inclusion and active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Adult educational supports, which may include assistance and support with enrolling in educational opportunities and participation in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Social and leisure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Personal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Protective oversight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requirements. </w:t>
      </w:r>
      <w:r>
        <w:rPr>
          <w:rFonts w:ascii="Times New Roman" w:hAnsi="Times New Roman"/>
          <w:b w:val="false"/>
          <w:i w:val="false"/>
          <w:color w:val="000000"/>
          <w:sz w:val="22"/>
        </w:rPr>
        <w:t>Home-based habilitation services shall occur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live in the member’s own home, within the home of the member’s family or legal representative, or in another community living arrangement that meets the criteria in </w:t>
      </w:r>
      <w:hyperlink r:id="rId257">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living with the member’s family or legal representative is not subject to the criteria in 441—paragraphs </w:t>
      </w:r>
      <w:hyperlink r:id="rId258">
        <w:r>
          <w:rPr>
            <w:rStyle w:val="Hyperlink"/>
            <w:rFonts w:ascii="Times New Roman" w:hAnsi="Times New Roman"/>
            <w:b w:val="false"/>
            <w:i w:val="false"/>
            <w:color w:val="000000"/>
            <w:sz w:val="22"/>
          </w:rPr>
          <w:t>77.25(8)</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59">
        <w:r>
          <w:rPr>
            <w:rStyle w:val="Hyperlink"/>
            <w:rFonts w:ascii="Times New Roman" w:hAnsi="Times New Roman"/>
            <w:b w:val="false"/>
            <w:i w:val="false"/>
            <w:color w:val="000000"/>
            <w:sz w:val="22"/>
          </w:rPr>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reside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level of service criteria. </w:t>
      </w:r>
      <w:r>
        <w:rPr>
          <w:rFonts w:ascii="Times New Roman" w:hAnsi="Times New Roman"/>
          <w:b w:val="false"/>
          <w:i w:val="false"/>
          <w:color w:val="000000"/>
          <w:sz w:val="22"/>
        </w:rPr>
        <w:t>Home-based habilitation services shall be available to members based on the member’s most current LOCUS/CALOCUS actual disposition score,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Intensive IV residential habilitation services. Intensive IV services are provided 24 hours per day. To be eligible for intensive IV services, a member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LOCUS/CALOCUS actual disposition of level six medically managed residential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meets the criteria in </w:t>
      </w:r>
      <w:hyperlink r:id="rId260">
        <w:r>
          <w:rPr>
            <w:rStyle w:val="Hyperlink"/>
            <w:rFonts w:ascii="Times New Roman" w:hAnsi="Times New Roman"/>
            <w:b w:val="false"/>
            <w:i w:val="false"/>
            <w:color w:val="000000"/>
            <w:sz w:val="22"/>
          </w:rPr>
          <w:t>441—subparagraph 25.6(8)</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Intensive III services are provided 17 to 24 hours per day. To be eligible for intensive III services, the member must have a LOCUS/CALOCUS actual disposition of level five.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Intensive II services are provided 13 to 16.75 hours per day. To be eligible for intensive II services, the member must have a LOCUS/CALOCUS actual disposition of level four.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Intensive I services are provided 9 to 12.75 hours per day. To be eligible for intensive I services, the member must have a LOCUS/CALOCUS actual disposition of level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Medium need services are provided 4.25 to 8.75 hours per day as needed. To be eligible for medium need services, the member must have a LOCUS/CALOCUS actual disposition of level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Recovery transitional services are provided 2.25 to 4 hours per day as needed. To be eligible for recovery transitional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recovery services are provided 0.25 to 2 hours per day as needed. To be eligible for high recovery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for receiving home-based habilitation services for transition-age youth 16 to 17.5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home-based habilitation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the family home may only receive home-based habilitation services in residential settings with 16 or fewer beds licensed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261">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16 to 18 years of age shall receive 24-hour site supervision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for receiving home-based habilitation services for transition-age youth 17.5 to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home-based habilitation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of the family home may receive daily home-based habilitation in a provider-owned or controlled setting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262">
        <w:r>
          <w:rPr>
            <w:rStyle w:val="Hyperlink"/>
            <w:rFonts w:ascii="Times New Roman" w:hAnsi="Times New Roman"/>
            <w:b w:val="false"/>
            <w:i w:val="false"/>
            <w:color w:val="000000"/>
            <w:sz w:val="22"/>
          </w:rPr>
          <w:t>441—subrule 77.25(5)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of the service setting being requested must meet the following additional safety and service requirements for serving youth under the age of 18: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Individuals 17.5 to 18 years of age shall receive 24-hour site supervision and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Individuals under the age of 18 may not reside in settings with individuals over the age of 21.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comprehensive service plan shall specifically identify educational services and supports for individuals who have not obtained a high school diploma or equivalent.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individuals who have obtained a high school diploma or equivalent, the comprehensive service plan shall include supported employment, additional training, or educational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guardian has consented to home-based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is able to pay room and board costs (funding sources may include, but are not limited to, supplemental security income, child support, adoptions subsidy, or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licensed setting, such as those approved to provide residential-based supported community living,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Home-based habilitation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Room and board and maintenance costs, including the cost of rent or mortgage, utilities, telephone, food, household supplies, and building maintenance, upkeep, or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activities associated with vocational services, day care, medical services, or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Transportation to and from a day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licensed residential care facility of more than 16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facility that provides the same service as part of an inclusive or “bundled” service rate, such as a nursing facility or an intermediate care facility for persons with mental retardation.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protective oversight and supervision may be a component part of home-based habilitation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78.27(8)</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“Day habilitation” means services that provide opportunities and support for community inclusion and build interest in and develop skills for active participation in recreation, volunteerism and integrated community employment. Day habilitation provides assistance with acquisition, retention, or improvement of socialization, community participation, and daily living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Day habilitation activities and environments are designed to foster the acquisition of skills, positive social behavior, greater independence, and personal choice. Services focus on supporting the member to participate in the community, develop social roles and relationships, and increase independence and the potential for employment. Services are designed to assist the member to attain or maintain the member’s individual goals as identified in the member’s comprehensive service plan. Services may also provide wraparound support secondary to community employment. Day habilitation activities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the member’s interests, preferences, skills, strengths and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conditions and supports necessary for full community inclusion and the potential for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Planning and coordination of the member’s individualized daily and weekly day habilitation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Developing skills and competencies necessary to pursue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hobbies, leisure, personal health, and wellness,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cultural, civic, and religious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Participating in adult learning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in volunteer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education in self-advocacy and self-determination to support the member’s ability to make informed choices about where to live, work, and recreate,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Assistance with behavior management and self-regulation,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Use of transportation and other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developing and maintaining natural relationships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identifying and using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financial literacy and 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Other activities deemed necessary to assist the member with full participation in the community, developing social roles and relationships, and increasing independence and the potential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option. </w:t>
      </w:r>
      <w:r>
        <w:rPr>
          <w:rFonts w:ascii="Times New Roman" w:hAnsi="Times New Roman"/>
          <w:b w:val="false"/>
          <w:i w:val="false"/>
          <w:color w:val="000000"/>
          <w:sz w:val="22"/>
        </w:rPr>
        <w:t>Day habilitation services may include training families in treatment and support methodologies or in the care and use of equipment. Family training may be provided in the member’s home. The unit of service is 15 minutes. The units of services payable are limited to a maximum of 40 units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Expected outcome of service. </w:t>
      </w:r>
      <w:r>
        <w:rPr>
          <w:rFonts w:ascii="Times New Roman" w:hAnsi="Times New Roman"/>
          <w:b w:val="false"/>
          <w:i w:val="false"/>
          <w:color w:val="000000"/>
          <w:sz w:val="22"/>
        </w:rPr>
        <w:t>The expected outcome of day habilitation services is active participation in the community in which the member lives, works, and recreates. Members are expected to have opportunities to interact with individuals without disabilities in the community, other than those providing direct services, to the same extent as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Day habilitation shall take place in community-based, nonresidential settings separate from the member’s residence. Family training may be provided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Day habilitation services shall be furnished as specified in the member’s comprehensive service plan. Meals provided as part of day habilitation shall not constitute a full nutritional regimen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Unit of service. </w:t>
      </w:r>
      <w:r>
        <w:rPr>
          <w:rFonts w:ascii="Times New Roman" w:hAnsi="Times New Roman"/>
          <w:b w:val="false"/>
          <w:i w:val="false"/>
          <w:color w:val="000000"/>
          <w:sz w:val="22"/>
        </w:rPr>
        <w:t>A unit of day habilitation is 15 minutes (up to 16 units per day) or a full day (4.25 to 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comprehensive service plan may include two or more types of nonresidential habilitation services (e.g., day habilitation, individual supported employment, long-term job coaching, small-group supported employment, and prevocational services).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When transportation is provided to the day habilitation service location from the member’s home and from the day habilitation service location to the member’s home, the day habilitation provider may bill for the time spent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Day habilitation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(20 U.S.C. 1401 et seq.). Documentation that funding is not available to the individual for the service under these programs shall be maintained in the service plan of each member receiving day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in for-profit organizations and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to benefit the day habilitation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78.27(9)</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 habilitation. </w:t>
      </w:r>
      <w:r>
        <w:rPr>
          <w:rFonts w:ascii="Times New Roman" w:hAnsi="Times New Roman"/>
          <w:b w:val="false"/>
          <w:i w:val="false"/>
          <w:color w:val="000000"/>
          <w:sz w:val="22"/>
        </w:rPr>
        <w:t>“Prevocational services” means services that provide career exploration, learning and work experiences, including volunteer opportunities, where the member can develop non-job-task-specific strengths and skills that lead to paid employment in individual community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Prevocational services are provided to persons who are expected to be able to join the general workforce with the assistance of supported employment. Prevocational services are intended to develop and teach general employability skills relevant to successful participation in individual employment. These skills include but are not limited to the ability to communicate effectively with supervisors, coworkers and customers; an understanding of generally accepted community workplace conduct and dress; the ability to follow directions; the ability to attend to tasks; workplace problem-solving skills and strategies; general workplace safety and mobility training; the ability to navigate local transportation options; financial literacy skills; and skills related to obtaining employment.</w:t>
      </w:r>
    </w:p>
    <w:p>
      <w:pPr>
        <w:spacing w:before="0" w:after="0"/>
        <w:ind w:left="120"/>
        <w:jc w:val="both"/>
      </w:pPr>
      <w:r>
        <w:rPr>
          <w:rFonts w:ascii="Times New Roman" w:hAnsi="Times New Roman"/>
          <w:b w:val="false"/>
          <w:i w:val="false"/>
          <w:color w:val="000000"/>
          <w:sz w:val="22"/>
        </w:rPr>
        <w:t>Prevocational services include career exploration activities to facilitate successful transition to individual employment in the community. Participation in prevocational services is not a prerequisite for individual 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Career exploration. Career exploration activities are designed to develop an individual career plan and facilitate the member’s experientially based informed choice regarding the goal of individual employment. Career exploration may be provided in small groups of no more than four members to participate in career exploration activities that include business tours, attending industry education events, benefit information, financial literacy classes, and attending career fairs. Career exploration may be authorized for up to 34 hours, to be completed over 90 days in the member’s local community or nearby communities and may include but is not limited to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Meeting with the member and the member’s family, guardian or legal representative to introduce them to supported employment and explore the member’s employment goals and experiences,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Business tours,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Informational interviews,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Job shadows,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Benefits education and financial literacy,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Assistive technology assessment,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Job exploration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Expected outcome of service.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expected outcome of prevocational services is individual employment in the general workforce, or self-employment, in a setting typically found in the community, where the member interacts with individuals without disabilities, other than those providing services to the member or other individuals with disabilities, to the same extent that individuals without disabilities in comparable positions interact with other persons; and for which the member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expected outcome of the career exploration activity is a written career plan that will guide employment services which lead to community employment or self-employment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Prevocational services shall take place in community-based nonresidential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individual service plan may include two or more types of nonresidential habilitation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Prevocational services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Documentation that funding is not available to the individual for the service under these programs shall be maintained in the service plan of each member receiving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available to the individual that duplicate or replace education or related services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for members volunteering in for-profit organizations and businesses other than for-profit organizations, or businesses that have formal volunteer programs in place (e.g., hospitals, nursing homes), and support for members volunteering to benefit the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provision of vocational services delivered in facility-based settings where individuals are supervised for the primary purpose of producing goods or performing services or where services are aimed at teaching skills for specific types of jobs rather than general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prevocational service plan with the goal or purpose of the service documented as maintaining or supporting the individual in continuing prevocational services or any employment situation similar to sheltered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starting prevocational services. For members starting prevocational services after May 4, 2016, participation in these services is limited to 24 calendar months. This time limit can be extended to continue beyond 24 months if one or more of the following conditions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 who is in prevocational services is also working in either individual or small-group community employment for at least the number of hours per week desired by the member, as identified in the member’s current service plan;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 who is in prevocational services is also working in either individual or small-group community employment for less than the number of hours per week the member desires, as identified in the member’s current service plan, but the member has services documented in the member’s current service plan, or through another identifiable funding source (e.g., Iowa vocational rehabilitation services (IVRS)), to increase the number of hours the member is working in either individual or small-group community employment;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member is actively engaged in seeking individual or small-group community employment or individual self-employment, and services for this are included in the member’s current service plan or services funded through another identifiable funding source (e.g., IVRS) are documented in the member’s service plan;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member has requested supported employment services from Medicaid and IVRS in the past 24 months, and the member’s request has been denied or the member has been placed on a waiting list by both Medicaid and IVRS; or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member has been receiving individual supported employment services (or comparable services available through IVRS) for at least 18 months without obtaining individual or small-group community employment or individual self-employment;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member is participating in career exploration activities as described in subparagraph </w:t>
      </w:r>
      <w:hyperlink r:id="rId263">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enrolled in prevocational services. For members enrolled in prevocational services on or before May 4, 2016, participation in these services is limited to 90 business days beyond the completion of the career exploration activity including the development of the career plan described in subparagraph </w:t>
      </w:r>
      <w:hyperlink r:id="rId264">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This time limit can be extended as stated in paragraphs </w:t>
      </w:r>
      <w:hyperlink r:id="rId265">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If the criteria in paragraphs </w:t>
      </w:r>
      <w:hyperlink r:id="rId266">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do not apply, the member will not be reauthorized to continue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78.27(10)</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supported employment. </w:t>
      </w:r>
      <w:r>
        <w:rPr>
          <w:rFonts w:ascii="Times New Roman" w:hAnsi="Times New Roman"/>
          <w:b w:val="false"/>
          <w:i w:val="false"/>
          <w:color w:val="000000"/>
          <w:sz w:val="22"/>
        </w:rPr>
        <w:t xml:space="preserve">Individual supported employment involves supports provided to, or on behalf of, the member that enable the member to obtain and maintain individual employment. Services are provided to members who need support because of their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Individual supported employment services are services provided to, or on behalf of, the member that enable the member to obtain and maintain an individual job in competitive employment, customized employment or self-employment in an integrated work setting in the general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or self-employment, paid at or above the minimum wage or the customary wage and level of benefits paid by an employer, in an integrated setting in the general workforce, in a job that meets personal and career goals. Successful transition to long-term job coaching, if needed, is also an expected outcome of this service.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Individual supported employment services shall take place in integrated work settings. For self-employment, the member’s home can be considered an integrated work setting. Employment in the service provider’s organization (not including a sheltered workshop or similar type of work setting where members are paid for the production of goods or services) can be considered employment in an integrated work setting in the general workforce if the employment occurs in a work setting where interactions are predominantly with coworkers or business associates who do not have disabilities or with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 employment strategies include but are not limited to: customized employment, individual placement and support, and supported self-employment. Service activities are individualized and may include any combination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Career exploration (e.g., tours, informational interviews, job shadows).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Assistive technology assessment.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Trial work experience.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Person-centered employment planning.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Development of visual/traditional résumés.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Job-seeking skills training and support.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Outreach to prospective employers on behalf of the member (e.g., job development; negotiation with prospective employers to customize, create or carve out a position for the member; employer needs analysis).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Job analysis (e.g., work site assessment or job accommodations evaluation).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Identifying and arranging transportation.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Career advancement services (e.g., assisting a member in making an upward career move or seeking promotion from an existing employer).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Reemployment services (if necessary due to job loss).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Other employment support services deemed necessary to enable the member to obtain employment.</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Systematic instruction and support during initial on-the-job training including initial on-the-job training to stabilization.</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Engagement of natural supports during initial period of employment.</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Implementation of assistive technology solutions during initial period of employment.</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 xml:space="preserve">Transportation of the member during service hours. </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Initial on-the-job training to stabilization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Individual employment may also include support to establish a viable self-employment opportunity, including home-based self-employment. An expected outcome of supported self-employment is that the member earns income that is equal to or exceeds the average income for the chosen business within a reasonable period of time. In addition to the activities listed under subparagraph </w:t>
      </w:r>
      <w:hyperlink r:id="rId267">
        <w:r>
          <w:rPr>
            <w:rStyle w:val="Hyperlink"/>
            <w:rFonts w:ascii="Times New Roman" w:hAnsi="Times New Roman"/>
            <w:b w:val="false"/>
            <w:i w:val="false"/>
            <w:color w:val="000000"/>
            <w:sz w:val="22"/>
          </w:rPr>
          <w:t>78.27(10)</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assistance to establish self-employment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Aid to the member in identifying potential business opportunities.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Assistance in the development of a business plan, including identifying potential sources of business financing and other assistance in developing and launching a business.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Identification of the long-term supports necessary for the individual to operate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Long-term job coaching. </w:t>
      </w:r>
      <w:r>
        <w:rPr>
          <w:rFonts w:ascii="Times New Roman" w:hAnsi="Times New Roman"/>
          <w:b w:val="false"/>
          <w:i w:val="false"/>
          <w:color w:val="000000"/>
          <w:sz w:val="22"/>
        </w:rPr>
        <w:t xml:space="preserve">Long-term job coaching is support provided to, or on behalf of, the member that enables the member to maintain an individual job in competitive employment, customized employment or self-employment in an integrated work setting in the general workforce.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Long-term job coaching services are provided to or on behalf of members who need support because of their disabilities and who are unlikely to maintain and advance in individual employment absent the provision of supports. Long-term job coaching services shall provide individualized and ongoing support contacts at intervals necessary to promote successful job retention and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paid at or above the minimum wage in an integrated setting in the general workforce, in a job that meets the member’s personal and career goals.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Setting. Long-term job coaching services shall take place in integrated work settings. For self-employment, the member’s home can be considered an integrated work setting. Employment in the service provider’s organization (not including a sheltered workshop or similar type of work setting) can be considered employment in an integrated work setting in the general workforce if the employment occurs in a work setting where interactions are predominantly with coworkers or business associates who do not have disabilities, or with the general public, and if the position would exist within the provider’s organization were the provider not being paid to provide the job coaching to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Long-term job coaching services are designed to assist the member with learning and retaining individual employment, resulting in workplace integration, and which allows for the reduction of long-term job coaching over time. Services are individualized, and service plans are adjusted as support needs change and may include any combination of the following activities with or on behalf of the member: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Job training and systematic instruction.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Training and support for use of assistive technology/adaptive aids.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Engagement of natural supports.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Transportation coordination.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Job retention training and support.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Benefits education and ongoing support.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Supports for career advancement.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Employer consultation and support.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Negotiation with employer on behalf of the member (e.g., accommodations; employment conditions; access to natural supports; and wage and benefits).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job setting.</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Career exploration services leading to increased hours or career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long-term job coaching. Self-employment long-term job coaching may include support to maintain a self-employment opportunity, including home-based self-employment. In addition to the activities listed under subparagraph </w:t>
      </w:r>
      <w:hyperlink r:id="rId268">
        <w:r>
          <w:rPr>
            <w:rStyle w:val="Hyperlink"/>
            <w:rFonts w:ascii="Times New Roman" w:hAnsi="Times New Roman"/>
            <w:b w:val="false"/>
            <w:i w:val="false"/>
            <w:color w:val="000000"/>
            <w:sz w:val="22"/>
          </w:rPr>
          <w:t>78.27(10)</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assistance to maintain self-employment may include: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Ongoing identification of the supports necessary for the individual to operate the business;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Ongoing assistance, counseling and guidance to maintain and grow the business;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Ongoing benefits education and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hours of support for long-term job coaching are based on the identified needs of the member as documented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Small-group supported employment. </w:t>
      </w:r>
      <w:r>
        <w:rPr>
          <w:rFonts w:ascii="Times New Roman" w:hAnsi="Times New Roman"/>
          <w:b w:val="false"/>
          <w:i w:val="false"/>
          <w:color w:val="000000"/>
          <w:sz w:val="22"/>
        </w:rPr>
        <w:t>Small-group supported employment services are training and support activities provided in regular business or industry settings for groups of two to eight workers with disabilities. The outcome of this service is sustained paid employment experience, skill development, career exploration and planning leading to referral for services to obtain individual integrated employment or self-employment for which an individual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Small-group supported employment services must be provided in a manner that promotes integration into the workplace and interaction between members and people without disabilities (e.g., customers, coworkers, natural supports) in those workplaces. Examples include but are not limited to mobile crews and other business-based workgroups employing small groups of workers with disabilities in employment in integrated business settings; and small-group activities focused on career exploration and development of strengths and skills that contribute to successful participation in individual community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Small-group supported employment services are expected to enable the member to make reasonable and continued progress toward individual employment. Participation in small-group supported employment services is not a prerequisite for individual supported employment services. The expected outcome of the service is sustained paid employment and skill development which leads to individual employment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Small-group supported employment services shall take place in integrated, community-based nonresidential settings separate from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Small-group supported employment services may include any combination of the following activities: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Person-centered employment planning.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Job placement (limited to service necessary to facilitate hire into individual employment paid at minimum wage or higher for a member in small-group supported employment who receives an otherwise unsolicited offer of a job from a business where the member has been working in a mobile crew or enclave).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On-the-job training and systematic instruction.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Job coaching.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Transportation planning and training.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Career exploration services leading to career advancement outcomes.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individual or community setting.</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IPS shall include the following activities, which shall be described and documented in the member’s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Development of the career profile, including previous work experience, goals, preferences, strengths, barriers, skills, disclosure preferences, career advancement, education and plan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Integration of IPS team members and the behavioral health team, including routine staffing meetings regarding IPS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Addressing barriers to employment, which may be actual or perceived. Support may include addressing justice system involvement, a lack of work history, limited housing, child care,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Rapid job search and systematic job development. CESs help members seek jobs directly, and do not provide extensive preemployment assessment and training or intermediate work experiences. The job process begins within 30 days of starting IPS services. This rapid job search is supported by CESs developing relationships with employers through multiple face-to-face meetings. CESs take time to learn about the employers’ needs and the work environment while gathering information about job opportunities that might be a good fit for individuals they are working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Disclosure counseling, to assist the member in making an informed decision on disclosure of a disability to a prospective or current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and implementation of job accommodations and assistive technology supports.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Ongoing benefits counseling. The member must receive information on available work incentive programs, or referral to professional benefits counselors for a personalized work incentives plan for any state or federal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Time-unlimited follow-along supports. These supports are planned for early in the employment process, are personalized, and follow the member for as long as the member needs support. The focus is supporting the member in becoming as independent as possible and involving family members, co-workers, and other natural supports. These supports can be provided on or off the job site and focus on the continued acquisition and development of skills needed to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Units of service. Reimbursement is made for each outcome achieved for the member participating in the IPS supported employment model. Outcomes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Outcome #1: Completed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Outcome #2: First day of successful job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Outcome #3: 45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Outcome #4: 90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for all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transportation options (e.g., transportation provided by family, coworkers, carpools, volunteers, self or public transportation) shall be identified by the member’s interdisciplinary team and utilized before the service provider provides the transportation to and from work for the member. If none of these options are available to a member, transportation between the member’s place of residence and the employment or service location may be included as a component part of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care or personal assistance and protective oversight may be a component part of supported employment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Activities performed on behalf of a member receiving long-term job coaching or individual or small-group supported employment shall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Concurrent services. A member’s individual service plan may include two or more types of nonresidential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Integration requirements. In the performance of job duties, the member shall have regular contact with other employees or members of the general public who do not have disabilities, unless the absence of regular contact with other employees or the general public is typical for the job as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Members receiving these services are compensated at or above the minimum wage, but not less than the customary wage and level of benefits paid by the employer for the same or similar work performed by individuals without disabilities. For supported self-employment, the member earns income that is equal to or exceeds the average income for the chosen business within a reasonable period of time. For small-group supported employment, if the member is not compensated at or above minimum wage, the compensation to the member shall be in accordance with all applicable state and federal labor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Supported employment services are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monthly costs of supported employment may not exceed the monthly cap on the cost of waiver services set for the individual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absence of a monthly cap on the cost of waiver services, the total monthly cost of all supported employment services may not exceed $3,302.53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supported employment is limited to 60 hourly units per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Long-term job coaching is limited in accordance with </w:t>
      </w:r>
      <w:hyperlink r:id="rId26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is limited to 160 units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Supported employment services payments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Documentation that the service is not available to the individual under these programs shall be maintained in the service plan of each member receiving individual supported employment or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Incentive payments, not including payments for coworker supports, made to an employer to encourage or subsidize the employer’s participation in a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Subsidies or payments that are passed through to users of supported employment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that is not directly related to a member’s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involved in placing and stabilizing members in day activity programs, work activity programs, sheltered workshop programs or other similar types of vocational or prevocational services furnished in specialized facilities that are not a part of the general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Supports for placement and stabilization in volunteer positions or unpaid internships. Such volunteer learning and unpaid training activities that prepare a person for entry into the general workforce are addressed through prevocational services and career exploration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Tuition for education or vocational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advocacy that is not related to integrated individual employment participation or is not member-specific.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Medicaid funds may not be used to defray the expenses associated with starting up or operating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78.27(11)</w:t>
      </w:r>
      <w:r>
        <w:rPr>
          <w:rFonts w:ascii="Times New Roman" w:hAnsi="Times New Roman"/>
          <w:b w:val="false"/>
          <w:i w:val="false"/>
          <w:color w:val="000000"/>
          <w:sz w:val="22"/>
        </w:rPr>
        <w:t> </w:t>
      </w:r>
      <w:r>
        <w:rPr>
          <w:rFonts w:ascii="Times New Roman" w:hAnsi="Times New Roman"/>
          <w:b w:val="false"/>
          <w:i/>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Services shall be denied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not eligible for or in need of 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 or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service needs exceed the unit or reimbursement maximums for a service as set forth in </w:t>
      </w:r>
      <w:hyperlink r:id="rId27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 particular home- and community-based habilitation service may be reduced when the department determines that continued provision of service at its current level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home- and community-based habilitation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income exceeds the allowable limit, or the member no longer meets other eligibility criteria for the program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are not being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has received care in a medical institution for 120 consecutive days in any one stay. When a member has been an inpatient in a medical institution for 120 consecutive days, the department will issue a notice of decision to inform the member of the service termination. If the member returns home before the effective date of the notice of decision and the member’s condition has not substantially changed, the decision shall be rescinded, and eligibility for home- and community-based habilitation services shall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exceed the unit or reimbursement maximums for a service as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Duplication of services provided during the same period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legal representative, through the interdisciplinary process, requests termination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 or the member refuses to allow documentation of eligibility as to need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The department shall give notice of any adverse action and the right to appeal in accordance with </w:t>
      </w:r>
      <w:hyperlink r:id="rId27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member is entitled to have a review of the determination of needs-based eligibility or of the LOCUS/CALOCUS actual disposition score by the Iowa Medicaid enterprise medical services unit by sending a letter requesting a review to the medical services unit. If dissatisfied with that decision, the member may file an appeal with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9311B</w:t>
      </w:r>
      <w:r>
        <w:rPr>
          <w:rFonts w:ascii="Times New Roman" w:hAnsi="Times New Roman"/>
          <w:b w:val="false"/>
          <w:i w:val="false"/>
          <w:color w:val="000000"/>
          <w:sz w:val="16"/>
        </w:rPr>
        <w:t>, IAB 12/29/10,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5809C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5889C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6624C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441—78.28</w:t>
      </w:r>
      <w:r>
        <w:rPr>
          <w:rFonts w:ascii="Times New Roman" w:hAnsi="Times New Roman"/>
          <w:b/>
          <w:i w:val="false"/>
          <w:color w:val="000000"/>
          <w:sz w:val="22"/>
        </w:rPr>
        <w:t xml:space="preserve">(249A) </w:t>
      </w:r>
      <w:r>
        <w:rPr>
          <w:rFonts w:ascii="Times New Roman" w:hAnsi="Times New Roman"/>
          <w:b/>
          <w:i w:val="false"/>
          <w:color w:val="000000"/>
          <w:sz w:val="22"/>
        </w:rPr>
        <w:t xml:space="preserve">List of medical services and equipment requiring prior authorization, preprocedure review or preadmission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procedures, and medications prescribed by a physician, physician assistant, or advanced registered nurse practitioner which are subject to prior authorization or preprocedure review are as follows or as specified in the preferred drug list published by the department pursuant to Iowa Code section </w:t>
      </w:r>
      <w:hyperlink r:id="rId273">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require prior authorization as specified in the preferred drug list published by the department pursuant to Iowa Code section </w:t>
      </w:r>
      <w:hyperlink r:id="rId27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For drugs requiring prior authorization, reimbursement will be made for a 72-hour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12/30/20</w:t>
      </w:r>
      <w:r>
        <w:rPr>
          <w:rFonts w:ascii="Times New Roman" w:hAnsi="Times New Roman"/>
          <w:b w:val="false"/>
          <w:i w:val="false"/>
          <w:color w:val="000000"/>
          <w:sz w:val="22"/>
        </w:rPr>
        <w:t>, effective 3/1/21.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products and enteral delivery pumps and supplies. Payment shall be approved pursuant to the criteria at </w:t>
      </w:r>
      <w:hyperlink r:id="rId275">
        <w:r>
          <w:rPr>
            <w:rStyle w:val="Hyperlink"/>
            <w:rFonts w:ascii="Times New Roman" w:hAnsi="Times New Roman"/>
            <w:b w:val="false"/>
            <w:i w:val="false"/>
            <w:color w:val="000000"/>
            <w:sz w:val="22"/>
          </w:rPr>
          <w:t>78.10(5)</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generating device. Payment shall be approved pursuant to the criteria at </w:t>
      </w:r>
      <w:hyperlink r:id="rId276">
        <w:r>
          <w:rPr>
            <w:rStyle w:val="Hyperlink"/>
            <w:rFonts w:ascii="Times New Roman" w:hAnsi="Times New Roman"/>
            <w:b w:val="false"/>
            <w:i w:val="false"/>
            <w:color w:val="000000"/>
            <w:sz w:val="22"/>
          </w:rPr>
          <w:t>78.10(5)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the IME medical services unit will be required if payment under Medicaid is to be made for certain frequently performed surgical procedures which have a wide variation in the relative frequency the procedures are performed. Preprocedure surgical review applies to surgeries performed in hospitals (outpatient and inpatient) and ambulatory surgical centers. Approval by the IME medical services unit will be granted only if the procedures are determined to be medically necessary based on the condition of the patient and on the criteria established by the department and the IME medical services unit. If not so approved by the IME medical services unit, payment will not be made under the program to the physician or to the facility in which the surgery is performed.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Enclosed beds. Payment shall be approved pursuant to the criteria at </w:t>
      </w:r>
      <w:hyperlink r:id="rId277">
        <w:r>
          <w:rPr>
            <w:rStyle w:val="Hyperlink"/>
            <w:rFonts w:ascii="Times New Roman" w:hAnsi="Times New Roman"/>
            <w:b w:val="false"/>
            <w:i w:val="false"/>
            <w:color w:val="000000"/>
            <w:sz w:val="22"/>
          </w:rPr>
          <w:t>78.10(5)</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Prior authorization is required for external insulin infusion pumps and is granted according to Medicare coverage criteria. (Cross reference 78.10(2)</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Oral nutritional products. Payment shall be approved pursuant to the criteria at </w:t>
      </w:r>
      <w:hyperlink r:id="rId278">
        <w:r>
          <w:rPr>
            <w:rStyle w:val="Hyperlink"/>
            <w:rFonts w:ascii="Times New Roman" w:hAnsi="Times New Roman"/>
            <w:b w:val="false"/>
            <w:i w:val="false"/>
            <w:color w:val="000000"/>
            <w:sz w:val="22"/>
          </w:rPr>
          <w:t>78.10(5)</w:t>
        </w:r>
        <w:r>
          <w:rPr>
            <w:rFonts w:ascii="Times New Roman" w:hAnsi="Times New Roman"/>
            <w:b w:val="false"/>
            <w:i/>
            <w:color w:val="000000"/>
            <w:sz w:val="22"/>
          </w:rPr>
          <w:t>“m.”</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Vest airway clearance system. Payment shall be approved pursuant to the criteria at </w:t>
      </w:r>
      <w:hyperlink r:id="rId279">
        <w:r>
          <w:rPr>
            <w:rStyle w:val="Hyperlink"/>
            <w:rFonts w:ascii="Times New Roman" w:hAnsi="Times New Roman"/>
            <w:b w:val="false"/>
            <w:i w:val="false"/>
            <w:color w:val="000000"/>
            <w:sz w:val="22"/>
          </w:rPr>
          <w:t>78.10(5)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DME rebate agreements. Payment will be approved pursuant to the criteria at </w:t>
      </w:r>
      <w:hyperlink r:id="rId280">
        <w:r>
          <w:rPr>
            <w:rStyle w:val="Hyperlink"/>
            <w:rFonts w:ascii="Times New Roman" w:hAnsi="Times New Roman"/>
            <w:b w:val="false"/>
            <w:i w:val="false"/>
            <w:color w:val="000000"/>
            <w:sz w:val="22"/>
          </w:rPr>
          <w:t>78.10(5)</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Medicaid fee schedule amount. Payment shall be approved pursuant to the criteria at </w:t>
      </w:r>
      <w:hyperlink r:id="rId281">
        <w:r>
          <w:rPr>
            <w:rStyle w:val="Hyperlink"/>
            <w:rFonts w:ascii="Times New Roman" w:hAnsi="Times New Roman"/>
            <w:b w:val="false"/>
            <w:i w:val="false"/>
            <w:color w:val="000000"/>
            <w:sz w:val="22"/>
          </w:rPr>
          <w:t>78.10(5)</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Bathtub/shower chair, bench. Payment shall be approved pursuant to the criteria at </w:t>
      </w:r>
      <w:hyperlink r:id="rId282">
        <w:r>
          <w:rPr>
            <w:rStyle w:val="Hyperlink"/>
            <w:rFonts w:ascii="Times New Roman" w:hAnsi="Times New Roman"/>
            <w:b w:val="false"/>
            <w:i w:val="false"/>
            <w:color w:val="000000"/>
            <w:sz w:val="22"/>
          </w:rPr>
          <w:t>78.10(5)</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lift, nonstandard. Payment shall be approved pursuant to the criteria at </w:t>
      </w:r>
      <w:hyperlink r:id="rId283">
        <w:r>
          <w:rPr>
            <w:rStyle w:val="Hyperlink"/>
            <w:rFonts w:ascii="Times New Roman" w:hAnsi="Times New Roman"/>
            <w:b w:val="false"/>
            <w:i w:val="false"/>
            <w:color w:val="000000"/>
            <w:sz w:val="22"/>
          </w:rPr>
          <w:t>78.10(5)</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wheelchair attendant control. Payment shall be approved pursuant to the criteria at </w:t>
      </w:r>
      <w:hyperlink r:id="rId284">
        <w:r>
          <w:rPr>
            <w:rStyle w:val="Hyperlink"/>
            <w:rFonts w:ascii="Times New Roman" w:hAnsi="Times New Roman"/>
            <w:b w:val="false"/>
            <w:i w:val="false"/>
            <w:color w:val="000000"/>
            <w:sz w:val="22"/>
          </w:rPr>
          <w:t>78.10(5)</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Shower commode chair. Payment shall be approved pursuant to the criteria at </w:t>
      </w:r>
      <w:hyperlink r:id="rId285">
        <w:r>
          <w:rPr>
            <w:rStyle w:val="Hyperlink"/>
            <w:rFonts w:ascii="Times New Roman" w:hAnsi="Times New Roman"/>
            <w:b w:val="false"/>
            <w:i w:val="false"/>
            <w:color w:val="000000"/>
            <w:sz w:val="22"/>
          </w:rPr>
          <w:t>78.10(5)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Ventilator, secondary. Payment shall be approved pursuant to the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Customized wheelchairs, subject to the requirements of 78.10(2)</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hyperlink r:id="rId286">
        <w:r>
          <w:rPr>
            <w:rStyle w:val="Hyperlink"/>
            <w:rFonts w:ascii="Times New Roman" w:hAnsi="Times New Roman"/>
            <w:b w:val="false"/>
            <w:i w:val="false"/>
            <w:color w:val="000000"/>
            <w:sz w:val="22"/>
          </w:rPr>
          <w:t>78.28(1)</w:t>
        </w:r>
      </w:hyperlink>
      <w:r>
        <w:rPr>
          <w:rFonts w:ascii="Times New Roman" w:hAnsi="Times New Roman"/>
          <w:b w:val="false"/>
          <w:i/>
          <w:color w:val="000000"/>
          <w:sz w:val="22"/>
        </w:rPr>
        <w:t>“a,”</w:t>
      </w:r>
      <w:r>
        <w:rPr>
          <w:rFonts w:ascii="Times New Roman" w:hAnsi="Times New Roman"/>
          <w:b w:val="false"/>
          <w:i w:val="false"/>
          <w:color w:val="000000"/>
          <w:sz w:val="22"/>
        </w:rPr>
        <w:t xml:space="preserve"> under both Medicaid fee-for-service and managed care administration, at least one form of each of the following drugs for medication-assisted treatment as approved by the United States Food and Drug Administration for treatment of substance use disorder or overdose treatment will be available without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Buprenorphine,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Buprenorphine and naloxone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Methadone,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Naltrexone,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Naloxone.</w:t>
      </w:r>
    </w:p>
    <w:p>
      <w:pPr>
        <w:spacing w:before="0" w:after="0"/>
        <w:ind w:left="120"/>
        <w:jc w:val="both"/>
      </w:pPr>
      <w:r>
        <w:rPr>
          <w:rFonts w:ascii="Times New Roman" w:hAnsi="Times New Roman"/>
          <w:b w:val="false"/>
          <w:i w:val="false"/>
          <w:color w:val="000000"/>
          <w:sz w:val="22"/>
        </w:rPr>
        <w:t>For the purpose of this subrule, “medication-assisted treatment” means the medically monitored use of certain substance use disorder medications in combination with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78.28(3)</w:t>
      </w:r>
      <w:r>
        <w:rPr>
          <w:rFonts w:ascii="Times New Roman" w:hAnsi="Times New Roman"/>
          <w:b w:val="false"/>
          <w:i w:val="false"/>
          <w:color w:val="000000"/>
          <w:sz w:val="22"/>
        </w:rPr>
        <w:t> </w:t>
      </w:r>
      <w:r>
        <w:rPr>
          <w:rFonts w:ascii="Times New Roman" w:hAnsi="Times New Roman"/>
          <w:b w:val="false"/>
          <w:i w:val="false"/>
          <w:color w:val="000000"/>
          <w:sz w:val="22"/>
        </w:rPr>
        <w:t>Dental services. Dental services which require prior approval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scaling and root planing. Payment will be approved pursuant to the criteria at </w:t>
      </w:r>
      <w:hyperlink r:id="rId287">
        <w:r>
          <w:rPr>
            <w:rStyle w:val="Hyperlink"/>
            <w:rFonts w:ascii="Times New Roman" w:hAnsi="Times New Roman"/>
            <w:b w:val="false"/>
            <w:i w:val="false"/>
            <w:color w:val="000000"/>
            <w:sz w:val="22"/>
          </w:rPr>
          <w:t>78.4(4)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Pedicle soft tissue graft, free soft tissue graft, and subepithelial tissue graft. Payment will be approved pursuant to the criteria at </w:t>
      </w:r>
      <w:hyperlink r:id="rId288">
        <w:r>
          <w:rPr>
            <w:rStyle w:val="Hyperlink"/>
            <w:rFonts w:ascii="Times New Roman" w:hAnsi="Times New Roman"/>
            <w:b w:val="false"/>
            <w:i w:val="false"/>
            <w:color w:val="000000"/>
            <w:sz w:val="22"/>
          </w:rPr>
          <w:t>78.4(4)</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Periodontal maintenance therapy. Payment will be approved pursuant to the criteria at </w:t>
      </w:r>
      <w:hyperlink r:id="rId289">
        <w:r>
          <w:rPr>
            <w:rStyle w:val="Hyperlink"/>
            <w:rFonts w:ascii="Times New Roman" w:hAnsi="Times New Roman"/>
            <w:b w:val="false"/>
            <w:i w:val="false"/>
            <w:color w:val="000000"/>
            <w:sz w:val="22"/>
          </w:rPr>
          <w:t>78.4(4)</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Tissue regeneration. Payment will be approved pursuant to the criteria at </w:t>
      </w:r>
      <w:hyperlink r:id="rId290">
        <w:r>
          <w:rPr>
            <w:rStyle w:val="Hyperlink"/>
            <w:rFonts w:ascii="Times New Roman" w:hAnsi="Times New Roman"/>
            <w:b w:val="false"/>
            <w:i w:val="false"/>
            <w:color w:val="000000"/>
            <w:sz w:val="22"/>
          </w:rPr>
          <w:t>78.4(4)</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Localized delivery of antimicrobial agents. Payment will be approved pursuant to the criteria at </w:t>
      </w:r>
      <w:hyperlink r:id="rId291">
        <w:r>
          <w:rPr>
            <w:rStyle w:val="Hyperlink"/>
            <w:rFonts w:ascii="Times New Roman" w:hAnsi="Times New Roman"/>
            <w:b w:val="false"/>
            <w:i w:val="false"/>
            <w:color w:val="000000"/>
            <w:sz w:val="22"/>
          </w:rPr>
          <w:t>78.4(4)</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prosthetic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anterior teeth. Payment will be approved pursuant to the criteria at </w:t>
      </w:r>
      <w:hyperlink r:id="rId292">
        <w:r>
          <w:rPr>
            <w:rStyle w:val="Hyperlink"/>
            <w:rFonts w:ascii="Times New Roman" w:hAnsi="Times New Roman"/>
            <w:b w:val="false"/>
            <w:i w:val="false"/>
            <w:color w:val="000000"/>
            <w:sz w:val="22"/>
          </w:rPr>
          <w:t>78.4(7)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fixed partial denture replacing anterior teeth. Payment will be approved pursuant to the criteria at </w:t>
      </w:r>
      <w:hyperlink r:id="rId293">
        <w:r>
          <w:rPr>
            <w:rStyle w:val="Hyperlink"/>
            <w:rFonts w:ascii="Times New Roman" w:hAnsi="Times New Roman"/>
            <w:b w:val="false"/>
            <w:i w:val="false"/>
            <w:color w:val="000000"/>
            <w:sz w:val="22"/>
          </w:rPr>
          <w:t>78.4(7)</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removable partial denture replacing posterior teeth. Payment will be approved pursuant to the criteria at </w:t>
      </w:r>
      <w:hyperlink r:id="rId294">
        <w:r>
          <w:rPr>
            <w:rStyle w:val="Hyperlink"/>
            <w:rFonts w:ascii="Times New Roman" w:hAnsi="Times New Roman"/>
            <w:b w:val="false"/>
            <w:i w:val="false"/>
            <w:color w:val="000000"/>
            <w:sz w:val="22"/>
          </w:rPr>
          <w:t>78.4(7)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fixed partial denture replacing posterior teeth. Payment will be approved pursuant to the criteria at </w:t>
      </w:r>
      <w:hyperlink r:id="rId295">
        <w:r>
          <w:rPr>
            <w:rStyle w:val="Hyperlink"/>
            <w:rFonts w:ascii="Times New Roman" w:hAnsi="Times New Roman"/>
            <w:b w:val="false"/>
            <w:i w:val="false"/>
            <w:color w:val="000000"/>
            <w:sz w:val="22"/>
          </w:rPr>
          <w:t>78.4(7)</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implants and related services. Payment will be approved pursuant to the criteria at </w:t>
      </w:r>
      <w:hyperlink r:id="rId296">
        <w:r>
          <w:rPr>
            <w:rStyle w:val="Hyperlink"/>
            <w:rFonts w:ascii="Times New Roman" w:hAnsi="Times New Roman"/>
            <w:b w:val="false"/>
            <w:i w:val="false"/>
            <w:color w:val="000000"/>
            <w:sz w:val="22"/>
          </w:rPr>
          <w:t>78.4(7)</w:t>
        </w:r>
        <w:r>
          <w:rPr>
            <w:rFonts w:ascii="Times New Roman" w:hAnsi="Times New Roman"/>
            <w:b w:val="false"/>
            <w:i/>
            <w:color w:val="000000"/>
            <w:sz w:val="22"/>
          </w:rPr>
          <w:t>“k.”</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of complete or partial dentures in less than a five-year period. Payment will be approved pursuant to the criteria at </w:t>
      </w:r>
      <w:hyperlink r:id="rId297">
        <w:r>
          <w:rPr>
            <w:rStyle w:val="Hyperlink"/>
            <w:rFonts w:ascii="Times New Roman" w:hAnsi="Times New Roman"/>
            <w:b w:val="false"/>
            <w:i w:val="false"/>
            <w:color w:val="000000"/>
            <w:sz w:val="22"/>
          </w:rPr>
          <w:t>78.4(7)</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or partial denture rebase. Payment will be approved pursuant to the criteria at </w:t>
      </w:r>
      <w:hyperlink r:id="rId298">
        <w:r>
          <w:rPr>
            <w:rStyle w:val="Hyperlink"/>
            <w:rFonts w:ascii="Times New Roman" w:hAnsi="Times New Roman"/>
            <w:b w:val="false"/>
            <w:i w:val="false"/>
            <w:color w:val="000000"/>
            <w:sz w:val="22"/>
          </w:rPr>
          <w:t>78.4(7)</w:t>
        </w:r>
        <w:r>
          <w:rPr>
            <w:rFonts w:ascii="Times New Roman" w:hAnsi="Times New Roman"/>
            <w:b w:val="false"/>
            <w:i/>
            <w:color w:val="000000"/>
            <w:sz w:val="22"/>
          </w:rPr>
          <w:t>“m.”</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 oral appliance for obstructive sleep apnea. Payment will be approved pursuant to the criteria at </w:t>
      </w:r>
      <w:hyperlink r:id="rId299">
        <w:r>
          <w:rPr>
            <w:rStyle w:val="Hyperlink"/>
            <w:rFonts w:ascii="Times New Roman" w:hAnsi="Times New Roman"/>
            <w:b w:val="false"/>
            <w:i w:val="false"/>
            <w:color w:val="000000"/>
            <w:sz w:val="22"/>
          </w:rPr>
          <w:t>78.4(7)</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orthodontic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Minor treatment to control harmful habits. Payment will be approved pursuant to the criteria at </w:t>
      </w:r>
      <w:hyperlink r:id="rId300">
        <w:r>
          <w:rPr>
            <w:rStyle w:val="Hyperlink"/>
            <w:rFonts w:ascii="Times New Roman" w:hAnsi="Times New Roman"/>
            <w:b w:val="false"/>
            <w:i w:val="false"/>
            <w:color w:val="000000"/>
            <w:sz w:val="22"/>
          </w:rPr>
          <w:t>78.4(8)</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Interceptive orthodontic treatment. Payment will be approved pursuant to the criteria at </w:t>
      </w:r>
      <w:hyperlink r:id="rId301">
        <w:r>
          <w:rPr>
            <w:rStyle w:val="Hyperlink"/>
            <w:rFonts w:ascii="Times New Roman" w:hAnsi="Times New Roman"/>
            <w:b w:val="false"/>
            <w:i w:val="false"/>
            <w:color w:val="000000"/>
            <w:sz w:val="22"/>
          </w:rPr>
          <w:t>78.4(8)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Comprehensive orthodontic treatment. Payment will be approved pursuant to the criteria at </w:t>
      </w:r>
      <w:hyperlink r:id="rId302">
        <w:r>
          <w:rPr>
            <w:rStyle w:val="Hyperlink"/>
            <w:rFonts w:ascii="Times New Roman" w:hAnsi="Times New Roman"/>
            <w:b w:val="false"/>
            <w:i w:val="false"/>
            <w:color w:val="000000"/>
            <w:sz w:val="22"/>
          </w:rPr>
          <w:t>78.4(8)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Laboratory-fabricated crowns other than stainless steel. Payment will be approved pursuant to the criteria at </w:t>
      </w:r>
      <w:hyperlink r:id="rId303">
        <w:r>
          <w:rPr>
            <w:rStyle w:val="Hyperlink"/>
            <w:rFonts w:ascii="Times New Roman" w:hAnsi="Times New Roman"/>
            <w:b w:val="false"/>
            <w:i w:val="false"/>
            <w:color w:val="000000"/>
            <w:sz w:val="22"/>
          </w:rPr>
          <w:t>78.4(3)</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Crowns with noble or high noble metals. Payment will be approved pursuant to the criteria at </w:t>
      </w:r>
      <w:hyperlink r:id="rId304">
        <w:r>
          <w:rPr>
            <w:rStyle w:val="Hyperlink"/>
            <w:rFonts w:ascii="Times New Roman" w:hAnsi="Times New Roman"/>
            <w:b w:val="false"/>
            <w:i w:val="false"/>
            <w:color w:val="000000"/>
            <w:sz w:val="22"/>
          </w:rPr>
          <w:t>78.4(3)</w:t>
        </w:r>
        <w:r>
          <w:rPr>
            <w:rFonts w:ascii="Times New Roman" w:hAnsi="Times New Roman"/>
            <w:b w:val="false"/>
            <w:i/>
            <w:color w:val="000000"/>
            <w:sz w:val="22"/>
          </w:rPr>
          <w:t>“d”</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Endodontic retreatment of a tooth. Payment will be approved pursuant to the criteria at </w:t>
      </w:r>
      <w:hyperlink r:id="rId305">
        <w:r>
          <w:rPr>
            <w:rStyle w:val="Hyperlink"/>
            <w:rFonts w:ascii="Times New Roman" w:hAnsi="Times New Roman"/>
            <w:b w:val="false"/>
            <w:i w:val="false"/>
            <w:color w:val="000000"/>
            <w:sz w:val="22"/>
          </w:rPr>
          <w:t>78.4(5)</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Occlusal guard. Payment will be approved pursuant to the criteria at </w:t>
      </w:r>
      <w:hyperlink r:id="rId306">
        <w:r>
          <w:rPr>
            <w:rStyle w:val="Hyperlink"/>
            <w:rFonts w:ascii="Times New Roman" w:hAnsi="Times New Roman"/>
            <w:b w:val="false"/>
            <w:i w:val="false"/>
            <w:color w:val="000000"/>
            <w:sz w:val="22"/>
          </w:rPr>
          <w:t>78.4(9)</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78.28(4)</w:t>
      </w:r>
      <w:r>
        <w:rPr>
          <w:rFonts w:ascii="Times New Roman" w:hAnsi="Times New Roman"/>
          <w:b w:val="false"/>
          <w:i w:val="false"/>
          <w:color w:val="000000"/>
          <w:sz w:val="22"/>
        </w:rPr>
        <w:t> </w:t>
      </w:r>
      <w:r>
        <w:rPr>
          <w:rFonts w:ascii="Times New Roman" w:hAnsi="Times New Roman"/>
          <w:b w:val="false"/>
          <w:i w:val="false"/>
          <w:color w:val="000000"/>
          <w:sz w:val="22"/>
        </w:rPr>
        <w:t>Optometric services and ophthalmic materials which must be submitted for prior approval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Payment shall be made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should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better than 20/100 at 16 inches, 2M print. Prior authorization is not required if near visual acuity as described above is less than 20/100. Subnormal aids include, but are not limited to, hand magnifiers, loupes, telescopic spectacles or reverse Galilean telescope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Photochromatic tint. Approval shall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Press-on prisms. Approval shall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xml:space="preserve">For all of the above, the optometrist shall furnish sufficient information to clearly establish that these procedures are necessary in terms of the visual condition of the patient. (Cross references 78.6(4), </w:t>
      </w:r>
      <w:hyperlink r:id="rId307">
        <w:r>
          <w:rPr>
            <w:rStyle w:val="Hyperlink"/>
            <w:rFonts w:ascii="Times New Roman" w:hAnsi="Times New Roman"/>
            <w:b w:val="false"/>
            <w:i w:val="false"/>
            <w:color w:val="000000"/>
            <w:sz w:val="22"/>
          </w:rPr>
          <w:t>441—78.7</w:t>
        </w:r>
      </w:hyperlink>
      <w:r>
        <w:rPr>
          <w:rFonts w:ascii="Times New Roman" w:hAnsi="Times New Roman"/>
          <w:b w:val="false"/>
          <w:i w:val="false"/>
          <w:color w:val="000000"/>
          <w:sz w:val="22"/>
        </w:rPr>
        <w:t xml:space="preserve">(249A), and </w:t>
      </w:r>
      <w:hyperlink r:id="rId308">
        <w:r>
          <w:rPr>
            <w:rStyle w:val="Hyperlink"/>
            <w:rFonts w:ascii="Times New Roman" w:hAnsi="Times New Roman"/>
            <w:b w:val="false"/>
            <w:i w:val="false"/>
            <w:color w:val="000000"/>
            <w:sz w:val="22"/>
          </w:rPr>
          <w:t>78.1(18)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78.28(5)</w:t>
      </w:r>
      <w:r>
        <w:rPr>
          <w:rFonts w:ascii="Times New Roman" w:hAnsi="Times New Roman"/>
          <w:b w:val="false"/>
          <w:i w:val="false"/>
          <w:color w:val="000000"/>
          <w:sz w:val="22"/>
        </w:rPr>
        <w:t> </w:t>
      </w:r>
      <w:r>
        <w:rPr>
          <w:rFonts w:ascii="Times New Roman" w:hAnsi="Times New Roman"/>
          <w:b w:val="false"/>
          <w:i w:val="false"/>
          <w:color w:val="000000"/>
          <w:sz w:val="22"/>
        </w:rPr>
        <w:t>Hearing aids that must be submitted for prior approval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Replacement of a hearing aid less than four years old (except when the member is under 21 years of age). The department shall approve payment when the original hearing aid is lost or broken beyond repair or there is a significant change in the person’s hearing that would require a different hearing aid. (Cross reference 78.14(7)</w:t>
      </w:r>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aid costing more than $650. The department shall approve payment for either of the following purposes (Cross reference 78.14(7)</w:t>
      </w:r>
      <w:r>
        <w:rPr>
          <w:rFonts w:ascii="Times New Roman" w:hAnsi="Times New Roman"/>
          <w:b w:val="false"/>
          <w:i/>
          <w:color w:val="000000"/>
          <w:sz w:val="22"/>
        </w:rPr>
        <w:t>“d”</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78.28(6)</w:t>
      </w:r>
      <w:r>
        <w:rPr>
          <w:rFonts w:ascii="Times New Roman" w:hAnsi="Times New Roman"/>
          <w:b w:val="false"/>
          <w:i w:val="false"/>
          <w:color w:val="000000"/>
          <w:sz w:val="22"/>
        </w:rPr>
        <w:t> </w:t>
      </w:r>
      <w:r>
        <w:rPr>
          <w:rFonts w:ascii="Times New Roman" w:hAnsi="Times New Roman"/>
          <w:b w:val="false"/>
          <w:i w:val="false"/>
          <w:color w:val="000000"/>
          <w:sz w:val="22"/>
        </w:rPr>
        <w:t>Hospital services which must be subject to prior approval, preprocedure review or preadmission review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medical or surgical procedure requiring prior approval as set forth in Chapter 78 is subject to the conditions for payment set forth although a request form does not need to be submitted by the hospital as long as the approval is obtained by the physician. (Cross reference 441—78.1(249A))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inpatient hospital admissions are subject to retrospective review. Payment for inpatient hospital admissions which are retrospectively reviewed is approved when the claim meets the criteria for inpatient hospital care as determined by the IME medical services unit. Criteria are available from the IME medical services unit. (Cross reference 441—78.3(249A))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the IME medical services unit is required if hospitals are to be reimbursed for the inpatient and outpatient surgical procedures set forth in subrule </w:t>
      </w:r>
      <w:hyperlink r:id="rId309">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Approval by the IME medical services unit will be granted only if the procedures are determined to be medically necessary based on the condition of the patient and the criteria established by the department. The criteria are available from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78.28(7)</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centers are subject to prior approval and preprocedure review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medical or surgical procedure requiring prior approval as set forth in Chapter 78 is subject to the conditions for payment set forth although a request form does not need to be submitted by the ambulatory surgical center as long as the prior approval is obtained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is required if ambulatory surgical centers are to be reimbursed for surgical procedures as set forth in subrule </w:t>
      </w:r>
      <w:hyperlink r:id="rId310">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Approval will be granted only if the procedures are determined to be necessary based on the condition of the patient and criteria established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78.28(8)</w:t>
      </w:r>
      <w:r>
        <w:rPr>
          <w:rFonts w:ascii="Times New Roman" w:hAnsi="Times New Roman"/>
          <w:b w:val="false"/>
          <w:i w:val="false"/>
          <w:color w:val="000000"/>
          <w:sz w:val="22"/>
        </w:rPr>
        <w:t> </w:t>
      </w:r>
      <w:r>
        <w:rPr>
          <w:rFonts w:ascii="Times New Roman" w:hAnsi="Times New Roman"/>
          <w:b w:val="false"/>
          <w:i w:val="false"/>
          <w:color w:val="000000"/>
          <w:sz w:val="22"/>
        </w:rPr>
        <w:t xml:space="preserve">All assertive community treatment (ACT) services require prior approval. </w:t>
      </w:r>
      <w:r>
        <w:rPr>
          <w:rFonts w:ascii="Times New Roman" w:hAnsi="Times New Roman"/>
          <w:b w:val="false"/>
          <w:i w:val="false"/>
          <w:color w:val="000000"/>
          <w:sz w:val="22"/>
        </w:rPr>
        <w:t>EXCEPTION</w:t>
      </w: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ACT services are initiated before Medicaid eligibility is established, prior approval is required for ACT services beginning with the second month following notice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shall be granted if ACT services are determined to be medically necessary. Approval shall be limited to no more than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prior approval must be obtained to continue ACT services after the expiration of a previous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78.28(9)</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provided by a licensed child care center for members aged 20 or under require prior approval and shall be approved if the services are determined to be medically necessary. The request for prior authorization shall include a nursing assessment, the plan of care, and supporting documentation and shall identify the types and service delivery levels of all other services provided to the member whether or not the services are reimbursable by Medicaid. Providers shall indicate the expected number of nursing, home health aide or behavior intervention hours per day, the number of days per week, and the number of weeks or months of service based on the plan of care using a combined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78.28(10)</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provided by a home health agency provider for persons aged 20 or under require prior approval and shall be approved if determined to be medically necessary. Payment shall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which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w:t>
      </w:r>
    </w:p>
    <w:p>
      <w:pPr>
        <w:spacing w:before="0" w:after="0"/>
        <w:ind w:left="120"/>
        <w:jc w:val="both"/>
      </w:pP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311">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w:t>
      </w:r>
    </w:p>
    <w:p>
      <w:pPr>
        <w:spacing w:before="0" w:after="0"/>
        <w:ind w:left="120"/>
        <w:jc w:val="both"/>
      </w:pPr>
      <w:r>
        <w:rPr>
          <w:rFonts w:ascii="Times New Roman" w:hAnsi="Times New Roman"/>
          <w:b w:val="false"/>
          <w:i w:val="false"/>
          <w:color w:val="000000"/>
          <w:sz w:val="22"/>
        </w:rPr>
        <w:t>Private duty nursing services do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intermediate care facilities for the mentally retarded, or hospitals. Payment for personal care services for persons aged 20 and under that exceed intermittent guidelines may be approved if determined to be medically necessary as defined in subrule </w:t>
      </w:r>
      <w:hyperlink r:id="rId312">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Prior authorization approvals shall not be granted for treatment plans that exceed 16 hours of home health agency services per day. (Cross reference 78.9(10))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78.28(11)</w:t>
      </w:r>
      <w:r>
        <w:rPr>
          <w:rFonts w:ascii="Times New Roman" w:hAnsi="Times New Roman"/>
          <w:b w:val="false"/>
          <w:i w:val="false"/>
          <w:color w:val="000000"/>
          <w:sz w:val="22"/>
        </w:rPr>
        <w:t> </w:t>
      </w:r>
      <w:r>
        <w:rPr>
          <w:rFonts w:ascii="Times New Roman" w:hAnsi="Times New Roman"/>
          <w:b w:val="false"/>
          <w:i w:val="false"/>
          <w:color w:val="000000"/>
          <w:sz w:val="22"/>
        </w:rPr>
        <w:t>Replacement of vibrotactile aids less than four years old shall be approved when the original aid is broken beyond repair or lost. (Cross reference 78.10(3)</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78.28(12)</w:t>
      </w:r>
      <w:r>
        <w:rPr>
          <w:rFonts w:ascii="Times New Roman" w:hAnsi="Times New Roman"/>
          <w:b w:val="false"/>
          <w:i w:val="false"/>
          <w:color w:val="000000"/>
          <w:sz w:val="22"/>
        </w:rPr>
        <w:t> </w:t>
      </w:r>
      <w:r>
        <w:rPr>
          <w:rFonts w:ascii="Times New Roman" w:hAnsi="Times New Roman"/>
          <w:b w:val="false"/>
          <w:i w:val="false"/>
          <w:color w:val="000000"/>
          <w:sz w:val="22"/>
        </w:rPr>
        <w:t>High-technology radiology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13">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following radiology procedures require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 (MRIs);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 (CTs), including combined abdomen and pelvis CT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Computed tomographic angiographs (CTAs);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Positron emission tomography (PETs);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Magnetic resonance angiography (MRAs).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314">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authorization is not required when any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Radiology procedures are billed on a CMS 1500 claim for places of service “hospital inpatient” (POS 21) or “hospital emergency room” (POS 23), or on a UB04 claim with revenue code 45X;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Medicare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radiology procedure is ordered or requested by the department of human services, a state district court, law enforcement, or other similar entity for the purposes of a child abuse/neglect investigation, as documented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will be granted if the procedure requested meets the requirements of </w:t>
      </w:r>
      <w:hyperlink r:id="rId315">
        <w:r>
          <w:rPr>
            <w:rStyle w:val="Hyperlink"/>
            <w:rFonts w:ascii="Times New Roman" w:hAnsi="Times New Roman"/>
            <w:b w:val="false"/>
            <w:i w:val="false"/>
            <w:color w:val="000000"/>
            <w:sz w:val="22"/>
          </w:rPr>
          <w:t>441—subrule 79.9(2)</w:t>
        </w:r>
      </w:hyperlink>
      <w:r>
        <w:rPr>
          <w:rFonts w:ascii="Times New Roman" w:hAnsi="Times New Roman"/>
          <w:b w:val="false"/>
          <w:i w:val="false"/>
          <w:color w:val="000000"/>
          <w:sz w:val="22"/>
        </w:rPr>
        <w:t>, based on diagnosis, symptoms, history of illness, course of treatment, and treatment plan, as documented by the provider requesting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requests for prior approval of radiology procedures must be submitted to the department of human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member has received notice of retroactive Medicaid eligibility after receiving a radiology procedure for a date of service prior to the member’s receipt of such notice and otherwise requiring prior approval pursuant to this rule, a retroactive authorization request must be submitted on Form 470-5595, Outpatient Prior Authorization Request, and approved before any claim for payment is submitted.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7548B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8714B</w:t>
      </w:r>
      <w:r>
        <w:rPr>
          <w:rFonts w:ascii="Times New Roman" w:hAnsi="Times New Roman"/>
          <w:b w:val="false"/>
          <w:i w:val="false"/>
          <w:color w:val="000000"/>
          <w:sz w:val="16"/>
        </w:rPr>
        <w:t>, IAB 5/5/10,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9702B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9883B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0305C</w:t>
      </w:r>
      <w:r>
        <w:rPr>
          <w:rFonts w:ascii="Times New Roman" w:hAnsi="Times New Roman"/>
          <w:b w:val="false"/>
          <w:i w:val="false"/>
          <w:color w:val="000000"/>
          <w:sz w:val="16"/>
        </w:rPr>
        <w:t>, IAB 9/5/12, effective 11/1/12</w:t>
      </w:r>
      <w:r>
        <w:rPr>
          <w:rFonts w:ascii="Times New Roman" w:hAnsi="Times New Roman"/>
          <w:b w:val="false"/>
          <w:i w:val="false"/>
          <w:color w:val="000000"/>
          <w:sz w:val="16"/>
        </w:rPr>
        <w:t xml:space="preserve">; </w:t>
      </w:r>
      <w:r>
        <w:rPr>
          <w:rFonts w:ascii="Times New Roman" w:hAnsi="Times New Roman"/>
          <w:b/>
          <w:i w:val="false"/>
          <w:color w:val="000000"/>
          <w:sz w:val="16"/>
        </w:rPr>
        <w:t>ARC 0631C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0632C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0823C</w:t>
      </w:r>
      <w:r>
        <w:rPr>
          <w:rFonts w:ascii="Times New Roman" w:hAnsi="Times New Roman"/>
          <w:b w:val="false"/>
          <w:i w:val="false"/>
          <w:color w:val="000000"/>
          <w:sz w:val="16"/>
        </w:rPr>
        <w:t>, IAB 7/10/13, effective 9/1/13</w:t>
      </w:r>
      <w:r>
        <w:rPr>
          <w:rFonts w:ascii="Times New Roman" w:hAnsi="Times New Roman"/>
          <w:b w:val="false"/>
          <w:i w:val="false"/>
          <w:color w:val="000000"/>
          <w:sz w:val="16"/>
        </w:rPr>
        <w:t xml:space="preserve">; </w:t>
      </w:r>
      <w:r>
        <w:rPr>
          <w:rFonts w:ascii="Times New Roman" w:hAnsi="Times New Roman"/>
          <w:b/>
          <w:i w:val="false"/>
          <w:color w:val="000000"/>
          <w:sz w:val="16"/>
        </w:rPr>
        <w:t>ARC 1151C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1696C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4575C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5362C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441—78.29</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services. </w:t>
      </w:r>
      <w:r>
        <w:rPr>
          <w:rFonts w:ascii="Times New Roman" w:hAnsi="Times New Roman"/>
          <w:b w:val="false"/>
          <w:i w:val="false"/>
          <w:color w:val="000000"/>
          <w:sz w:val="22"/>
        </w:rPr>
        <w:t>Payment shall be made for medically necessary behavioral health services provided by a participating marital and family therapist, independent social worker, master social worker, mental health counselor, or certified alcohol and drug counselor within the practitioner’s scope of practice pursuant to state law and subject to the limitations and exclusions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and a treatment plan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licensed master social worker must be provided under the supervision of an independent social worker qualified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performed without relationship to a specific condition, risk factor,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and growth groups or marathons.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only for time spent in face-to-face consultation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 Time spent with members shall be rounded to the quarter hour, where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9649B</w:t>
      </w:r>
      <w:r>
        <w:rPr>
          <w:rFonts w:ascii="Times New Roman" w:hAnsi="Times New Roman"/>
          <w:b w:val="false"/>
          <w:i w:val="false"/>
          <w:color w:val="000000"/>
          <w:sz w:val="16"/>
        </w:rPr>
        <w:t>, IAB 8/10/11, effective 8/1/11</w:t>
      </w:r>
      <w:r>
        <w:rPr>
          <w:rFonts w:ascii="Times New Roman" w:hAnsi="Times New Roman"/>
          <w:b w:val="false"/>
          <w:i w:val="false"/>
          <w:color w:val="000000"/>
          <w:sz w:val="16"/>
        </w:rPr>
        <w:t xml:space="preserve">; </w:t>
      </w:r>
      <w:r>
        <w:rPr>
          <w:rFonts w:ascii="Times New Roman" w:hAnsi="Times New Roman"/>
          <w:b/>
          <w:i w:val="false"/>
          <w:color w:val="000000"/>
          <w:sz w:val="16"/>
        </w:rPr>
        <w:t>ARC 8959C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441—78.30</w:t>
      </w:r>
      <w:r>
        <w:rPr>
          <w:rFonts w:ascii="Times New Roman" w:hAnsi="Times New Roman"/>
          <w:b/>
          <w:i w:val="false"/>
          <w:color w:val="000000"/>
          <w:sz w:val="22"/>
        </w:rPr>
        <w:t xml:space="preserve">(249A) </w:t>
      </w:r>
      <w:r>
        <w:rPr>
          <w:rFonts w:ascii="Times New Roman" w:hAnsi="Times New Roman"/>
          <w:b/>
          <w:i w:val="false"/>
          <w:color w:val="000000"/>
          <w:sz w:val="22"/>
        </w:rPr>
        <w:t xml:space="preserve">Birth centers. </w:t>
      </w:r>
      <w:r>
        <w:rPr>
          <w:rFonts w:ascii="Times New Roman" w:hAnsi="Times New Roman"/>
          <w:b w:val="false"/>
          <w:i w:val="false"/>
          <w:color w:val="000000"/>
          <w:sz w:val="22"/>
        </w:rPr>
        <w:t>Payment will be made for prenatal, delivery, and postnatal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78.30(1)</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18">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78.30(2)</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birth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441—78.31</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Hospital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color w:val="000000"/>
          <w:sz w:val="22"/>
        </w:rPr>
        <w:t xml:space="preserve">Covered hospital outpatient services. </w:t>
      </w:r>
      <w:r>
        <w:rPr>
          <w:rFonts w:ascii="Times New Roman" w:hAnsi="Times New Roman"/>
          <w:b w:val="false"/>
          <w:i w:val="false"/>
          <w:color w:val="000000"/>
          <w:sz w:val="22"/>
        </w:rPr>
        <w:t xml:space="preserve">Payment will be approved only for the following outpatient hospital services and medical services when provided on the licensed premises of the hospital or pursuant to subrule </w:t>
      </w:r>
      <w:hyperlink r:id="rId320">
        <w:r>
          <w:rPr>
            <w:rStyle w:val="Hyperlink"/>
            <w:rFonts w:ascii="Times New Roman" w:hAnsi="Times New Roman"/>
            <w:b w:val="false"/>
            <w:i w:val="false"/>
            <w:color w:val="000000"/>
            <w:sz w:val="22"/>
          </w:rPr>
          <w:t>78.31(5)</w:t>
        </w:r>
      </w:hyperlink>
      <w:r>
        <w:rPr>
          <w:rFonts w:ascii="Times New Roman" w:hAnsi="Times New Roman"/>
          <w:b w:val="false"/>
          <w:i w:val="false"/>
          <w:color w:val="000000"/>
          <w:sz w:val="22"/>
        </w:rPr>
        <w:t xml:space="preserve">. Hospitals with alternate sites approved by the department of inspections and appeals are acceptable sites. All outpatient services listed in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are subject to a random sample retrospective review for medical necessity by the IME medical services unit. All services may also be subject to a more intensive retrospective review if abuse is suspected. Services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shall be provided in hospitals on an outpatient basis and are subject to no further limitations except medical necessity of the service.</w:t>
      </w:r>
    </w:p>
    <w:p>
      <w:pPr>
        <w:spacing w:before="0" w:after="0"/>
        <w:ind w:left="120"/>
        <w:jc w:val="both"/>
      </w:pPr>
      <w:r>
        <w:rPr>
          <w:rFonts w:ascii="Times New Roman" w:hAnsi="Times New Roman"/>
          <w:b w:val="false"/>
          <w:i w:val="false"/>
          <w:color w:val="000000"/>
          <w:sz w:val="22"/>
        </w:rPr>
        <w:t xml:space="preserve">Services listed in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shall be provided by hospitals on an outpatient basis and must be certified by the department before payment may be made. Other limitations apply to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Outpatient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Laboratory, X-ray and other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or family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Follow-up or after-care specialty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Physical medicine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Alcoholism and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for persons aged 20 and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all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It must be clearly established that the service meets a documented need in the area served by the hospital. There must be documentation of studies completed, consultations with other health care facilities and health care professionals in the area, community leaders, and organizations to determine the need for the service and to tailor the service to meet that particular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Professional direction. </w:t>
      </w:r>
      <w:r>
        <w:rPr>
          <w:rFonts w:ascii="Times New Roman" w:hAnsi="Times New Roman"/>
          <w:b w:val="false"/>
          <w:i w:val="false"/>
          <w:color w:val="000000"/>
          <w:sz w:val="22"/>
        </w:rPr>
        <w:t>All outpatient services must be provided by or at the direction and under the supervision of a medical doctor or osteopathic physician except for mental health services which may be provided by or at the direction and under the supervision of a medical doctor, osteopathic physician, or certified health service provider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Goals and objectives. </w:t>
      </w:r>
      <w:r>
        <w:rPr>
          <w:rFonts w:ascii="Times New Roman" w:hAnsi="Times New Roman"/>
          <w:b w:val="false"/>
          <w:i w:val="false"/>
          <w:color w:val="000000"/>
          <w:sz w:val="22"/>
        </w:rPr>
        <w:t xml:space="preserve">The goals and objectives of the program must be clearly stated.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and the organization and administration of the program must clearly contribute to the fulfillment of the stated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Treatment modalities used. </w:t>
      </w:r>
      <w:r>
        <w:rPr>
          <w:rFonts w:ascii="Times New Roman" w:hAnsi="Times New Roman"/>
          <w:b w:val="false"/>
          <w:i w:val="false"/>
          <w:color w:val="000000"/>
          <w:sz w:val="22"/>
        </w:rPr>
        <w:t>The service must employ multiple treatment modalities and professional disciplines. The modalities and disciplines employed must be clearly related to the condition or disease being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and continuing treatment of patients. </w:t>
      </w:r>
      <w:r>
        <w:rPr>
          <w:rFonts w:ascii="Times New Roman" w:hAnsi="Times New Roman"/>
          <w:b w:val="false"/>
          <w:i w:val="false"/>
          <w:color w:val="000000"/>
          <w:sz w:val="22"/>
        </w:rPr>
        <w:t>The condition or disease which is proposed to be treated must be clearly stated. Any indications for treatment or contraindications for treatment must be set forth together with criteria for determining the continued medical necessity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Length of program. </w:t>
      </w:r>
      <w:r>
        <w:rPr>
          <w:rFonts w:ascii="Times New Roman" w:hAnsi="Times New Roman"/>
          <w:b w:val="false"/>
          <w:i w:val="false"/>
          <w:color w:val="000000"/>
          <w:sz w:val="22"/>
        </w:rPr>
        <w:t>There must be established parameters that limit the program either in terms of its overall length or in terms of number of visits,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Monitoring of services. </w:t>
      </w:r>
      <w:r>
        <w:rPr>
          <w:rFonts w:ascii="Times New Roman" w:hAnsi="Times New Roman"/>
          <w:b w:val="false"/>
          <w:i w:val="false"/>
          <w:color w:val="000000"/>
          <w:sz w:val="22"/>
        </w:rPr>
        <w:t>The services provided by the program must be monitored and evaluated to determine the degree to which patients are receiving accurate assessments and effective treatment.</w:t>
      </w:r>
    </w:p>
    <w:p>
      <w:pPr>
        <w:spacing w:before="0" w:after="0"/>
        <w:ind w:left="120"/>
        <w:jc w:val="both"/>
      </w:pPr>
      <w:r>
        <w:rPr>
          <w:rFonts w:ascii="Times New Roman" w:hAnsi="Times New Roman"/>
          <w:b w:val="false"/>
          <w:i w:val="false"/>
          <w:color w:val="000000"/>
          <w:sz w:val="22"/>
        </w:rPr>
        <w:t>The monitoring of the services must be an ongoing plan and systematic process to identify problems in patient care or opportunities to improve patient care.</w:t>
      </w:r>
    </w:p>
    <w:p>
      <w:pPr>
        <w:spacing w:before="0" w:after="0"/>
        <w:ind w:left="120"/>
        <w:jc w:val="both"/>
      </w:pPr>
      <w:r>
        <w:rPr>
          <w:rFonts w:ascii="Times New Roman" w:hAnsi="Times New Roman"/>
          <w:b w:val="false"/>
          <w:i w:val="false"/>
          <w:color w:val="000000"/>
          <w:sz w:val="22"/>
        </w:rPr>
        <w:t>The monitoring and evaluation of the services are based on the use of clinical indicators that reflect those components of patient care important to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outpatient administration of a vaccine covered under the Vaccines for Children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 xml:space="preserve">Hospital outpatient programs listed in subrule </w:t>
      </w:r>
      <w:hyperlink r:id="rId321">
        <w:r>
          <w:rPr>
            <w:rStyle w:val="Hyperlink"/>
            <w:rFonts w:ascii="Times New Roman" w:hAnsi="Times New Roman"/>
            <w:b w:val="false"/>
            <w:i w:val="false"/>
            <w:color w:val="000000"/>
            <w:sz w:val="22"/>
          </w:rPr>
          <w:t>78.31(1)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“g”</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must submit an application to the Iowa Medicaid enterprise provider services unit for certification before payment will be made. The provider services unit will review the application against the requirements for the specific type of outpatient service and notify the provider whether certification has been approved.</w:t>
      </w:r>
    </w:p>
    <w:p>
      <w:pPr>
        <w:spacing w:before="0" w:after="0"/>
        <w:ind w:left="120"/>
        <w:jc w:val="both"/>
      </w:pPr>
      <w:r>
        <w:rPr>
          <w:rFonts w:ascii="Times New Roman" w:hAnsi="Times New Roman"/>
          <w:b w:val="false"/>
          <w:i w:val="false"/>
          <w:color w:val="000000"/>
          <w:sz w:val="22"/>
        </w:rPr>
        <w:t>Applications will consist of a narrative providing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Documented need for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Goals and objectives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program fits with the rest of the hospital, the number of staff, staff credentials, and the staff’s relationship to the program, e.g., hospital employee, contractual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including admission criteria, patient assessment, treatment plan, discharge plan and postdischarge services, and the scope of services provided, including treatment modalities.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 and whether the facility is part of the hospital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specific types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Alcoholism and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joint commission or substance abuse commission. In addition to certification by the department, alcoholism and substance abuse programs must also be approved by either the joint commission on the accreditation of hospitals or the Iowa substance abuse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The services must be designed to identify and respond to the biological, psychological and social antecedents, influences and consequences associated with the recipient’s dependence.</w:t>
      </w:r>
    </w:p>
    <w:p>
      <w:pPr>
        <w:spacing w:before="0" w:after="0"/>
        <w:ind w:left="120"/>
        <w:jc w:val="both"/>
      </w:pPr>
      <w:r>
        <w:rPr>
          <w:rFonts w:ascii="Times New Roman" w:hAnsi="Times New Roman"/>
          <w:b w:val="false"/>
          <w:i w:val="false"/>
          <w:color w:val="000000"/>
          <w:sz w:val="22"/>
        </w:rPr>
        <w:t>These needed services must be provided either directly by the facility or through referral, consultation or contractual arrangements or agreements.</w:t>
      </w:r>
    </w:p>
    <w:p>
      <w:pPr>
        <w:spacing w:before="0" w:after="0"/>
        <w:ind w:left="120"/>
        <w:jc w:val="both"/>
      </w:pPr>
      <w:r>
        <w:rPr>
          <w:rFonts w:ascii="Times New Roman" w:hAnsi="Times New Roman"/>
          <w:b w:val="false"/>
          <w:i w:val="false"/>
          <w:color w:val="000000"/>
          <w:sz w:val="22"/>
        </w:rPr>
        <w:t>Special treatment needs of recipients by reason of age, gender, sexual orientation, or ethnic origin are evaluated and services for children and adolescents (as well as adults, if applicable) address the special needs of these age groups, including but not limited to, learning problems in education, family involvement, developmental status, nutrition, and recreational and leisure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on the diagnostic and treatment staff, either through employment by the facility (full-time or part-time), contract or referral, are a physician (M.D. or D.O.), a licensed psychologist and a substance abuse counselor certified by the Iowa board of substance abuse certification. Psychiatric consultation must be available and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which shall include:</w:t>
      </w:r>
    </w:p>
    <w:p>
      <w:pPr>
        <w:spacing w:before="0" w:after="0"/>
        <w:ind w:left="120"/>
        <w:jc w:val="both"/>
      </w:pPr>
      <w:r>
        <w:rPr>
          <w:rFonts w:ascii="Times New Roman" w:hAnsi="Times New Roman"/>
          <w:b w:val="false"/>
          <w:i w:val="false"/>
          <w:color w:val="000000"/>
          <w:sz w:val="22"/>
        </w:rPr>
        <w:t>A history of the use of alcohol and other drugs including age of onset, duration, patterns, and consequences of use; use of alcohol and drugs by family members and types of and responses to previous treatment.</w:t>
      </w:r>
    </w:p>
    <w:p>
      <w:pPr>
        <w:spacing w:before="0" w:after="0"/>
        <w:ind w:left="120"/>
        <w:jc w:val="both"/>
      </w:pPr>
      <w:r>
        <w:rPr>
          <w:rFonts w:ascii="Times New Roman" w:hAnsi="Times New Roman"/>
          <w:b w:val="false"/>
          <w:i w:val="false"/>
          <w:color w:val="000000"/>
          <w:sz w:val="22"/>
        </w:rPr>
        <w:t>A comprehensive medical history and physical examination including the history of physical problems associated with dependence.</w:t>
      </w:r>
    </w:p>
    <w:p>
      <w:pPr>
        <w:spacing w:before="0" w:after="0"/>
        <w:ind w:left="120"/>
        <w:jc w:val="both"/>
      </w:pP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A systematic mental status examination with special emphasis on immediate recall and recent and remote memory.</w:t>
      </w:r>
    </w:p>
    <w:p>
      <w:pPr>
        <w:spacing w:before="0" w:after="0"/>
        <w:ind w:left="120"/>
        <w:jc w:val="both"/>
      </w:pP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The family’s history of alcoholism and other drug dependencies.</w:t>
      </w:r>
    </w:p>
    <w:p>
      <w:pPr>
        <w:spacing w:before="0" w:after="0"/>
        <w:ind w:left="120"/>
        <w:jc w:val="both"/>
      </w:pP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and in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Admission criteria. Both of the first two criteria and one additional criterion from the following list must be present for a patient to be accepted for treatment.</w:t>
      </w:r>
    </w:p>
    <w:p>
      <w:pPr>
        <w:spacing w:before="0" w:after="0"/>
        <w:ind w:left="120"/>
        <w:jc w:val="both"/>
      </w:pPr>
      <w:r>
        <w:rPr>
          <w:rFonts w:ascii="Times New Roman" w:hAnsi="Times New Roman"/>
          <w:b w:val="false"/>
          <w:i w:val="false"/>
          <w:color w:val="000000"/>
          <w:sz w:val="22"/>
        </w:rPr>
        <w:t>Alcohol or drugs taken in greater amounts over a longer period than the person intended.</w:t>
      </w:r>
    </w:p>
    <w:p>
      <w:pPr>
        <w:spacing w:before="0" w:after="0"/>
        <w:ind w:left="120"/>
        <w:jc w:val="both"/>
      </w:pPr>
      <w:r>
        <w:rPr>
          <w:rFonts w:ascii="Times New Roman" w:hAnsi="Times New Roman"/>
          <w:b w:val="false"/>
          <w:i w:val="false"/>
          <w:color w:val="000000"/>
          <w:sz w:val="22"/>
        </w:rPr>
        <w:t>Two or more unsuccessful efforts to cut down or control use of alcohol or drugs.</w:t>
      </w:r>
    </w:p>
    <w:p>
      <w:pPr>
        <w:spacing w:before="0" w:after="0"/>
        <w:ind w:left="120"/>
        <w:jc w:val="both"/>
      </w:pPr>
      <w:r>
        <w:rPr>
          <w:rFonts w:ascii="Times New Roman" w:hAnsi="Times New Roman"/>
          <w:b w:val="false"/>
          <w:i w:val="false"/>
          <w:color w:val="000000"/>
          <w:sz w:val="22"/>
        </w:rPr>
        <w:t>Continued alcohol or drug use despite knowledge of having a persistent or recurrent family, social, occupational, psychological, or physical problem that is caused or exacerbated by the use of alcohol or drugs.</w:t>
      </w:r>
    </w:p>
    <w:p>
      <w:pPr>
        <w:spacing w:before="0" w:after="0"/>
        <w:ind w:left="120"/>
        <w:jc w:val="both"/>
      </w:pPr>
      <w:r>
        <w:rPr>
          <w:rFonts w:ascii="Times New Roman" w:hAnsi="Times New Roman"/>
          <w:b w:val="false"/>
          <w:i w:val="false"/>
          <w:color w:val="000000"/>
          <w:sz w:val="22"/>
        </w:rPr>
        <w:t>Marked tolerance: the need for markedly increased amounts of alcohol or drugs (i.e., at least a 50 percent increase) in order to achieve intoxication or desired effect or markedly diminished effect with continued use of same amount.</w:t>
      </w:r>
    </w:p>
    <w:p>
      <w:pPr>
        <w:spacing w:before="0" w:after="0"/>
        <w:ind w:left="120"/>
        <w:jc w:val="both"/>
      </w:pPr>
      <w:r>
        <w:rPr>
          <w:rFonts w:ascii="Times New Roman" w:hAnsi="Times New Roman"/>
          <w:b w:val="false"/>
          <w:i w:val="false"/>
          <w:color w:val="000000"/>
          <w:sz w:val="22"/>
        </w:rPr>
        <w:t>Characteristic withdrawal symptoms.</w:t>
      </w:r>
    </w:p>
    <w:p>
      <w:pPr>
        <w:spacing w:before="0" w:after="0"/>
        <w:ind w:left="120"/>
        <w:jc w:val="both"/>
      </w:pPr>
      <w:r>
        <w:rPr>
          <w:rFonts w:ascii="Times New Roman" w:hAnsi="Times New Roman"/>
          <w:b w:val="false"/>
          <w:i w:val="false"/>
          <w:color w:val="000000"/>
          <w:sz w:val="22"/>
        </w:rPr>
        <w:t>Alcohol or drugs taken often to relieve or avoid withdrawal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regular times at which the plan will be reassessed.</w:t>
      </w:r>
    </w:p>
    <w:p>
      <w:pPr>
        <w:spacing w:before="0" w:after="0"/>
        <w:ind w:left="120"/>
        <w:jc w:val="both"/>
      </w:pPr>
      <w:r>
        <w:rPr>
          <w:rFonts w:ascii="Times New Roman" w:hAnsi="Times New Roman"/>
          <w:b w:val="false"/>
          <w:i w:val="false"/>
          <w:color w:val="000000"/>
          <w:sz w:val="22"/>
        </w:rPr>
        <w:t>The patient’s perception of needs and, when appropriate and available, the family’s perception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which meets the following requirements:</w:t>
      </w:r>
    </w:p>
    <w:p>
      <w:pPr>
        <w:spacing w:before="0" w:after="0"/>
        <w:ind w:left="120"/>
        <w:jc w:val="both"/>
      </w:pP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The plan is developed in collaboration with the patient and, as appropriate and available, with the patient’s written verbal permission with family members.</w:t>
      </w:r>
    </w:p>
    <w:p>
      <w:pPr>
        <w:spacing w:before="0" w:after="0"/>
        <w:ind w:left="120"/>
        <w:jc w:val="both"/>
      </w:pP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reimburse for a maximum of 28 treatment days. Payment beyond 28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If an individual has completed all or part of the basic 28-day program, a repeat of the program will be reimbursed with justification. The program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Eating disorders are characterized by gross disturbances in eating behavior. Eating disorders include anorexia nervosa or bulimia nervosa. Compulsive overeaters are not approved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on the diagnostic and treatment staff, either through employment by a facility (full-time or part-time), contract or referral, are a physician (M.D. or D.O.), a licensed psychologist, a counselor with a master’s or bachelor’s degree and experience, a dietitian with a bachelor’s degree and registered dietitian’s certificate, and a licensed occupational therapist.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family orientation of the patient must be conducted. The assessment must include a weight history and a history of the patient’s eating and dieting behavior, including binge eating, onset, patterns, and consequences. The assessment shall include the following:</w:t>
      </w:r>
    </w:p>
    <w:p>
      <w:pPr>
        <w:spacing w:before="0" w:after="0"/>
        <w:ind w:left="120"/>
        <w:jc w:val="both"/>
      </w:pPr>
      <w:r>
        <w:rPr>
          <w:rFonts w:ascii="Times New Roman" w:hAnsi="Times New Roman"/>
          <w:b w:val="false"/>
          <w:i w:val="false"/>
          <w:color w:val="000000"/>
          <w:sz w:val="22"/>
        </w:rPr>
        <w:t>A family history as well as self-assessment regarding chronic dieting, obesity, anorexia, bulimia, drug abuse, alcohol problems, depression, hospitalization for psychiatric reasons, and threatened or attempted suicide.</w:t>
      </w:r>
    </w:p>
    <w:p>
      <w:pPr>
        <w:spacing w:before="0" w:after="0"/>
        <w:ind w:left="120"/>
        <w:jc w:val="both"/>
      </w:pPr>
      <w:r>
        <w:rPr>
          <w:rFonts w:ascii="Times New Roman" w:hAnsi="Times New Roman"/>
          <w:b w:val="false"/>
          <w:i w:val="false"/>
          <w:color w:val="000000"/>
          <w:sz w:val="22"/>
        </w:rPr>
        <w:t>A history of purging behavior including frequency and history of vomiting, use of laxatives, history and frequency of use of diuretics, history and frequency of use of diet pills, ipecac, or any other weight control measures, and frequency of eating normal meals without vomiting.</w:t>
      </w:r>
    </w:p>
    <w:p>
      <w:pPr>
        <w:spacing w:before="0" w:after="0"/>
        <w:ind w:left="120"/>
        <w:jc w:val="both"/>
      </w:pPr>
      <w:r>
        <w:rPr>
          <w:rFonts w:ascii="Times New Roman" w:hAnsi="Times New Roman"/>
          <w:b w:val="false"/>
          <w:i w:val="false"/>
          <w:color w:val="000000"/>
          <w:sz w:val="22"/>
        </w:rPr>
        <w:t>A history of exercise behavior, including type, frequency, and duration.</w:t>
      </w:r>
    </w:p>
    <w:p>
      <w:pPr>
        <w:spacing w:before="0" w:after="0"/>
        <w:ind w:left="120"/>
        <w:jc w:val="both"/>
      </w:pPr>
      <w:r>
        <w:rPr>
          <w:rFonts w:ascii="Times New Roman" w:hAnsi="Times New Roman"/>
          <w:b w:val="false"/>
          <w:i w:val="false"/>
          <w:color w:val="000000"/>
          <w:sz w:val="22"/>
        </w:rPr>
        <w:t>A complete history of current alcohol and other drug use.</w:t>
      </w:r>
    </w:p>
    <w:p>
      <w:pPr>
        <w:spacing w:before="0" w:after="0"/>
        <w:ind w:left="120"/>
        <w:jc w:val="both"/>
      </w:pPr>
      <w:r>
        <w:rPr>
          <w:rFonts w:ascii="Times New Roman" w:hAnsi="Times New Roman"/>
          <w:b w:val="false"/>
          <w:i w:val="false"/>
          <w:color w:val="000000"/>
          <w:sz w:val="22"/>
        </w:rPr>
        <w:t>Any suicidal thoughts or attempts.</w:t>
      </w:r>
    </w:p>
    <w:p>
      <w:pPr>
        <w:spacing w:before="0" w:after="0"/>
        <w:ind w:left="120"/>
        <w:jc w:val="both"/>
      </w:pPr>
      <w:r>
        <w:rPr>
          <w:rFonts w:ascii="Times New Roman" w:hAnsi="Times New Roman"/>
          <w:b w:val="false"/>
          <w:i w:val="false"/>
          <w:color w:val="000000"/>
          <w:sz w:val="22"/>
        </w:rPr>
        <w:t>Sexual history, including sexual preference and activity. Sexual interest currently as compared to prior to the eating disorder is needed.</w:t>
      </w:r>
    </w:p>
    <w:p>
      <w:pPr>
        <w:spacing w:before="0" w:after="0"/>
        <w:ind w:left="120"/>
        <w:jc w:val="both"/>
      </w:pPr>
      <w:r>
        <w:rPr>
          <w:rFonts w:ascii="Times New Roman" w:hAnsi="Times New Roman"/>
          <w:b w:val="false"/>
          <w:i w:val="false"/>
          <w:color w:val="000000"/>
          <w:sz w:val="22"/>
        </w:rPr>
        <w:t>History of experiencing physical or sexual (incest or rape) abuse.</w:t>
      </w:r>
    </w:p>
    <w:p>
      <w:pPr>
        <w:spacing w:before="0" w:after="0"/>
        <w:ind w:left="120"/>
        <w:jc w:val="both"/>
      </w:pPr>
      <w:r>
        <w:rPr>
          <w:rFonts w:ascii="Times New Roman" w:hAnsi="Times New Roman"/>
          <w:b w:val="false"/>
          <w:i w:val="false"/>
          <w:color w:val="000000"/>
          <w:sz w:val="22"/>
        </w:rPr>
        <w:t>History of other counseling experiences.</w:t>
      </w:r>
    </w:p>
    <w:p>
      <w:pPr>
        <w:spacing w:before="0" w:after="0"/>
        <w:ind w:left="120"/>
        <w:jc w:val="both"/>
      </w:pPr>
      <w:r>
        <w:rPr>
          <w:rFonts w:ascii="Times New Roman" w:hAnsi="Times New Roman"/>
          <w:b w:val="false"/>
          <w:i w:val="false"/>
          <w:color w:val="000000"/>
          <w:sz w:val="22"/>
        </w:rPr>
        <w:t>Appropriate psychological assessment, including psychological orientation to the above questions.</w:t>
      </w:r>
    </w:p>
    <w:p>
      <w:pPr>
        <w:spacing w:before="0" w:after="0"/>
        <w:ind w:left="120"/>
        <w:jc w:val="both"/>
      </w:pPr>
      <w:r>
        <w:rPr>
          <w:rFonts w:ascii="Times New Roman" w:hAnsi="Times New Roman"/>
          <w:b w:val="false"/>
          <w:i w:val="false"/>
          <w:color w:val="000000"/>
          <w:sz w:val="22"/>
        </w:rPr>
        <w:t xml:space="preserve">A medical history, including a physical examination, covering the information listed in subparagraph </w:t>
      </w:r>
      <w:r>
        <w:rPr>
          <w:rFonts w:ascii="Times New Roman" w:hAnsi="Times New Roman"/>
          <w:b w:val="false"/>
          <w:i w:val="false"/>
          <w:color w:val="000000"/>
          <w:sz w:val="22"/>
        </w:rPr>
        <w:t>(4)</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The patient’s educational level, vocational status, and job or school performance history, as appropriate.</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and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 as appropriate.</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In order to be accepted for treatment, the patient shall meet the diagnostic criteria for anorexia nervosa or bulimia nervosa as established by the current version of the DSM (Diagnostic and Statistical Manual of Mental Disorders) published by the American Psychiatric Association.</w:t>
      </w:r>
    </w:p>
    <w:p>
      <w:pPr>
        <w:spacing w:before="0" w:after="0"/>
        <w:ind w:left="120"/>
        <w:jc w:val="both"/>
      </w:pPr>
      <w:r>
        <w:rPr>
          <w:rFonts w:ascii="Times New Roman" w:hAnsi="Times New Roman"/>
          <w:b w:val="false"/>
          <w:i w:val="false"/>
          <w:color w:val="000000"/>
          <w:sz w:val="22"/>
        </w:rPr>
        <w:t>In addition to the diagnostic criteria, the need for treatment will be determined by a demonstrable loss of control of eating behaviors and the failure of the patient in recent attempts at voluntary self-control of the problem. Demonstrable impairment, dysfunction, disruption or harm of physical health, emotional health (e.g., significant depression withdrawal, isolation, suicidal ideas), vocational or educational functioning, or interpersonal functioning (e.g., loss of relationships, legal difficulties) shall have occurred.</w:t>
      </w:r>
    </w:p>
    <w:p>
      <w:pPr>
        <w:spacing w:before="0" w:after="0"/>
        <w:ind w:left="120"/>
        <w:jc w:val="both"/>
      </w:pPr>
      <w:r>
        <w:rPr>
          <w:rFonts w:ascii="Times New Roman" w:hAnsi="Times New Roman"/>
          <w:b w:val="false"/>
          <w:i w:val="false"/>
          <w:color w:val="000000"/>
          <w:sz w:val="22"/>
        </w:rPr>
        <w:t>The need for treatment may be further substantiated by substance abuse, out-of-control spending, incidence of stealing to support habit, or compulsive gambling.</w:t>
      </w:r>
    </w:p>
    <w:p>
      <w:pPr>
        <w:spacing w:before="0" w:after="0"/>
        <w:ind w:left="120"/>
        <w:jc w:val="both"/>
      </w:pPr>
      <w:r>
        <w:rPr>
          <w:rFonts w:ascii="Times New Roman" w:hAnsi="Times New Roman"/>
          <w:b w:val="false"/>
          <w:i w:val="false"/>
          <w:color w:val="000000"/>
          <w:sz w:val="22"/>
        </w:rPr>
        <w:t>The symptoms shall have been present for at least six months and three of the following criteria must be present:</w:t>
      </w:r>
    </w:p>
    <w:p>
      <w:pPr>
        <w:spacing w:before="0" w:after="0"/>
        <w:ind w:left="120"/>
        <w:jc w:val="both"/>
      </w:pPr>
      <w:r>
        <w:rPr>
          <w:rFonts w:ascii="Times New Roman" w:hAnsi="Times New Roman"/>
          <w:b w:val="false"/>
          <w:i w:val="false"/>
          <w:color w:val="000000"/>
          <w:sz w:val="22"/>
        </w:rPr>
        <w:t>Medical criteria including endocrine and metabolic factors (e.g., amenorrhea, menstrual irregularities, decreased reflexes, cold intolerance, hypercarotenemia, parotid gland enlargement, lower respiration rate, hair loss, abnormal cholesterol or triglyceride levels).</w:t>
      </w:r>
    </w:p>
    <w:p>
      <w:pPr>
        <w:spacing w:before="0" w:after="0"/>
        <w:ind w:left="120"/>
        <w:jc w:val="both"/>
      </w:pPr>
      <w:r>
        <w:rPr>
          <w:rFonts w:ascii="Times New Roman" w:hAnsi="Times New Roman"/>
          <w:b w:val="false"/>
          <w:i w:val="false"/>
          <w:color w:val="000000"/>
          <w:sz w:val="22"/>
        </w:rPr>
        <w:t>Other cardiovascular factors including hypotension, hypertension, arrhythmia, ipecac poisoning, fainting, or bradycardia.</w:t>
      </w:r>
    </w:p>
    <w:p>
      <w:pPr>
        <w:spacing w:before="0" w:after="0"/>
        <w:ind w:left="120"/>
        <w:jc w:val="both"/>
      </w:pPr>
      <w:r>
        <w:rPr>
          <w:rFonts w:ascii="Times New Roman" w:hAnsi="Times New Roman"/>
          <w:b w:val="false"/>
          <w:i w:val="false"/>
          <w:color w:val="000000"/>
          <w:sz w:val="22"/>
        </w:rPr>
        <w:t>Renal considerations including diuretic abuse, dehydration, elevated BUN, renal calculi, edema, or hypokalemia.</w:t>
      </w:r>
    </w:p>
    <w:p>
      <w:pPr>
        <w:spacing w:before="0" w:after="0"/>
        <w:ind w:left="120"/>
        <w:jc w:val="both"/>
      </w:pPr>
      <w:r>
        <w:rPr>
          <w:rFonts w:ascii="Times New Roman" w:hAnsi="Times New Roman"/>
          <w:b w:val="false"/>
          <w:i w:val="false"/>
          <w:color w:val="000000"/>
          <w:sz w:val="22"/>
        </w:rPr>
        <w:t>Gastrointestinal factors including sore throats, mallery-weiss tears, decreased gastric emptying, constipation, abnormal liver enzymes, rectal bleeding, laxative abuse, or esophagitis.</w:t>
      </w:r>
    </w:p>
    <w:p>
      <w:pPr>
        <w:spacing w:before="0" w:after="0"/>
        <w:ind w:left="120"/>
        <w:jc w:val="both"/>
      </w:pPr>
      <w:r>
        <w:rPr>
          <w:rFonts w:ascii="Times New Roman" w:hAnsi="Times New Roman"/>
          <w:b w:val="false"/>
          <w:i w:val="false"/>
          <w:color w:val="000000"/>
          <w:sz w:val="22"/>
        </w:rPr>
        <w:t>Hematologic considerations including anemia, leukopenia, or thrombocytopenia.</w:t>
      </w:r>
    </w:p>
    <w:p>
      <w:pPr>
        <w:spacing w:before="0" w:after="0"/>
        <w:ind w:left="120"/>
        <w:jc w:val="both"/>
      </w:pPr>
      <w:r>
        <w:rPr>
          <w:rFonts w:ascii="Times New Roman" w:hAnsi="Times New Roman"/>
          <w:b w:val="false"/>
          <w:i w:val="false"/>
          <w:color w:val="000000"/>
          <w:sz w:val="22"/>
        </w:rPr>
        <w:t>Ear, nose, and throat factors including headaches or dizziness.</w:t>
      </w:r>
    </w:p>
    <w:p>
      <w:pPr>
        <w:spacing w:before="0" w:after="0"/>
        <w:ind w:left="120"/>
        <w:jc w:val="both"/>
      </w:pPr>
      <w:r>
        <w:rPr>
          <w:rFonts w:ascii="Times New Roman" w:hAnsi="Times New Roman"/>
          <w:b w:val="false"/>
          <w:i w:val="false"/>
          <w:color w:val="000000"/>
          <w:sz w:val="22"/>
        </w:rPr>
        <w:t>Skin considerations including lanugo or dry skin.</w:t>
      </w:r>
    </w:p>
    <w:p>
      <w:pPr>
        <w:spacing w:before="0" w:after="0"/>
        <w:ind w:left="120"/>
        <w:jc w:val="both"/>
      </w:pPr>
      <w:r>
        <w:rPr>
          <w:rFonts w:ascii="Times New Roman" w:hAnsi="Times New Roman"/>
          <w:b w:val="false"/>
          <w:i w:val="false"/>
          <w:color w:val="000000"/>
          <w:sz w:val="22"/>
        </w:rPr>
        <w:t>Aspiration pneumonia, a pulmonary factor.</w:t>
      </w:r>
    </w:p>
    <w:p>
      <w:pPr>
        <w:spacing w:before="0" w:after="0"/>
        <w:ind w:left="120"/>
        <w:jc w:val="both"/>
      </w:pPr>
      <w:r>
        <w:rPr>
          <w:rFonts w:ascii="Times New Roman" w:hAnsi="Times New Roman"/>
          <w:b w:val="false"/>
          <w:i w:val="false"/>
          <w:color w:val="000000"/>
          <w:sz w:val="22"/>
        </w:rPr>
        <w:t>The presence of severe symptoms and complications as evaluated and documented by the medical director may require a period of hospitalization to establish physical or emotional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problems and needs identified in the assessment and specifies the regular times at which the plan will be reassessed.</w:t>
      </w:r>
    </w:p>
    <w:p>
      <w:pPr>
        <w:spacing w:before="0" w:after="0"/>
        <w:ind w:left="120"/>
        <w:jc w:val="both"/>
      </w:pPr>
      <w:r>
        <w:rPr>
          <w:rFonts w:ascii="Times New Roman" w:hAnsi="Times New Roman"/>
          <w:b w:val="false"/>
          <w:i w:val="false"/>
          <w:color w:val="000000"/>
          <w:sz w:val="22"/>
        </w:rPr>
        <w:t>The patient’s perceptions of needs and, when appropriate and available, the family’s perceptions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plans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plan. Plans for discharge shall meet the requirements for discharge plans for alcohol and substance abuse patients in subrule </w:t>
      </w:r>
      <w:hyperlink r:id="rId322">
        <w:r>
          <w:rPr>
            <w:rStyle w:val="Hyperlink"/>
            <w:rFonts w:ascii="Times New Roman" w:hAnsi="Times New Roman"/>
            <w:b w:val="false"/>
            <w:i w:val="false"/>
            <w:color w:val="000000"/>
            <w:sz w:val="22"/>
          </w:rPr>
          <w:t>78.31(3),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subparagraph </w:t>
      </w:r>
      <w:r>
        <w:rPr>
          <w:rFonts w:ascii="Times New Roman" w:hAnsi="Times New Roman"/>
          <w:b w:val="false"/>
          <w:i w:val="false"/>
          <w:color w:val="000000"/>
          <w:sz w:val="22"/>
        </w:rPr>
        <w:t>(6)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 and limitations on payment. Medicaid will pay for a maximum of 30 days of a structured outpatient treatment program. Payment beyond 30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Eating disorder programs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Family counseling groups held in conjunction with the eating disorders program will be part of the overall treatment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Cardiac rehabilitation programs shall provide a supportive educational environment in which to facilitate behavior change with respect to the accepted cardiac risk factors, initiate prescribed exercise as a mode of facilitating the return of the patient to everyday activities by improving cardiovascular functional capacity and work performance, and promote a long-term commitment to lifestyle changes that could positively affect the course of the cardiovascular disease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staff. Professional disciplines who must be represented on the treatment staff, either by employment by the facility (full-time or part-time), contract or referral, are as follows:</w:t>
      </w:r>
    </w:p>
    <w:p>
      <w:pPr>
        <w:spacing w:before="0" w:after="0"/>
        <w:ind w:left="120"/>
        <w:jc w:val="both"/>
      </w:pPr>
      <w:r>
        <w:rPr>
          <w:rFonts w:ascii="Times New Roman" w:hAnsi="Times New Roman"/>
          <w:b w:val="false"/>
          <w:i w:val="false"/>
          <w:color w:val="000000"/>
          <w:sz w:val="22"/>
        </w:rPr>
        <w:t>At least one physician responsible for responding to emergencies must be physically present in the hospital when patients are receiving cardiac rehabilitation services. The physician must be trained and certified at least to the level of basic life support.</w:t>
      </w:r>
    </w:p>
    <w:p>
      <w:pPr>
        <w:spacing w:before="0" w:after="0"/>
        <w:ind w:left="120"/>
        <w:jc w:val="both"/>
      </w:pPr>
      <w:r>
        <w:rPr>
          <w:rFonts w:ascii="Times New Roman" w:hAnsi="Times New Roman"/>
          <w:b w:val="false"/>
          <w:i w:val="false"/>
          <w:color w:val="000000"/>
          <w:sz w:val="22"/>
        </w:rPr>
        <w:t>A medical consultant shall oversee the policies and procedures of the outpatient cardiac rehabilitation area. The director shall meet with the cardiac rehabilitation staff on a regular basis to review exercise prescriptions and any concerns of the team.</w:t>
      </w:r>
    </w:p>
    <w:p>
      <w:pPr>
        <w:spacing w:before="0" w:after="0"/>
        <w:ind w:left="120"/>
        <w:jc w:val="both"/>
      </w:pPr>
      <w:r>
        <w:rPr>
          <w:rFonts w:ascii="Times New Roman" w:hAnsi="Times New Roman"/>
          <w:b w:val="false"/>
          <w:i w:val="false"/>
          <w:color w:val="000000"/>
          <w:sz w:val="22"/>
        </w:rPr>
        <w:t>A cardiac rehabilitation nurse shall carry out the exercise prescription after assessment of the patient. The nurse shall be able to interpret cardiac disrhythmia and be able to initiate emergency action if necessary. The nurse shall assess and implement a plan of care for cardiac risk factor modification. The nurse shall have at least one year of experience in a coronary care unit.</w:t>
      </w:r>
    </w:p>
    <w:p>
      <w:pPr>
        <w:spacing w:before="0" w:after="0"/>
        <w:ind w:left="120"/>
        <w:jc w:val="both"/>
      </w:pPr>
      <w:r>
        <w:rPr>
          <w:rFonts w:ascii="Times New Roman" w:hAnsi="Times New Roman"/>
          <w:b w:val="false"/>
          <w:i w:val="false"/>
          <w:color w:val="000000"/>
          <w:sz w:val="22"/>
        </w:rPr>
        <w:t>A physical therapist shall offer expertise in unusual exercise prescriptions where a patient has an unusual exercise problem.</w:t>
      </w:r>
    </w:p>
    <w:p>
      <w:pPr>
        <w:spacing w:before="0" w:after="0"/>
        <w:ind w:left="120"/>
        <w:jc w:val="both"/>
      </w:pPr>
      <w:r>
        <w:rPr>
          <w:rFonts w:ascii="Times New Roman" w:hAnsi="Times New Roman"/>
          <w:b w:val="false"/>
          <w:i w:val="false"/>
          <w:color w:val="000000"/>
          <w:sz w:val="22"/>
        </w:rPr>
        <w:t>A dietitian shall assess the dietary needs of persons and appropriately instruct them on their prescribed diets.</w:t>
      </w:r>
    </w:p>
    <w:p>
      <w:pPr>
        <w:spacing w:before="0" w:after="0"/>
        <w:ind w:left="120"/>
        <w:jc w:val="both"/>
      </w:pPr>
      <w:r>
        <w:rPr>
          <w:rFonts w:ascii="Times New Roman" w:hAnsi="Times New Roman"/>
          <w:b w:val="false"/>
          <w:i w:val="false"/>
          <w:color w:val="000000"/>
          <w:sz w:val="22"/>
        </w:rPr>
        <w:t>A social worker shall provide counseling as appropriate and facilitate a spouse support group. A licensed occupational therapist shall be available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must be referred by the attending physician. The following conditions are eligible for the program:</w:t>
      </w:r>
    </w:p>
    <w:p>
      <w:pPr>
        <w:spacing w:before="0" w:after="0"/>
        <w:ind w:left="120"/>
        <w:jc w:val="both"/>
      </w:pPr>
      <w:r>
        <w:rPr>
          <w:rFonts w:ascii="Times New Roman" w:hAnsi="Times New Roman"/>
          <w:b w:val="false"/>
          <w:i w:val="false"/>
          <w:color w:val="000000"/>
          <w:sz w:val="22"/>
        </w:rPr>
        <w:t>Postmyocardial infarction (within three months postdischarge).</w:t>
      </w:r>
    </w:p>
    <w:p>
      <w:pPr>
        <w:spacing w:before="0" w:after="0"/>
        <w:ind w:left="120"/>
        <w:jc w:val="both"/>
      </w:pPr>
      <w:r>
        <w:rPr>
          <w:rFonts w:ascii="Times New Roman" w:hAnsi="Times New Roman"/>
          <w:b w:val="false"/>
          <w:i w:val="false"/>
          <w:color w:val="000000"/>
          <w:sz w:val="22"/>
        </w:rPr>
        <w:t>Postcardiac surgery (within three months postdischarge).</w:t>
      </w:r>
    </w:p>
    <w:p>
      <w:pPr>
        <w:spacing w:before="0" w:after="0"/>
        <w:ind w:left="120"/>
        <w:jc w:val="both"/>
      </w:pPr>
      <w:r>
        <w:rPr>
          <w:rFonts w:ascii="Times New Roman" w:hAnsi="Times New Roman"/>
          <w:b w:val="false"/>
          <w:i w:val="false"/>
          <w:color w:val="000000"/>
          <w:sz w:val="22"/>
        </w:rPr>
        <w:t>Poststreptokinase.</w:t>
      </w:r>
    </w:p>
    <w:p>
      <w:pPr>
        <w:spacing w:before="0" w:after="0"/>
        <w:ind w:left="120"/>
        <w:jc w:val="both"/>
      </w:pPr>
      <w:r>
        <w:rPr>
          <w:rFonts w:ascii="Times New Roman" w:hAnsi="Times New Roman"/>
          <w:b w:val="false"/>
          <w:i w:val="false"/>
          <w:color w:val="000000"/>
          <w:sz w:val="22"/>
        </w:rPr>
        <w:t>Postpercutaneous transluminal angioplasty (within three months postdischarge).</w:t>
      </w:r>
    </w:p>
    <w:p>
      <w:pPr>
        <w:spacing w:before="0" w:after="0"/>
        <w:ind w:left="120"/>
        <w:jc w:val="both"/>
      </w:pPr>
      <w:r>
        <w:rPr>
          <w:rFonts w:ascii="Times New Roman" w:hAnsi="Times New Roman"/>
          <w:b w:val="false"/>
          <w:i w:val="false"/>
          <w:color w:val="000000"/>
          <w:sz w:val="22"/>
        </w:rPr>
        <w:t>Patient with severe angina being treated medically because of client or doctor preference or inoperable cardiac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environment and equipment. A cardiac rehabilitation unit must be an autonomous physical unit specifically equipped with the necessary telemetry monitoring equipment, exercise equipment, and appropriate equipment and supplies for cardiopulmonary resuscitation (CPR). The exercise equipment must have the capacity to measure the intensity, speed, and length of the exercises. The equipment must be periodically inspected and maintained in accordance with the hospital’s preventive maintenance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records. Medical records for each cardiac rehabilitation patient shall consist of at least the following:</w:t>
      </w:r>
    </w:p>
    <w:p>
      <w:pPr>
        <w:spacing w:before="0" w:after="0"/>
        <w:ind w:left="120"/>
        <w:jc w:val="both"/>
      </w:pPr>
      <w:r>
        <w:rPr>
          <w:rFonts w:ascii="Times New Roman" w:hAnsi="Times New Roman"/>
          <w:b w:val="false"/>
          <w:i w:val="false"/>
          <w:color w:val="000000"/>
          <w:sz w:val="22"/>
        </w:rPr>
        <w:t>Referral form.</w:t>
      </w:r>
    </w:p>
    <w:p>
      <w:pPr>
        <w:spacing w:before="0" w:after="0"/>
        <w:ind w:left="120"/>
        <w:jc w:val="both"/>
      </w:pPr>
      <w:r>
        <w:rPr>
          <w:rFonts w:ascii="Times New Roman" w:hAnsi="Times New Roman"/>
          <w:b w:val="false"/>
          <w:i w:val="false"/>
          <w:color w:val="000000"/>
          <w:sz w:val="22"/>
        </w:rPr>
        <w:t>Physician’s orders.</w:t>
      </w:r>
    </w:p>
    <w:p>
      <w:pPr>
        <w:spacing w:before="0" w:after="0"/>
        <w:ind w:left="120"/>
        <w:jc w:val="both"/>
      </w:pP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Electrocardiogram reports.</w:t>
      </w:r>
    </w:p>
    <w:p>
      <w:pPr>
        <w:spacing w:before="0" w:after="0"/>
        <w:ind w:left="120"/>
        <w:jc w:val="both"/>
      </w:pPr>
      <w:r>
        <w:rPr>
          <w:rFonts w:ascii="Times New Roman" w:hAnsi="Times New Roman"/>
          <w:b w:val="false"/>
          <w:i w:val="false"/>
          <w:color w:val="000000"/>
          <w:sz w:val="22"/>
        </w:rPr>
        <w:t>History and physical examination.</w:t>
      </w:r>
    </w:p>
    <w:p>
      <w:pPr>
        <w:spacing w:before="0" w:after="0"/>
        <w:ind w:left="120"/>
        <w:jc w:val="both"/>
      </w:pPr>
      <w:r>
        <w:rPr>
          <w:rFonts w:ascii="Times New Roman" w:hAnsi="Times New Roman"/>
          <w:b w:val="false"/>
          <w:i w:val="false"/>
          <w:color w:val="000000"/>
          <w:sz w:val="22"/>
        </w:rPr>
        <w:t>Angiogram report, if applicable.</w:t>
      </w:r>
    </w:p>
    <w:p>
      <w:pPr>
        <w:spacing w:before="0" w:after="0"/>
        <w:ind w:left="120"/>
        <w:jc w:val="both"/>
      </w:pPr>
      <w:r>
        <w:rPr>
          <w:rFonts w:ascii="Times New Roman" w:hAnsi="Times New Roman"/>
          <w:b w:val="false"/>
          <w:i w:val="false"/>
          <w:color w:val="000000"/>
          <w:sz w:val="22"/>
        </w:rPr>
        <w:t>Operative report, if applicable.</w:t>
      </w:r>
    </w:p>
    <w:p>
      <w:pPr>
        <w:spacing w:before="0" w:after="0"/>
        <w:ind w:left="120"/>
        <w:jc w:val="both"/>
      </w:pPr>
      <w:r>
        <w:rPr>
          <w:rFonts w:ascii="Times New Roman" w:hAnsi="Times New Roman"/>
          <w:b w:val="false"/>
          <w:i w:val="false"/>
          <w:color w:val="000000"/>
          <w:sz w:val="22"/>
        </w:rPr>
        <w:t>Preadmission interview.</w:t>
      </w:r>
    </w:p>
    <w:p>
      <w:pPr>
        <w:spacing w:before="0" w:after="0"/>
        <w:ind w:left="120"/>
        <w:jc w:val="both"/>
      </w:pPr>
      <w:r>
        <w:rPr>
          <w:rFonts w:ascii="Times New Roman" w:hAnsi="Times New Roman"/>
          <w:b w:val="false"/>
          <w:i w:val="false"/>
          <w:color w:val="000000"/>
          <w:sz w:val="22"/>
        </w:rPr>
        <w:t>Exercise prescription.</w:t>
      </w:r>
    </w:p>
    <w:p>
      <w:pPr>
        <w:spacing w:before="0" w:after="0"/>
        <w:ind w:left="120"/>
        <w:jc w:val="both"/>
      </w:pPr>
      <w:r>
        <w:rPr>
          <w:rFonts w:ascii="Times New Roman" w:hAnsi="Times New Roman"/>
          <w:b w:val="false"/>
          <w:i w:val="false"/>
          <w:color w:val="000000"/>
          <w:sz w:val="22"/>
        </w:rPr>
        <w:t>Rehabilitation plan, including participant’s goals.</w:t>
      </w:r>
    </w:p>
    <w:p>
      <w:pPr>
        <w:spacing w:before="0" w:after="0"/>
        <w:ind w:left="120"/>
        <w:jc w:val="both"/>
      </w:pPr>
      <w:r>
        <w:rPr>
          <w:rFonts w:ascii="Times New Roman" w:hAnsi="Times New Roman"/>
          <w:b w:val="false"/>
          <w:i w:val="false"/>
          <w:color w:val="000000"/>
          <w:sz w:val="22"/>
        </w:rPr>
        <w:t>Documentation for exercise sessions and progress notes.</w:t>
      </w:r>
    </w:p>
    <w:p>
      <w:pPr>
        <w:spacing w:before="0" w:after="0"/>
        <w:ind w:left="120"/>
        <w:jc w:val="both"/>
      </w:pPr>
      <w:r>
        <w:rPr>
          <w:rFonts w:ascii="Times New Roman" w:hAnsi="Times New Roman"/>
          <w:b w:val="false"/>
          <w:i w:val="false"/>
          <w:color w:val="000000"/>
          <w:sz w:val="22"/>
        </w:rPr>
        <w:t>Nurse’s progress reports.</w:t>
      </w:r>
    </w:p>
    <w:p>
      <w:pPr>
        <w:spacing w:before="0" w:after="0"/>
        <w:ind w:left="120"/>
        <w:jc w:val="both"/>
      </w:pPr>
      <w:r>
        <w:rPr>
          <w:rFonts w:ascii="Times New Roman" w:hAnsi="Times New Roman"/>
          <w:b w:val="false"/>
          <w:i w:val="false"/>
          <w:color w:val="000000"/>
          <w:sz w:val="22"/>
        </w:rPr>
        <w:t>Discharge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The patient will be discharged from the program when the physician, staff, and patient agree that the work level is functional for them and little benefit could be derived from further continuation of the program, disrhythmia disturbances are resolved, and appropriate cardiovascular response to exercise is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of services. The program should be monitored by the hospital on a periodic basis using measuring criteria for evaluating cardiac rehabilitation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Payment will be made for a maximum of three visits per week for a period of 12 weeks. Payment beyond 12 weeks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To be covered, mental health services must be prescribed by a physician or certified health service provider in psychology, provided under an individualized treatment plan and reasonable and necessary for the diagnosis or treatment of the patient’s condition. This means the services must be for the purpose of diagnostic study or the services must reasonably be expected to improve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Individualized treatment plan. The individualized written plan of treatment shall be established by a physician or certified health service provider in psychology after any needed consultation with appropriate staff members. The plan must state the type, amount, frequency and duration of the services to be furnished and indicate the diagnoses and anticipated goals. (A plan is not required if only a few brief services will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Supervision and evaluation. Services must be supervised and periodically evaluated by a physician, certified health service provider in psychology, or both within the scopes of their respective practices if clinically indicated to determine the extent to which treatment goals are being realized. The evaluation must be based on periodic consultation and conference with therapists and staff. The physician or certified health service provider in psychology must also provide supervision and direction to any therapist involved in the patient’s treatment and see the patient periodically to evaluate the course of treatment and to determine the extent to which treatment goals are being realized and whether changes in direction or services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Reasonable expectation of improvement. Services must be for the purpose of diagnostic study or reasonably be expected to improve the patient’s condition. The treatment must at a minimum be designed to reduce or control the patient’s psychiatric or psychological symptoms so as to prevent relapse or hospitalization and improve or maintain the patient’s level of functioning.</w:t>
      </w:r>
    </w:p>
    <w:p>
      <w:pPr>
        <w:spacing w:before="0" w:after="0"/>
        <w:ind w:left="120"/>
        <w:jc w:val="both"/>
      </w:pPr>
      <w:r>
        <w:rPr>
          <w:rFonts w:ascii="Times New Roman" w:hAnsi="Times New Roman"/>
          <w:b w:val="false"/>
          <w:i w:val="false"/>
          <w:color w:val="000000"/>
          <w:sz w:val="22"/>
        </w:rPr>
        <w:t>It is not necessary that a course of therapy have as its goal restoration of the patient to the level of functioning exhibited prior to the onset of the illness although this may be appropriate for some patients. For many other patients, particularly those with long-term chronic conditions, control of symptoms and maintenance of a functional level to avoid further deterioration or hospitalization is an acceptable expectation of improvement. “Improvement” in this context is measured by comparing the effect of continuing versus discontinuing treatment. Where there is a reasonable expectation that if treatment services were withdrawn, the patient’s condition would deteriorate, relapse further, or require hospitalization, this criterion would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 The number of the above staff employed by the facility must be appropriate to the facility’s patient load. The staff may be employees of the hospital, on contract, or the service may be provided through referral.</w:t>
      </w:r>
    </w:p>
    <w:p>
      <w:pPr>
        <w:spacing w:before="0" w:after="0"/>
        <w:ind w:left="120"/>
        <w:jc w:val="both"/>
      </w:pPr>
      <w:r>
        <w:rPr>
          <w:rFonts w:ascii="Times New Roman" w:hAnsi="Times New Roman"/>
          <w:b w:val="false"/>
          <w:i w:val="false"/>
          <w:color w:val="000000"/>
          <w:sz w:val="22"/>
        </w:rPr>
        <w:t xml:space="preserve">The diagnostic and treatment staff shall consist of a physician, a psychologist, social workers or counselors meeting the requirements for “mental health professionals” as set forth in rule </w:t>
      </w:r>
      <w:hyperlink r:id="rId323">
        <w:r>
          <w:rPr>
            <w:rStyle w:val="Hyperlink"/>
            <w:rFonts w:ascii="Times New Roman" w:hAnsi="Times New Roman"/>
            <w:b w:val="false"/>
            <w:i w:val="false"/>
            <w:color w:val="000000"/>
            <w:sz w:val="22"/>
          </w:rPr>
          <w:t>441—33.1</w:t>
        </w:r>
      </w:hyperlink>
      <w:r>
        <w:rPr>
          <w:rFonts w:ascii="Times New Roman" w:hAnsi="Times New Roman"/>
          <w:b w:val="false"/>
          <w:i w:val="false"/>
          <w:color w:val="000000"/>
          <w:sz w:val="22"/>
        </w:rPr>
        <w:t>(225C,230A).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which shall include:</w:t>
      </w:r>
    </w:p>
    <w:p>
      <w:pPr>
        <w:spacing w:before="0" w:after="0"/>
        <w:ind w:left="120"/>
        <w:jc w:val="both"/>
      </w:pPr>
      <w:r>
        <w:rPr>
          <w:rFonts w:ascii="Times New Roman" w:hAnsi="Times New Roman"/>
          <w:b w:val="false"/>
          <w:i w:val="false"/>
          <w:color w:val="000000"/>
          <w:sz w:val="22"/>
        </w:rPr>
        <w:t>A history of the mental health problem, including age of onset, duration, patterns of symptoms, consequences of symptoms, and responses to previous treatment.</w:t>
      </w:r>
    </w:p>
    <w:p>
      <w:pPr>
        <w:spacing w:before="0" w:after="0"/>
        <w:ind w:left="120"/>
        <w:jc w:val="both"/>
      </w:pPr>
      <w:r>
        <w:rPr>
          <w:rFonts w:ascii="Times New Roman" w:hAnsi="Times New Roman"/>
          <w:b w:val="false"/>
          <w:i w:val="false"/>
          <w:color w:val="000000"/>
          <w:sz w:val="22"/>
        </w:rPr>
        <w:t>A comprehensive clinical history, including the history of physical problems associated with the mental health problem. Appropriate referral for physical examination for determination of any communicable diseases.</w:t>
      </w:r>
    </w:p>
    <w:p>
      <w:pPr>
        <w:spacing w:before="0" w:after="0"/>
        <w:ind w:left="120"/>
        <w:jc w:val="both"/>
      </w:pP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A systematic mental health examination, with special emphasis on any change in cognitive, social or emotional functioning.</w:t>
      </w:r>
    </w:p>
    <w:p>
      <w:pPr>
        <w:spacing w:before="0" w:after="0"/>
        <w:ind w:left="120"/>
        <w:jc w:val="both"/>
      </w:pP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The family’s history of mental health problems.</w:t>
      </w:r>
    </w:p>
    <w:p>
      <w:pPr>
        <w:spacing w:before="0" w:after="0"/>
        <w:ind w:left="120"/>
        <w:jc w:val="both"/>
      </w:pP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The patient’s social support network, including family and peer relationship.</w:t>
      </w:r>
    </w:p>
    <w:p>
      <w:pPr>
        <w:spacing w:before="0" w:after="0"/>
        <w:ind w:left="120"/>
        <w:jc w:val="both"/>
      </w:pP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The patient’s ability to participate with peers in programs and social activities.</w:t>
      </w:r>
    </w:p>
    <w:p>
      <w:pPr>
        <w:spacing w:before="0" w:after="0"/>
        <w:ind w:left="120"/>
        <w:jc w:val="both"/>
      </w:pPr>
      <w:r>
        <w:rPr>
          <w:rFonts w:ascii="Times New Roman" w:hAnsi="Times New Roman"/>
          <w:b w:val="false"/>
          <w:i w:val="false"/>
          <w:color w:val="000000"/>
          <w:sz w:val="22"/>
        </w:rPr>
        <w:t>Interview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Covered services. Services covered for the treatment of psychiatric conditions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Individual and group therapy with physicians, psychologists, social workers, counselors, or psychiatric nurses.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Occupational therapy services if the services require the skills of a qualified occupational therapist and must be performed by or under the supervision of a licensed occupational therapist or by an occupational therapy assistant.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Drugs and biologicals furnished to outpatients for therapeutic purposes only if they are of the type which cannot be self-administered and are not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Activity therapies which are individualized and essential for the treatment of the patient’s condition. The treatment plan must clearly justify the need for each particular therapy utilized and explain how it fits into the patient’s treatment.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Family counseling services are covered only if the primary purpose of the counseling is the treatment of the patient’s condition.</w:t>
      </w:r>
    </w:p>
    <w:p>
      <w:pPr>
        <w:spacing w:before="0" w:after="0"/>
        <w:ind w:left="120"/>
        <w:jc w:val="both"/>
      </w:pPr>
      <w:r>
        <w:rPr>
          <w:rFonts w:ascii="Times New Roman" w:hAnsi="Times New Roman"/>
          <w:b w:val="false"/>
          <w:i w:val="false"/>
          <w:color w:val="000000"/>
          <w:sz w:val="22"/>
        </w:rPr>
        <w:t>     6.   </w:t>
      </w:r>
    </w:p>
    <w:p>
      <w:pPr>
        <w:spacing w:before="0" w:after="0"/>
        <w:ind w:left="120"/>
        <w:jc w:val="both"/>
      </w:pPr>
      <w:r>
        <w:rPr>
          <w:rFonts w:ascii="Times New Roman" w:hAnsi="Times New Roman"/>
          <w:b w:val="false"/>
          <w:i w:val="false"/>
          <w:color w:val="000000"/>
          <w:sz w:val="22"/>
        </w:rPr>
        <w:t>Partial hospitalization and day treatment services to reduce or control a person’s psychiatric or psychological symptoms so as to prevent relapse or hospitalization, improve or maintain the person’s level of functioning and minimize regression. These services include all psychiatric services needed by the patient during the day.</w:t>
      </w:r>
    </w:p>
    <w:p>
      <w:pPr>
        <w:spacing w:before="0" w:after="0"/>
        <w:ind w:left="120"/>
        <w:jc w:val="both"/>
      </w:pPr>
      <w:r>
        <w:rPr>
          <w:rFonts w:ascii="Times New Roman" w:hAnsi="Times New Roman"/>
          <w:b w:val="false"/>
          <w:i w:val="false"/>
          <w:color w:val="000000"/>
          <w:sz w:val="22"/>
        </w:rPr>
        <w:t>Partial hospitalization services means an active treatment program that provides intensive and structured support that assists persons during periods of acute psychiatric or psychological distress or during transition periods, generally following acute inpatient hospitalization episodes.</w:t>
      </w:r>
    </w:p>
    <w:p>
      <w:pPr>
        <w:spacing w:before="0" w:after="0"/>
        <w:ind w:left="120"/>
        <w:jc w:val="both"/>
      </w:pPr>
      <w:r>
        <w:rPr>
          <w:rFonts w:ascii="Times New Roman" w:hAnsi="Times New Roman"/>
          <w:b w:val="false"/>
          <w:i w:val="false"/>
          <w:color w:val="000000"/>
          <w:sz w:val="22"/>
        </w:rPr>
        <w:t>Service components may include individual and group therapy, reality orientation, stress management and medication management.</w:t>
      </w:r>
    </w:p>
    <w:p>
      <w:pPr>
        <w:spacing w:before="0" w:after="0"/>
        <w:ind w:left="120"/>
        <w:jc w:val="both"/>
      </w:pPr>
      <w:r>
        <w:rPr>
          <w:rFonts w:ascii="Times New Roman" w:hAnsi="Times New Roman"/>
          <w:b w:val="false"/>
          <w:i w:val="false"/>
          <w:color w:val="000000"/>
          <w:sz w:val="22"/>
        </w:rPr>
        <w:t>Services are provided for a period for four to eight hours per day.</w:t>
      </w:r>
    </w:p>
    <w:p>
      <w:pPr>
        <w:spacing w:before="0" w:after="0"/>
        <w:ind w:left="120"/>
        <w:jc w:val="both"/>
      </w:pPr>
      <w:r>
        <w:rPr>
          <w:rFonts w:ascii="Times New Roman" w:hAnsi="Times New Roman"/>
          <w:b w:val="false"/>
          <w:i w:val="false"/>
          <w:color w:val="000000"/>
          <w:sz w:val="22"/>
        </w:rPr>
        <w:t>Day treatment services means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Partial hospitalization and day treatment for persons aged 20 or under. Payment to a hospital will be approved for day treatment services for persons aged 20 or under if the hospital is certified by the department for hospital outpatient mental health services. All conditions for the day treatment program for persons aged 20 or under as outlined in subrule </w:t>
      </w:r>
      <w:hyperlink r:id="rId324">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apply to hospitals. All conditions of the day treatment program for persons aged 20 or under as outlined in subrule </w:t>
      </w:r>
      <w:hyperlink r:id="rId325">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be applicable for the partial hospitalization program for persons aged 20 or under with the exception that the maximum hours shall be 25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coverage. The following are generally not covered except as indicated:</w:t>
      </w:r>
    </w:p>
    <w:p>
      <w:pPr>
        <w:spacing w:before="0" w:after="0"/>
        <w:ind w:left="120"/>
        <w:jc w:val="both"/>
      </w:pPr>
      <w:r>
        <w:rPr>
          <w:rFonts w:ascii="Times New Roman" w:hAnsi="Times New Roman"/>
          <w:b w:val="false"/>
          <w:i w:val="false"/>
          <w:color w:val="000000"/>
          <w:sz w:val="22"/>
        </w:rPr>
        <w:t>Activity therapies, group activities, or other services and programs which are primarily recreational or diversional in nature. Outpatient psychiatric day treatment programs that consist entirely of activity therapies are not covered.</w:t>
      </w:r>
    </w:p>
    <w:p>
      <w:pPr>
        <w:spacing w:before="0" w:after="0"/>
        <w:ind w:left="120"/>
        <w:jc w:val="both"/>
      </w:pPr>
      <w:r>
        <w:rPr>
          <w:rFonts w:ascii="Times New Roman" w:hAnsi="Times New Roman"/>
          <w:b w:val="false"/>
          <w:i w:val="false"/>
          <w:color w:val="000000"/>
          <w:sz w:val="22"/>
        </w:rPr>
        <w:t>Geriatric day-care programs, which provide social and recreational activities to older persons who need some supervision during the day while other family members are away from home. These programs are not covered because they are not considered reasonable and necessary for a diagnosed psychiatric disorder.</w:t>
      </w:r>
    </w:p>
    <w:p>
      <w:pPr>
        <w:spacing w:before="0" w:after="0"/>
        <w:ind w:left="120"/>
        <w:jc w:val="both"/>
      </w:pPr>
      <w:r>
        <w:rPr>
          <w:rFonts w:ascii="Times New Roman" w:hAnsi="Times New Roman"/>
          <w:b w:val="false"/>
          <w:i w:val="false"/>
          <w:color w:val="000000"/>
          <w:sz w:val="22"/>
        </w:rPr>
        <w:t>Vocational training. While occupational therapy may include vocational and prevocational assessment of training, when the services are related solely to specific employment opportunities, work skills, or work setting, they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Frequency and duration of services. There are no specific limits on the length of time that services may be covered. There are many factors that affect the outcome of treatment. Among them are the nature of the illness, prior history, the goals of treatment, and the patient’s response. As long as the evidence shows that the patient continues to show improvement in accordance with the individualized treatment plan and the frequency of services is within acceptable norms of medical practice, coverage will be 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requirements. The provider shall develop and maintain sufficient written documentation to support each medical or remedial therapy, service, activity, or session for which billing is made. All outpatient mental health services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services rendered.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actual time the services were rendered.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Who rendered the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setting in which the services were rendered.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amount of time it took to deliver the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relationship of the services to the treatment regimen described in the plan of care.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Updates describing the patient’s progress.</w:t>
      </w:r>
    </w:p>
    <w:p>
      <w:pPr>
        <w:spacing w:before="0" w:after="0"/>
        <w:ind w:left="120"/>
        <w:jc w:val="both"/>
      </w:pPr>
      <w:r>
        <w:rPr>
          <w:rFonts w:ascii="Times New Roman" w:hAnsi="Times New Roman"/>
          <w:b w:val="false"/>
          <w:i w:val="false"/>
          <w:color w:val="000000"/>
          <w:sz w:val="22"/>
        </w:rPr>
        <w:t>For services that are not specifically included in the patient’s treatment plan, a detailed explanation of how the services being billed relate to the treatment regimen and objectives contained in the patient’s plan of care and the reason for the departure from the plan shall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commission on accreditation of rehabilitation facilities. In addition to certification by the department, pain management programs must also be approved by the commission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 chronic pain management program shall provide coordinated, goal-oriented, interdisciplinary team services to reduce pain, improve quality of life, and decrease dependence on the health care system for persons with pain which interferes with physical, psychosocial, and vocational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staff. Each person who provides treatment services shall be determined to be competent to provide the services by reason of education, training, and experience. Professional disciplines which must be represented on the treatment staff, either through employment by the facility (full-time or part-time), contract or referral, are a physician (M.D. or D.O.), a registered nurse, a licensed physical therapist and a licensed clinical psychologist or psychiatrist.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The person must have had adequate medical evaluation and treatment in the months preceding admission to the program including an orthopedic or neurological consultation if the problem is back pain or a neurological evaluation if the underlying problem is headaches.</w:t>
      </w:r>
    </w:p>
    <w:p>
      <w:pPr>
        <w:spacing w:before="0" w:after="0"/>
        <w:ind w:left="120"/>
        <w:jc w:val="both"/>
      </w:pPr>
      <w:r>
        <w:rPr>
          <w:rFonts w:ascii="Times New Roman" w:hAnsi="Times New Roman"/>
          <w:b w:val="false"/>
          <w:i w:val="false"/>
          <w:color w:val="000000"/>
          <w:sz w:val="22"/>
        </w:rPr>
        <w:t>The person must be free of any underlying psychosis or severe neurosis.</w:t>
      </w:r>
    </w:p>
    <w:p>
      <w:pPr>
        <w:spacing w:before="0" w:after="0"/>
        <w:ind w:left="120"/>
        <w:jc w:val="both"/>
      </w:pPr>
      <w:r>
        <w:rPr>
          <w:rFonts w:ascii="Times New Roman" w:hAnsi="Times New Roman"/>
          <w:b w:val="false"/>
          <w:i w:val="false"/>
          <w:color w:val="000000"/>
          <w:sz w:val="22"/>
        </w:rPr>
        <w:t>The person cannot be toxic on any addictive drugs.</w:t>
      </w:r>
    </w:p>
    <w:p>
      <w:pPr>
        <w:spacing w:before="0" w:after="0"/>
        <w:ind w:left="120"/>
        <w:jc w:val="both"/>
      </w:pPr>
      <w:r>
        <w:rPr>
          <w:rFonts w:ascii="Times New Roman" w:hAnsi="Times New Roman"/>
          <w:b w:val="false"/>
          <w:i w:val="false"/>
          <w:color w:val="000000"/>
          <w:sz w:val="22"/>
        </w:rPr>
        <w:t>The person must be capable of self-care; including being able to get to meals and to perform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times at which the plan will be reassessed.</w:t>
      </w:r>
    </w:p>
    <w:p>
      <w:pPr>
        <w:spacing w:before="0" w:after="0"/>
        <w:ind w:left="120"/>
        <w:jc w:val="both"/>
      </w:pPr>
      <w:r>
        <w:rPr>
          <w:rFonts w:ascii="Times New Roman" w:hAnsi="Times New Roman"/>
          <w:b w:val="false"/>
          <w:i w:val="false"/>
          <w:color w:val="000000"/>
          <w:sz w:val="22"/>
        </w:rPr>
        <w:t>The patient’s perception of needs and, when appropriate and available, the family’s perception of the patient’s needs shall be documented.</w:t>
      </w:r>
    </w:p>
    <w:p>
      <w:pPr>
        <w:spacing w:before="0" w:after="0"/>
        <w:ind w:left="120"/>
        <w:jc w:val="both"/>
      </w:pPr>
      <w:r>
        <w:rPr>
          <w:rFonts w:ascii="Times New Roman" w:hAnsi="Times New Roman"/>
          <w:b w:val="false"/>
          <w:i w:val="false"/>
          <w:color w:val="000000"/>
          <w:sz w:val="22"/>
        </w:rPr>
        <w:t>The patient’s participation in the development of the treatment plan is sought and documented.</w:t>
      </w:r>
    </w:p>
    <w:p>
      <w:pPr>
        <w:spacing w:before="0" w:after="0"/>
        <w:ind w:left="120"/>
        <w:jc w:val="both"/>
      </w:pPr>
      <w:r>
        <w:rPr>
          <w:rFonts w:ascii="Times New Roman" w:hAnsi="Times New Roman"/>
          <w:b w:val="false"/>
          <w:i w:val="false"/>
          <w:color w:val="000000"/>
          <w:sz w:val="22"/>
        </w:rPr>
        <w:t>Each patient is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which meets the following requirements:</w:t>
      </w:r>
    </w:p>
    <w:p>
      <w:pPr>
        <w:spacing w:before="0" w:after="0"/>
        <w:ind w:left="120"/>
        <w:jc w:val="both"/>
      </w:pP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The plan is developed in collaboration with the patient and, as appropriate and available, with the patient’s written verbal permission with the family members.</w:t>
      </w:r>
    </w:p>
    <w:p>
      <w:pPr>
        <w:spacing w:before="0" w:after="0"/>
        <w:ind w:left="120"/>
        <w:jc w:val="both"/>
      </w:pP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three weeks of a structured outpatient treatment program. When documentation indicates that the patient has not reached an exit level, coverage may be extended an extra week.</w:t>
      </w:r>
    </w:p>
    <w:p>
      <w:pPr>
        <w:spacing w:before="0" w:after="0"/>
        <w:ind w:left="120"/>
        <w:jc w:val="both"/>
      </w:pPr>
      <w:r>
        <w:rPr>
          <w:rFonts w:ascii="Times New Roman" w:hAnsi="Times New Roman"/>
          <w:b w:val="false"/>
          <w:i w:val="false"/>
          <w:color w:val="000000"/>
          <w:sz w:val="22"/>
        </w:rPr>
        <w:t>A repeat of the entire program for any patient will be covered only if a different disease process is causing the pain or a significant change in life situation can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by department of public health. In addition to certification by the department for Medicaid, diabetic education programs must also be certified by the department of public health. (See department of public health rules </w:t>
      </w:r>
      <w:hyperlink r:id="rId326">
        <w:r>
          <w:rPr>
            <w:rStyle w:val="Hyperlink"/>
            <w:rFonts w:ascii="Times New Roman" w:hAnsi="Times New Roman"/>
            <w:b w:val="false"/>
            <w:i w:val="false"/>
            <w:color w:val="000000"/>
            <w:sz w:val="22"/>
          </w:rPr>
          <w:t>641—Chapter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An outpatient diabetes self-management education program shall provide instruction which will enable people with diabetes and their families to understand the diabetes disease process and the daily management of diabetes. People with diabetes must learn to balance their special diet and exercise requirements with drug therapy (insulin or oral agents). They must learn self-care techniques such as monitoring their own blood glucose. And often, they must learn to self-treat insulin reactions, protect feet that are numb and have seriously compromised circulation, and accommodate their regimen to changes in blood glucose because of stress or infections.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 staff. Each person who provides services shall be determined to be competent to provide the services by reason of education, training and experience. Professional disciplines which must be represented on the staff, either through employment by the facility (full-time or part-time), contract or referral, are a physician (M.D. or D.O.), a registered nurse, a registered dietitian and a licensed pharmacist.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The person must have Type I or Type II diabetes.</w:t>
      </w:r>
    </w:p>
    <w:p>
      <w:pPr>
        <w:spacing w:before="0" w:after="0"/>
        <w:ind w:left="120"/>
        <w:jc w:val="both"/>
      </w:pPr>
      <w:r>
        <w:rPr>
          <w:rFonts w:ascii="Times New Roman" w:hAnsi="Times New Roman"/>
          <w:b w:val="false"/>
          <w:i w:val="false"/>
          <w:color w:val="000000"/>
          <w:sz w:val="22"/>
        </w:rPr>
        <w:t>The person must be referred by the attending physician.</w:t>
      </w:r>
    </w:p>
    <w:p>
      <w:pPr>
        <w:spacing w:before="0" w:after="0"/>
        <w:ind w:left="120"/>
        <w:jc w:val="both"/>
      </w:pPr>
      <w:r>
        <w:rPr>
          <w:rFonts w:ascii="Times New Roman" w:hAnsi="Times New Roman"/>
          <w:b w:val="false"/>
          <w:i w:val="false"/>
          <w:color w:val="000000"/>
          <w:sz w:val="22"/>
        </w:rPr>
        <w:t>The person shall demonstrate an ability to follow through with self-management.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Health assessment. An individualized and documented assessment of needs shall be developed with the patient’s participation. Follow-up assessments, planning and identification of problems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Restrictions and limitations on payment. Medicaid will pay for a diabetic self-management education program. Diabetic education programs will include follow-up assessments at 3 and 12 months without 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Pulmonary rehabilitation is an individually tailored, multidisciplinary program through which accurate diagnosis, therapy, emotional support, and education stabilizes or reverses both the physio- and psychopathology of pulmonary diseases and attempts to return the patient to the highest possible functional capacity allowed by the pulmonary handicap and overall life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which must be represented by the diagnostic and treatment staff, either through employment by the facility (full-time or part-time), contract, or referral, are a physician (doctor of medicine or osteopathy), a respiratory therapist, a licensed physical therapist, and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must occur initially, including:</w:t>
      </w:r>
    </w:p>
    <w:p>
      <w:pPr>
        <w:spacing w:before="0" w:after="0"/>
        <w:ind w:left="120"/>
        <w:jc w:val="both"/>
      </w:pPr>
      <w:r>
        <w:rPr>
          <w:rFonts w:ascii="Times New Roman" w:hAnsi="Times New Roman"/>
          <w:b w:val="false"/>
          <w:i w:val="false"/>
          <w:color w:val="000000"/>
          <w:sz w:val="22"/>
        </w:rPr>
        <w:t>A diagnostic workup which entails proper identification of the patient’s specific respiratory ailment, appropriate pulmonary function studies, a chest radiograph, an electrocardiogram and, when indicated, arterial blood gas measurements at rest and during exercise, sputum analysis and blood theophylline measurements.</w:t>
      </w:r>
    </w:p>
    <w:p>
      <w:pPr>
        <w:spacing w:before="0" w:after="0"/>
        <w:ind w:left="120"/>
        <w:jc w:val="both"/>
      </w:pPr>
      <w:r>
        <w:rPr>
          <w:rFonts w:ascii="Times New Roman" w:hAnsi="Times New Roman"/>
          <w:b w:val="false"/>
          <w:i w:val="false"/>
          <w:color w:val="000000"/>
          <w:sz w:val="22"/>
        </w:rPr>
        <w:t>Behavioral considerations include emotional screening assessments and treatment or counseling when required, estimating the patient’s learning skills and adjusting the program to the patient’s ability, assessing family and social support, potential employment skills, employment opportunities, and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Criteria include a patient’s being diagnosed and symptomatic of chronic obstructive pulmonary disease (COPD), having cardiac stability, social, family, and financial resources, ability to tolerate periods of sitting time; and being a nonsmoker for six months, or if a smoker, willingness to quit and a physician’s order to participate anyway.</w:t>
      </w:r>
    </w:p>
    <w:p>
      <w:pPr>
        <w:spacing w:before="0" w:after="0"/>
        <w:ind w:left="120"/>
        <w:jc w:val="both"/>
      </w:pPr>
      <w:r>
        <w:rPr>
          <w:rFonts w:ascii="Times New Roman" w:hAnsi="Times New Roman"/>
          <w:b w:val="false"/>
          <w:i w:val="false"/>
          <w:color w:val="000000"/>
          <w:sz w:val="22"/>
        </w:rPr>
        <w:t>Factors which would make a person ineligible include acute or chronic illness that may interfere with rehabilitation, any illness or disease state that affects comprehension or retention of information, a strong history of medical noncompliance, unstable cardiac or cardiovascular problems, and orthopedic difficulties that would prohibit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Individualized long- and short-term goals will be developed for each patient. The treatment goals will be based on the problems and needs identified in the assessment and specify the regular times at which the plan will be reassessed.</w:t>
      </w:r>
    </w:p>
    <w:p>
      <w:pPr>
        <w:spacing w:before="0" w:after="0"/>
        <w:ind w:left="120"/>
        <w:jc w:val="both"/>
      </w:pPr>
      <w:r>
        <w:rPr>
          <w:rFonts w:ascii="Times New Roman" w:hAnsi="Times New Roman"/>
          <w:b w:val="false"/>
          <w:i w:val="false"/>
          <w:color w:val="000000"/>
          <w:sz w:val="22"/>
        </w:rPr>
        <w:t>The patients and their families need to help determine and fully understand the goals, so that they realistically approach the treatment phase.</w:t>
      </w:r>
    </w:p>
    <w:p>
      <w:pPr>
        <w:spacing w:before="0" w:after="0"/>
        <w:ind w:left="120"/>
        <w:jc w:val="both"/>
      </w:pPr>
      <w:r>
        <w:rPr>
          <w:rFonts w:ascii="Times New Roman" w:hAnsi="Times New Roman"/>
          <w:b w:val="false"/>
          <w:i w:val="false"/>
          <w:color w:val="000000"/>
          <w:sz w:val="22"/>
        </w:rPr>
        <w:t>Patients are reassessed to determine current clinical problems, needs, and responses to treatment. Changes in treatment are documented.</w:t>
      </w:r>
    </w:p>
    <w:p>
      <w:pPr>
        <w:spacing w:before="0" w:after="0"/>
        <w:ind w:left="120"/>
        <w:jc w:val="both"/>
      </w:pPr>
      <w:r>
        <w:rPr>
          <w:rFonts w:ascii="Times New Roman" w:hAnsi="Times New Roman"/>
          <w:b w:val="false"/>
          <w:i w:val="false"/>
          <w:color w:val="000000"/>
          <w:sz w:val="22"/>
        </w:rPr>
        <w:t>Components of pulmonary rehabilitation to be included are physical therapy and relaxation techniques, exercise conditioning or physical conditioning for those with exercise limitations, respiratory therapy, education, an emphasis on the importance of smoking cessation, and nutritional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Ongoing care will generally be the responsibility of the primary care physician. Periodic reassessment will be conducted to evaluate progress and allow for educational reinforcement.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25 treatment days. Payment beyond 25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Payment will be made for persons aged 20 and under for nutritional counseling provided by a licensed dietitian employed by or under contract with a hospital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6222C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441—78.32</w:t>
      </w:r>
      <w:r>
        <w:rPr>
          <w:rFonts w:ascii="Times New Roman" w:hAnsi="Times New Roman"/>
          <w:b/>
          <w:i w:val="false"/>
          <w:color w:val="000000"/>
          <w:sz w:val="22"/>
        </w:rPr>
        <w:t xml:space="preserve">(249A) </w:t>
      </w:r>
      <w:r>
        <w:rPr>
          <w:rFonts w:ascii="Times New Roman" w:hAnsi="Times New Roman"/>
          <w:b/>
          <w:i w:val="false"/>
          <w:color w:val="000000"/>
          <w:sz w:val="22"/>
        </w:rPr>
        <w:t xml:space="preserve">Area education agencies. </w:t>
      </w:r>
      <w:r>
        <w:rPr>
          <w:rFonts w:ascii="Times New Roman" w:hAnsi="Times New Roman"/>
          <w:b w:val="false"/>
          <w:i w:val="false"/>
          <w:color w:val="000000"/>
          <w:sz w:val="22"/>
        </w:rPr>
        <w:t>Payment will be made for physical therapy, occupational therapy, psychological evaluations and counseling, psychotherapy, speech-language therapy, and audiological, nursing, and vision services provided by an area education agency (AEA). Services shall be provided directly by the AEA or through contractual arrangement with the AEA.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441—78.33</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w:t>
      </w:r>
      <w:r>
        <w:rPr>
          <w:rFonts w:ascii="Times New Roman" w:hAnsi="Times New Roman"/>
          <w:b w:val="false"/>
          <w:i w:val="false"/>
          <w:color w:val="000000"/>
          <w:sz w:val="22"/>
        </w:rPr>
        <w:t xml:space="preserve">Payment will be approved for targeted case management services that are provided pursuant to </w:t>
      </w:r>
      <w:hyperlink r:id="rId329">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Members who are 18 years of age or over and have a primary diagnosis of intellectual disability, developmental disabilities, or chronic mental illness as defined in rule </w:t>
      </w:r>
      <w:hyperlink r:id="rId330">
        <w:r>
          <w:rPr>
            <w:rStyle w:val="Hyperlink"/>
            <w:rFonts w:ascii="Times New Roman" w:hAnsi="Times New Roman"/>
            <w:b w:val="false"/>
            <w:i w:val="false"/>
            <w:color w:val="000000"/>
            <w:sz w:val="22"/>
          </w:rPr>
          <w:t>441—90.1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who are under 18 years of age and are receiving services under the HCBS intellectual disability waiver or children’s mental health waiver.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9588B</w:t>
      </w:r>
      <w:r>
        <w:rPr>
          <w:rFonts w:ascii="Times New Roman" w:hAnsi="Times New Roman"/>
          <w:b w:val="false"/>
          <w:i w:val="false"/>
          <w:color w:val="000000"/>
          <w:sz w:val="16"/>
        </w:rPr>
        <w:t>, IAB 6/29/11,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0848C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441—78.34</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health and disability waiver services. </w:t>
      </w:r>
      <w:r>
        <w:rPr>
          <w:rFonts w:ascii="Times New Roman" w:hAnsi="Times New Roman"/>
          <w:b w:val="false"/>
          <w:i w:val="false"/>
          <w:color w:val="000000"/>
          <w:sz w:val="22"/>
        </w:rPr>
        <w:t xml:space="preserve">Payment will be approved for the following services to members eligible for HCBS health and disability waiver services as established in </w:t>
      </w:r>
      <w:hyperlink r:id="rId33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78.34(2)</w:t>
      </w:r>
      <w:r>
        <w:rPr>
          <w:rFonts w:ascii="Times New Roman" w:hAnsi="Times New Roman"/>
          <w:b w:val="false"/>
          <w:i w:val="false"/>
          <w:color w:val="000000"/>
          <w:sz w:val="22"/>
        </w:rPr>
        <w:t> </w:t>
      </w:r>
      <w:r>
        <w:rPr>
          <w:rFonts w:ascii="Times New Roman" w:hAnsi="Times New Roman"/>
          <w:b w:val="false"/>
          <w:i/>
          <w:color w:val="000000"/>
          <w:sz w:val="22"/>
        </w:rPr>
        <w:t xml:space="preserve">Home health services. </w:t>
      </w:r>
      <w:r>
        <w:rPr>
          <w:rFonts w:ascii="Times New Roman" w:hAnsi="Times New Roman"/>
          <w:b w:val="false"/>
          <w:i w:val="false"/>
          <w:color w:val="000000"/>
          <w:sz w:val="22"/>
        </w:rPr>
        <w:t xml:space="preserve">Home health services are personal or direct care services provided to the client which are not payable under Medicaid as set forth in rule </w:t>
      </w:r>
      <w:hyperlink r:id="rId333">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Components of the service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ordered by the physician which are ordinarily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Accompaniment to medical services or transport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some cases, a nurse may provide home health services if the health of the client is such that the agency is unable to place an aide in that situation due to limitations by state law or in the event that the agency’s Medicare certification requirements prohibit the aide from providing the service. It is not permitted for the convenience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Skilled nursing care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78.34(3)</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which are included in the plan of treatment approved by the physician and which are provided by licensed nurses to consumers in the home and community. The services shall be reasonable and necessary to the treatment of an illness or injury and include all nursing tasks recognized by the Iowa board of nursing.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3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3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78.34(6)</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services provided to the member and caregiver by a mental health professional as defined in rule </w:t>
      </w:r>
      <w:hyperlink r:id="rId336">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78.34(7)</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37">
        <w:r>
          <w:rPr>
            <w:rStyle w:val="Hyperlink"/>
            <w:rFonts w:ascii="Times New Roman" w:hAnsi="Times New Roman"/>
            <w:b w:val="false"/>
            <w:i w:val="false"/>
            <w:color w:val="000000"/>
            <w:sz w:val="22"/>
          </w:rPr>
          <w:t>78.34(7)</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38">
        <w:r>
          <w:rPr>
            <w:rStyle w:val="Hyperlink"/>
            <w:rFonts w:ascii="Times New Roman" w:hAnsi="Times New Roman"/>
            <w:b w:val="false"/>
            <w:i w:val="false"/>
            <w:color w:val="000000"/>
            <w:sz w:val="22"/>
          </w:rPr>
          <w:t>78.34(7)</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39">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340">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4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78.34(8)</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342">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343">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44">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78.34(10)</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78.34(11)</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that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78.34(13)</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(CCO) provides a member with a flexible monthly individual budget that is based on the member’s service needs. With the individual budget, the member shall have the authority to purchase goods and services to meet the member’s assessed needs and may choose to employ providers of services and supports. The services, supports, and items that are purchased with an individual budget must be directly related to a member’s assessed need or goal established in the member’s service plan. The consumer choices option is available to any member receiving the AIDS/HIV, brain injury, elderly, health and disability, intellectual disability, or physical disability waiver programs who has the ability and desire to perform all budget authority tasks identified in paragraph 78.34(13)</w:t>
      </w:r>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78.34(13)</w:t>
      </w:r>
      <w:r>
        <w:rPr>
          <w:rFonts w:ascii="Times New Roman" w:hAnsi="Times New Roman"/>
          <w:b w:val="false"/>
          <w:i/>
          <w:color w:val="000000"/>
          <w:sz w:val="22"/>
        </w:rPr>
        <w:t>“h,”</w:t>
      </w:r>
      <w:r>
        <w:rPr>
          <w:rFonts w:ascii="Times New Roman" w:hAnsi="Times New Roman"/>
          <w:b w:val="false"/>
          <w:i w:val="false"/>
          <w:color w:val="000000"/>
          <w:sz w:val="22"/>
        </w:rPr>
        <w:t xml:space="preserve"> or who delegates the budget or employer authority tasks identified in paragraph 78.34(13)</w:t>
      </w:r>
      <w:r>
        <w:rPr>
          <w:rFonts w:ascii="Times New Roman" w:hAnsi="Times New Roman"/>
          <w:b w:val="false"/>
          <w:i/>
          <w:color w:val="000000"/>
          <w:sz w:val="22"/>
        </w:rPr>
        <w:t>“i.”</w:t>
      </w:r>
      <w:r>
        <w:rPr>
          <w:rFonts w:ascii="Times New Roman" w:hAnsi="Times New Roman"/>
          <w:b w:val="false"/>
          <w:i w:val="false"/>
          <w:color w:val="000000"/>
          <w:sz w:val="22"/>
        </w:rPr>
        <w:t xml:space="preserve"> Components of this service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As a condition of participating in the consumer choices option, a member shall sign Form 470-4289, HCBS Consumer Choices Informed Consent and Risk Agreement, to document that the member has been informed of the responsibilities and risks of electing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budget amount. </w:t>
      </w:r>
      <w:r>
        <w:rPr>
          <w:rFonts w:ascii="Times New Roman" w:hAnsi="Times New Roman"/>
          <w:b w:val="false"/>
          <w:i w:val="false"/>
          <w:color w:val="000000"/>
          <w:sz w:val="22"/>
        </w:rPr>
        <w:t>A monthly individual budget amount shall be established for each member based on the assessed needs of the member and based on the services and supports authorized in the member’s service plan. The member shall be informed of the individual budget amount during the development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health and disability waiver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elderly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Chore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Senior companion.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AIDS/HIV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Homemaker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intellectual disability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brain injury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individual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physical disability waiver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Consumer-directed attendant care (unskilled).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determine an average unit cost for each service listed in subparagraphs 78.34(13)</w:t>
      </w:r>
      <w:r>
        <w:rPr>
          <w:rFonts w:ascii="Times New Roman" w:hAnsi="Times New Roman"/>
          <w:b w:val="false"/>
          <w:i/>
          <w:color w:val="000000"/>
          <w:sz w:val="22"/>
        </w:rPr>
        <w:t>“b”</w:t>
      </w:r>
      <w:r>
        <w:rPr>
          <w:rFonts w:ascii="Times New Roman" w:hAnsi="Times New Roman"/>
          <w:b w:val="false"/>
          <w:i w:val="false"/>
          <w:color w:val="000000"/>
          <w:sz w:val="22"/>
        </w:rPr>
        <w:t>(1) to (6) based on actual unit costs from the previous fiscal year plus a cost-of-living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 aggregate, costs for individual budget services shall not exceed the current costs of waiver program services. In order to maintain cost neutrality, the department shall apply a utilization adjustment factor to the amount of service authorized in the member’s service plan before calculating the value of that service to be included in the individual budget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compute the utilization adjustment factor for each service by dividing the net costs of all claims paid for the service by the total of the authorized costs for that service, using at least 12 consecutive months of aggregate service data. The utilization adjustment factor shall be no lower than 60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Individual budgets for respite services shall be computed based on the average cost for services identified in subparagraph 78.34(13)</w:t>
      </w:r>
      <w:r>
        <w:rPr>
          <w:rFonts w:ascii="Times New Roman" w:hAnsi="Times New Roman"/>
          <w:b w:val="false"/>
          <w:i/>
          <w:color w:val="000000"/>
          <w:sz w:val="22"/>
        </w:rPr>
        <w:t>“b”</w:t>
      </w:r>
      <w:r>
        <w:rPr>
          <w:rFonts w:ascii="Times New Roman" w:hAnsi="Times New Roman"/>
          <w:b w:val="false"/>
          <w:i w:val="false"/>
          <w:color w:val="000000"/>
          <w:sz w:val="22"/>
        </w:rPr>
        <w:t>(7). Respite services are not subject to the utilization adjustment factor in subparagraph 78.34(13)</w:t>
      </w:r>
      <w:r>
        <w:rPr>
          <w:rFonts w:ascii="Times New Roman" w:hAnsi="Times New Roman"/>
          <w:b w:val="false"/>
          <w:i/>
          <w:color w:val="000000"/>
          <w:sz w:val="22"/>
        </w:rPr>
        <w:t>“b”</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Anticipated costs for home and vehicle modification, assistive devices, and specialized medical equipment are not subject to the average cost in subparagraph 78.34(13)</w:t>
      </w:r>
      <w:r>
        <w:rPr>
          <w:rFonts w:ascii="Times New Roman" w:hAnsi="Times New Roman"/>
          <w:b w:val="false"/>
          <w:i/>
          <w:color w:val="000000"/>
          <w:sz w:val="22"/>
        </w:rPr>
        <w:t>“b”</w:t>
      </w:r>
      <w:r>
        <w:rPr>
          <w:rFonts w:ascii="Times New Roman" w:hAnsi="Times New Roman"/>
          <w:b w:val="false"/>
          <w:i w:val="false"/>
          <w:color w:val="000000"/>
          <w:sz w:val="22"/>
        </w:rPr>
        <w:t>(7) or the utilization adjustment factor in subparagraph 78.34(13)</w:t>
      </w:r>
      <w:r>
        <w:rPr>
          <w:rFonts w:ascii="Times New Roman" w:hAnsi="Times New Roman"/>
          <w:b w:val="false"/>
          <w:i/>
          <w:color w:val="000000"/>
          <w:sz w:val="22"/>
        </w:rPr>
        <w:t>“b”</w:t>
      </w:r>
      <w:r>
        <w:rPr>
          <w:rFonts w:ascii="Times New Roman" w:hAnsi="Times New Roman"/>
          <w:b w:val="false"/>
          <w:i w:val="false"/>
          <w:color w:val="000000"/>
          <w:sz w:val="22"/>
        </w:rPr>
        <w:t>(8). The anticipated costs may include the costs of the financial management services and the independent support broker when the home and vehicle modification, assistive device, or specialized medical equipment is the only service included in the CCO monthly budget and the total cost for the home and vehicle modification, assistive device, or specialized medical equipment, including the cost of the financial management services and the independent support broker, is approved by the Iowa Medicaid enterprise or managed care organization as the least costly option to meet the member’s need. Costs for the home and vehicle modification, assistive device, or specialized medical equipment may be paid to the financial management services provider in a one-time payment. Before becoming part of the CCO monthly budget, all home and vehicle modifications, assistive device, and specialized medical equipment shall be identified in the member’s service plan and authorized by the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individual budget amount may be changed only at the first of the month and shall remain fixed for the entire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 components. </w:t>
      </w:r>
      <w:r>
        <w:rPr>
          <w:rFonts w:ascii="Times New Roman" w:hAnsi="Times New Roman"/>
          <w:b w:val="false"/>
          <w:i w:val="false"/>
          <w:color w:val="000000"/>
          <w:sz w:val="22"/>
        </w:rPr>
        <w:t xml:space="preserve">To participate in the consumer choices option, a member must hire an independent support broker and must work with a financial management service that is enrolled as a Medicaid provider. Before hiring the independent support broker, the member shall receive the results of the background check conducted pursuant to </w:t>
      </w:r>
      <w:hyperlink r:id="rId345">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Optional service components. </w:t>
      </w:r>
      <w:r>
        <w:rPr>
          <w:rFonts w:ascii="Times New Roman" w:hAnsi="Times New Roman"/>
          <w:b w:val="false"/>
          <w:i w:val="false"/>
          <w:color w:val="000000"/>
          <w:sz w:val="22"/>
        </w:rPr>
        <w:t>A member who elects the consumer choices option may purchase the following goods, services and supports, which shall be provided in the member’s home or at an integrated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Self-directed personal care services. Self-directed personal care services are services that provide a range of assistance in activities of daily living and incidental activities of daily living that help the member remain in the home and community.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Self-directed community supports and employment. Self-directed community supports and employment are services that support the member in developing and maintaining independence and community integration.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Individual-directed goods and services. Individual-directed goods and services are services, equipment, or supplies not otherwise provided through the Medicaid program that address an assessed need or goal identified in the member’s service plan. The item or service shall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Promote opportunities for community living and inclusion.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Increase independence or substitute for human assistance, to the extent the expenditures would otherwise be made for that human assistance.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accommodated within the member’s budget without compromising the member’s health and safety.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provided to the member or directed exclusively toward the benefit of the member.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the least costly to meet the member’s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Not be available through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Development of the individual budget. </w:t>
      </w:r>
      <w:r>
        <w:rPr>
          <w:rFonts w:ascii="Times New Roman" w:hAnsi="Times New Roman"/>
          <w:b w:val="false"/>
          <w:i w:val="false"/>
          <w:color w:val="000000"/>
          <w:sz w:val="22"/>
        </w:rPr>
        <w:t>The independent support broker shall assist the member in developing and implementing the member’s individual budget. The individual budget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of the independent support broker. The independent support broker may be compensated for up to 6 hours of service for assisting with the implementation of the initial individual budget. The independent support broker shall not be paid for more than 30 hours of service for an individual member during a 12-month period without prior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any optional service component chosen by the member as described in paragraph </w:t>
      </w:r>
      <w:hyperlink r:id="rId346">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At a minimum, the CCO monthly budget must include the purchase of self-directed personal care, individual-directed goods and services, or self-directed community supports and services needed to meet the amount of service authorized for use in CCO identified in the member’s service plan. After funds have been budgeted to meet the identified needs, remaining funds from the monthly budget amount may be used to purchase additional self-directed personal care, individual-directed goods and services, or self-directed community supports and services as allowed by the monthly budget. The additional self-directed personal care, individual-directed goods and services, or self-directed community supports and services may exceed the amount of service or supports authorized in the member’s service plan. Costs of the following items and services shall not be covered by the individual budget: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Clothing not related to an assessed medical need.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Conference, meeting or similar venue expenses other than the costs of approved services the member needs while attending the conference, meeting or similar venue.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Costs associated with shipping items to the member.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Experimental and non-FDA-approved medications, therapies, or treatments.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Goods or services covered by other Medicaid programs.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Home furnishings.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Home repairs or home maintenance.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Homeopathic treatments.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Insurance premiums or copayments.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Items purchased on installment payments.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Motorized vehicles.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Nutritional supplements.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Personal entertainment items.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Repairs and maintenance of motor vehicles.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Room and board, including rent or mortgage payments.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School tuition.</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Service animals.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Services covered by third parties or services that are the responsibility of a non-Medicaid program.</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Sheltered workshop services.</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Social or recreational purchases not related to an assessed need or goal identified in the member’s service plan.</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Vacation expenses, other than the costs of approved services the member needs while on vacation.</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 xml:space="preserve">Services provided in the family home by a parent, stepparent, legal representative, sibling, or stepsibling during overnight sleeping hours unless the parent, stepparent, legal representative, sibling, or stepsibling is awake and actively providing direct services as authorized in the member’s service plan. </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Residential services provided to three or more members living in the same residential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of any approved home or vehicle modification, assistive device, or specialized medical equipment. When authorized, the budget may include an amount allocated for a home or vehicle modification, an assistive device, or specialized medical equipment. Before becoming part of the individual budget, all home and vehicle modifications, assistive devices, and specialized medical equipment shall be identified in the member’s service plan and approved by the case manager or community-based case manager. The authorized amount shall not be used for anything other than the specific modification, assistive device, or specialized medical equipment, as identified in subparagraph 78.34(13)</w:t>
      </w:r>
      <w:r>
        <w:rPr>
          <w:rFonts w:ascii="Times New Roman" w:hAnsi="Times New Roman"/>
          <w:b w:val="false"/>
          <w:i/>
          <w:color w:val="000000"/>
          <w:sz w:val="22"/>
        </w:rPr>
        <w:t>“b”</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set aside in a savings plan to reserve funds for the future purchase of self-directed personal care, individual-directed goods and services, or self-directed community supports and services as defined in paragraph </w:t>
      </w:r>
      <w:hyperlink r:id="rId347">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savings plan shall meet the requirements in paragraph </w:t>
      </w:r>
      <w:hyperlink r:id="rId348">
        <w:r>
          <w:rPr>
            <w:rStyle w:val="Hyperlink"/>
            <w:rFonts w:ascii="Times New Roman" w:hAnsi="Times New Roman"/>
            <w:b w:val="false"/>
            <w:i w:val="false"/>
            <w:color w:val="000000"/>
            <w:sz w:val="22"/>
          </w:rPr>
          <w:t>78.34(13)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Savings plan. </w:t>
      </w:r>
      <w:r>
        <w:rPr>
          <w:rFonts w:ascii="Times New Roman" w:hAnsi="Times New Roman"/>
          <w:b w:val="false"/>
          <w:i w:val="false"/>
          <w:color w:val="000000"/>
          <w:sz w:val="22"/>
        </w:rPr>
        <w:t>A member savings plan must be in writing and be approved before the start of the savings plan by the department for fee-for-service members or by the member’s managed care organization for members in managed care. Budget amounts allocated to the savings plan must result from efficiencies in meeting the member’s service needs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savings plan shall identify: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goods, services, supports or supplies to be purchased through the savings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amount of the individual budget allocated each month to the savings plan.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the individual budget allocated each month to meet the member’s identified service needs.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How the member’s assessed needs will continue to be met through the individual budget when funds are placed in savings.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Specific time spans for accumulating the savings allocation, not to exceed the member’s current service plan year end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the exception of funds allocated for respite care, the savings plan shall not include funds budgeted for direct services or supports that were not received. Funds from unused respite services may be allocated to the savings plan but shall not be used for anything other than future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Funds allocated to a savings plan may be used to purchase additional self-directed personal care, individual-directed goods and services, or self-directed community supports and services. The additional self-directed personal care, individual-directed goods and services, or self-directed community supports and services included in the monthly budget may exceed the amount of service or supports authorized in the member’s service plan. The self-directed personal care, individual-directed goods and services, or self-directed community supports and services purchased with funds from a savings plan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used to meet a member’s identified need,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medically necessary,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approved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funds allocated to a savings plan to purchase additional self-directed personal care, individual-directed goods and services, or self-directed community supports and services must be used during the member’s waiver year in which the saving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annual reassessment of a member’s needs must take into account the purchases of goods and services that substitute for human assistance. Adjustments shall be made to the services used to determine the individual budget based on the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Budget authority. </w:t>
      </w:r>
      <w:r>
        <w:rPr>
          <w:rFonts w:ascii="Times New Roman" w:hAnsi="Times New Roman"/>
          <w:b w:val="false"/>
          <w:i w:val="false"/>
          <w:color w:val="000000"/>
          <w:sz w:val="22"/>
        </w:rPr>
        <w:t>The member shall have authority over the individual budget authorized by the department or managed care organization to perform the following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Contract with entities to provide services and supports as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the amount to be paid for services. Reimbursement rates for employees shall be consistent with employee reimbursement rates or the prevailing wages paid by others in the community for the same or substantially similar services. Reimbursement rates for the independent support broker and the financial management service are subject to the limits in </w:t>
      </w:r>
      <w:hyperlink r:id="rId34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Schedule the provision of services. A contingency plan must be established in the member’s service plan to ensure service delivery in the event the member’s employee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Authorize payment for optional service components identified in the individual budget. When the member’s guardian or legal representative is a paid employee, payment authorization for optional service components must be delegated to a representative pursuant to paragraph 78.34(13)</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Reallocate funds among services included in the budget. Every purchase of a good or service must be identified and approved in the individual budget before the purchase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Employer authority. </w:t>
      </w:r>
      <w:r>
        <w:rPr>
          <w:rFonts w:ascii="Times New Roman" w:hAnsi="Times New Roman"/>
          <w:b w:val="false"/>
          <w:i w:val="false"/>
          <w:color w:val="000000"/>
          <w:sz w:val="22"/>
        </w:rPr>
        <w:t>The member shall have the authority to be the common-law employer of employees providing services and support under the CCO. A common-law employer has the right to direct and control the performance of the services. If the member is a child, the parent or the legal representative shall be responsible for completing all employer authority tasks. Adult members who do not have the ability to complete all employer authority tasks shall have a representative delegated to complete the employer authority tasks identified in this paragraph. Documentation of the person responsible for the employer authority tasks, whether the member or another entity, shall be included in the member’s service plan. The member or the delegated employer authority may perform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 and hire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additional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employee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Determine employee wages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Schedule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Train and supervise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Delegation of budget and employer authority. </w:t>
      </w:r>
      <w:r>
        <w:rPr>
          <w:rFonts w:ascii="Times New Roman" w:hAnsi="Times New Roman"/>
          <w:b w:val="false"/>
          <w:i w:val="false"/>
          <w:color w:val="000000"/>
          <w:sz w:val="22"/>
        </w:rPr>
        <w:t>The member may delegate responsibilities for the individual budget or employer authority functions to a representative. If the member is a child, the parent or the legal representative shall be delegated all budget and employer authority tasks. Adult members aged 18 and older who do not have the ability to complete all budget or employer authority tasks shall have a representative delegated to complete the applicable budget authority tasks identified in paragraph 78.34(13)</w:t>
      </w:r>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78.34(13)</w:t>
      </w:r>
      <w:r>
        <w:rPr>
          <w:rFonts w:ascii="Times New Roman" w:hAnsi="Times New Roman"/>
          <w:b w:val="false"/>
          <w:i/>
          <w:color w:val="000000"/>
          <w:sz w:val="22"/>
        </w:rPr>
        <w:t>“h.”</w:t>
      </w:r>
      <w:r>
        <w:rPr>
          <w:rFonts w:ascii="Times New Roman" w:hAnsi="Times New Roman"/>
          <w:b w:val="false"/>
          <w:i w:val="false"/>
          <w:color w:val="000000"/>
          <w:sz w:val="22"/>
        </w:rPr>
        <w:t xml:space="preserve"> Documentation of the person responsible for the budget and employer authority tasks, whether the member or a representative, shall be included in the member’s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representative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a current provider of service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shall sign a consent form that designates who the member has chosen as a representative and the responsibilities of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paid for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Employment agreement. </w:t>
      </w:r>
      <w:r>
        <w:rPr>
          <w:rFonts w:ascii="Times New Roman" w:hAnsi="Times New Roman"/>
          <w:b w:val="false"/>
          <w:i w:val="false"/>
          <w:color w:val="000000"/>
          <w:sz w:val="22"/>
        </w:rPr>
        <w:t>Any person employed by the member to provide services under the consumer choices option shall sign an employment agreement with the member that outlines the employee’s and member’s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independent support broker. </w:t>
      </w:r>
      <w:r>
        <w:rPr>
          <w:rFonts w:ascii="Times New Roman" w:hAnsi="Times New Roman"/>
          <w:b w:val="false"/>
          <w:i w:val="false"/>
          <w:color w:val="000000"/>
          <w:sz w:val="22"/>
        </w:rPr>
        <w:t>The independent support broker shall perform the following services as directed by the member or the member’s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the member’s initial and subsequent individual budgets and with making any changes to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monthly contact with the member for the first four months of implementation of the initial individual budget and have, at a minimum, quarterly contact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the required employment packet with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 with interviewing potential employees and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determining whether a potential employee meets the qualifications necessary to perform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obtaining a signed consent from a potential employee to conduct background checks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negotiating with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contracts and payment methods for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an emergency backup plan. The emergency backup plan shall address any health and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Review expenditure reports from the financial management service to ensure that services and supports in the individual budget are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 in writing on the independent support broker timecard every contact the broker has with the member. Contact documentation shall include information on the extent to which the member’s individual budget has addressed the member’s needs and the satisfaction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financial management service. </w:t>
      </w:r>
      <w:r>
        <w:rPr>
          <w:rFonts w:ascii="Times New Roman" w:hAnsi="Times New Roman"/>
          <w:b w:val="false"/>
          <w:i w:val="false"/>
          <w:color w:val="000000"/>
          <w:sz w:val="22"/>
        </w:rPr>
        <w:t>The financial management service shall perform all of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 Medicaid funds in an electronic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 and pay invoices for approved goods and services included in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 and track the approved individual budget amount authorized each month and document all expenditures as they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real-time individual budget account balances for the member, the independent support broker, and the department, available at a minimum during normal business hours (9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5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criminal background checks on potential employees pursuant to </w:t>
      </w:r>
      <w:hyperlink r:id="rId350">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Verify for the member an employee’s citizenship or alien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fiscal and payroll-related responsibilities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Verifying that hourly wages comply with federal and state labor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Collecting and processing timecards.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Withholding, filing, and paying federal, state and local income taxes, Medicare and Social Security (FICA) taxes, and federal (FUTA) and state (SUTA) unemployment and disability insurance taxes, as applicable.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Computing and processing other withholdings, as applicable.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Processing all judgments, garnishments, tax levies, or other withholding on an employee’s pay as may be required by federal, state, or local laws.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Preparing and issuing employee payroll checks.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Preparing and disbursing IRS Forms W-2 and W-3 annually.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Processing federal advance earned income tax credit for eligible employees.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Refunding over-collected FICA, when appropriate.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Refunding over-collected FUTA,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in completing required federal, state, and local tax and insurance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Establish and manage documents and files for the member and the member’s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 timecards, receipts, and invoices to ensure that they are consistent with the individual budget. Keep records of all timecards and invoices for each member for a total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the independent support broker, and the member monthly and quarterly status reports that include a summary of expenditures paid and amount of budget unused.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Establish an accessible customer service system and a method of communication for the member and the independent support broker that includes alternative communication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Establish a customer services complaint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Develop a policy and procedures manual that is current with state and federal regulations and update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Develop a business continuity plan in the case of emergencies and natural disasters.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an annual independent audit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Assist in implementing the state’s quality management strategy related to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that the financial management service provider withhold payment to any member or member’s employee to offset any overpayment or enforce any sanction placed on the service provider pursuant to rule 441—79.3(249A).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member and the employee. </w:t>
      </w:r>
      <w:r>
        <w:rPr>
          <w:rFonts w:ascii="Times New Roman" w:hAnsi="Times New Roman"/>
          <w:b w:val="false"/>
          <w:i w:val="false"/>
          <w:color w:val="000000"/>
          <w:sz w:val="22"/>
        </w:rPr>
        <w:t>A member participating in the CCO and the member’s employee(s) are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participating in the CCO shall be jointly and severally liable with any of the member’s employees for any overpayment of medical assistance funds used through a CCO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may not employ any person who has been sanctioned, or who is affiliated with a person or an entity that has been sanctioned, under 441—Chapter 79. For purposes of this subparagraph, “sanction” also includes anyone who has been temporarily suspended for a credible allegation of fraud under 42 CFR Part 455. Any CCO funds paid to any employee who or which has been sanctioned is an overpayment that the department shall recoup under 441—Chapter 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employ any person who has been excluded by the Office of the Inspector General of the Department of Health and Human Services under Sections 1128 or 1156 of the Social Security Act and is not eligible to receive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personal care services, employees shall use an electronic visit verification system that captures all documentation requirements of the Consumer Choices Option Semi-Monthly Time Sheet (Form 470-4429) or use Form 470-4429. All other employees shall complete, sign and date Form 470-4429, Consumer Choices Option Semi-Monthly Time Sheet, for each date of service provided to a member. All employees shall maintain documentation that complies with rule </w:t>
      </w:r>
      <w:hyperlink r:id="rId35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Members shall sign, and certify under penalty of perjury, each employee timecard identified in subparagraph 78.34(13)</w:t>
      </w:r>
      <w:r>
        <w:rPr>
          <w:rFonts w:ascii="Times New Roman" w:hAnsi="Times New Roman"/>
          <w:b w:val="false"/>
          <w:i/>
          <w:color w:val="000000"/>
          <w:sz w:val="22"/>
        </w:rPr>
        <w:t>“m”</w:t>
      </w:r>
      <w:r>
        <w:rPr>
          <w:rFonts w:ascii="Times New Roman" w:hAnsi="Times New Roman"/>
          <w:b w:val="false"/>
          <w:i w:val="false"/>
          <w:color w:val="000000"/>
          <w:sz w:val="22"/>
        </w:rPr>
        <w:t>(4) prior to the timecard’s submission to the financial management service provider for payment in order to verify that all information on the submitted timecard accurately describes the amount, duration, and scope of services provided. When timecard information is submitted to the financial management service provider in an electronic format, the member shall retain the signed employee timecard for five years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78.34(14)</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health and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441—78.35</w:t>
      </w:r>
      <w:r>
        <w:rPr>
          <w:rFonts w:ascii="Times New Roman" w:hAnsi="Times New Roman"/>
          <w:b/>
          <w:i w:val="false"/>
          <w:color w:val="000000"/>
          <w:sz w:val="22"/>
        </w:rPr>
        <w:t xml:space="preserve">(249A) </w:t>
      </w:r>
      <w:r>
        <w:rPr>
          <w:rFonts w:ascii="Times New Roman" w:hAnsi="Times New Roman"/>
          <w:b/>
          <w:i w:val="false"/>
          <w:color w:val="000000"/>
          <w:sz w:val="22"/>
        </w:rPr>
        <w:t xml:space="preserve">Occupational therapist services. </w:t>
      </w:r>
      <w:r>
        <w:rPr>
          <w:rFonts w:ascii="Times New Roman" w:hAnsi="Times New Roman"/>
          <w:b w:val="false"/>
          <w:i w:val="false"/>
          <w:color w:val="000000"/>
          <w:sz w:val="22"/>
        </w:rPr>
        <w:t xml:space="preserve">Payment will be approved for the same services provided by an occupational therapist that are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441—78.36</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78.36(1)</w:t>
      </w:r>
      <w:r>
        <w:rPr>
          <w:rFonts w:ascii="Times New Roman" w:hAnsi="Times New Roman"/>
          <w:b w:val="false"/>
          <w:i w:val="false"/>
          <w:color w:val="000000"/>
          <w:sz w:val="22"/>
        </w:rPr>
        <w:t> </w:t>
      </w:r>
      <w:r>
        <w:rPr>
          <w:rFonts w:ascii="Times New Roman" w:hAnsi="Times New Roman"/>
          <w:b w:val="false"/>
          <w:i/>
          <w:color w:val="000000"/>
          <w:sz w:val="22"/>
        </w:rPr>
        <w:t xml:space="preserve">General characteristics. </w:t>
      </w:r>
      <w:r>
        <w:rPr>
          <w:rFonts w:ascii="Times New Roman" w:hAnsi="Times New Roman"/>
          <w:b w:val="false"/>
          <w:i w:val="false"/>
          <w:color w:val="000000"/>
          <w:sz w:val="22"/>
        </w:rPr>
        <w:t>A hospice is a public agency or private organization or a subdivision of either that is primarily engaged in providing care to terminally ill individuals. A hospice provides palliative and supportive services to meet the physical, psychosocial, social and spiritual needs of a terminally ill individual and the individual’s family or other persons caring for the individual regardless of where the individual resides. Hospice services are those services to control pain and provide support to individuals to continue life with as little disruption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Covered services. Covered services shall include, in accordance with Medicare guidelines,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services provided to the terminally ill individual and the individual’s family members or other persons caring for the individual at the individual’s place of residence, including bereavement, dietary, and spiritual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Short-term inpatient care provided in a participating hospice inpatient unit or a participating hospital or nursing facility that additionally meets the special hospice standards regarding staffing and patient areas for pain control, symptom management and respite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appliances and supplies, including drugs and biologicals, as needed for the palliation and management of the individual’s terminal illness and related conditions, except for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Homemaker and home health aide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Physical therapy, occupational therapy and speech-language pathology unless this provision has been waived under the Medicare program for a specific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items or services specified in the resident’s plan that would otherwise be paid under the Medicaid program.</w:t>
      </w:r>
    </w:p>
    <w:p>
      <w:pPr>
        <w:spacing w:before="0" w:after="0"/>
        <w:ind w:left="120"/>
        <w:jc w:val="both"/>
      </w:pPr>
      <w:r>
        <w:rPr>
          <w:rFonts w:ascii="Times New Roman" w:hAnsi="Times New Roman"/>
          <w:b w:val="false"/>
          <w:i w:val="false"/>
          <w:color w:val="000000"/>
          <w:sz w:val="22"/>
        </w:rPr>
        <w:t>Nursing care, medical social services, and counseling are core hospice services and must routinely be provided directly by hospice employees. The hospice may contract with other providers to provide the remaining services. Bereavement counseling, consisting of counseling services provided after the individual’s death to the individual’s family or other persons caring for the individual, is a required hospice service but is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Covered services not related to the terminal illness. In accordance with Medicare guidelines, all medical services related to the terminal illness are the responsibility of the hospice. Services unrelated to the terminal illness are to be billed separately by the respective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duties performed by the medical director, any hospice-employed physician, or any consulting physician are included in the normal hospice rates. Patient care provided by the medical director, hospice-employed physician, attending physician, or consulting physician is separately reimbursable. Payment to the attending or consulting physician includes other partners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provided by a hospice other than the hospice designated by the individual unless provided under arrangements made by the designated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AZT (Retrovir) and other curative antiviral drugs targeted at the human immunodeficiency virus for the treatment of AIDS.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78.36(2)</w:t>
      </w:r>
      <w:r>
        <w:rPr>
          <w:rFonts w:ascii="Times New Roman" w:hAnsi="Times New Roman"/>
          <w:b w:val="false"/>
          <w:i w:val="false"/>
          <w:color w:val="000000"/>
          <w:sz w:val="22"/>
        </w:rPr>
        <w:t> </w:t>
      </w:r>
      <w:r>
        <w:rPr>
          <w:rFonts w:ascii="Times New Roman" w:hAnsi="Times New Roman"/>
          <w:b w:val="false"/>
          <w:i/>
          <w:color w:val="000000"/>
          <w:sz w:val="22"/>
        </w:rPr>
        <w:t xml:space="preserve">Categories of care. </w:t>
      </w:r>
      <w:r>
        <w:rPr>
          <w:rFonts w:ascii="Times New Roman" w:hAnsi="Times New Roman"/>
          <w:b w:val="false"/>
          <w:i w:val="false"/>
          <w:color w:val="000000"/>
          <w:sz w:val="22"/>
        </w:rPr>
        <w:t>Hospice care entails the following four categories of daily care. Guidelines for core and other services must be adhered to for all categories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home care is care provided in the place of residence that is not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Continuous home care is provided only during a period of crisis when an individual requires continuous care which is primarily nursing care to achieve palliation or management of acute medical symptoms. Nursing care must be provided by either a registered nurse or a licensed practical nurse and a nurse must be providing care for more than half of the period of care. A minimum of eight hours of care per day must be provided during a 24-hour day to qualify as continuous care. Homemaker and aide services may also be provided to supplement the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Inpatient respite care is provided to the individual only when necessary to relieve the family members or other persons caring for the individual at home. Respite care may be provided only on an occasional basis and may not be reimbursed for more than five consecutive days at a time. Respite care may not be provided when the individual is a resident of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inpatient care is provided in periods of acute medical crisis when the individual is hospitalized or in a participating hospice inpatient unit or nursing facility for pain control or acute or chronic symptom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78.36(3)</w:t>
      </w:r>
      <w:r>
        <w:rPr>
          <w:rFonts w:ascii="Times New Roman" w:hAnsi="Times New Roman"/>
          <w:b w:val="false"/>
          <w:i w:val="false"/>
          <w:color w:val="000000"/>
          <w:sz w:val="22"/>
        </w:rPr>
        <w:t> </w:t>
      </w:r>
      <w:r>
        <w:rPr>
          <w:rFonts w:ascii="Times New Roman" w:hAnsi="Times New Roman"/>
          <w:b w:val="false"/>
          <w:i/>
          <w:color w:val="000000"/>
          <w:sz w:val="22"/>
        </w:rPr>
        <w:t xml:space="preserve">Residence in a nursing facility. </w:t>
      </w:r>
      <w:r>
        <w:rPr>
          <w:rFonts w:ascii="Times New Roman" w:hAnsi="Times New Roman"/>
          <w:b w:val="false"/>
          <w:i w:val="false"/>
          <w:color w:val="000000"/>
          <w:sz w:val="22"/>
        </w:rPr>
        <w:t>For purposes of the Medicaid hospice benefit, a nursing facility can be considered the residence of a beneficiary. When the person does reside in a nursing facility, the requirement that the care of a resident of a nursing facility must be provided under the immediate direction of either the facility or the resident’s personal physician does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has elected to receive hospice services under the Medicaid program from a Medicaid-enrolled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nursing facility and the Medicaid-enrolled hospice program have entered into a written agreement under which the hospice program takes full responsibility for the professional management of the resident’s hospice care and the facility agrees to provide room and board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78.36(4)</w:t>
      </w:r>
      <w:r>
        <w:rPr>
          <w:rFonts w:ascii="Times New Roman" w:hAnsi="Times New Roman"/>
          <w:b w:val="false"/>
          <w:i w:val="false"/>
          <w:color w:val="000000"/>
          <w:sz w:val="22"/>
        </w:rPr>
        <w:t> </w:t>
      </w:r>
      <w:r>
        <w:rPr>
          <w:rFonts w:ascii="Times New Roman" w:hAnsi="Times New Roman"/>
          <w:b w:val="false"/>
          <w:i/>
          <w:color w:val="000000"/>
          <w:sz w:val="22"/>
        </w:rPr>
        <w:t xml:space="preserve">Approval for hospice benefits. </w:t>
      </w:r>
      <w:r>
        <w:rPr>
          <w:rFonts w:ascii="Times New Roman" w:hAnsi="Times New Roman"/>
          <w:b w:val="false"/>
          <w:i w:val="false"/>
          <w:color w:val="000000"/>
          <w:sz w:val="22"/>
        </w:rPr>
        <w:t>Payment will be approved for hospice services to individuals who are certified as terminally ill, that is, the individuals have a medical prognosis that their life expectancy is six months or less if the illness runs its normal course, and who elect hospice care rather than active treatment for the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Physician certification process. </w:t>
      </w:r>
      <w:r>
        <w:rPr>
          <w:rFonts w:ascii="Times New Roman" w:hAnsi="Times New Roman"/>
          <w:b w:val="false"/>
          <w:i w:val="false"/>
          <w:color w:val="000000"/>
          <w:sz w:val="22"/>
        </w:rPr>
        <w:t>The hospice must obtain certification that an individual is terminally ill in accordance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hospice may obtain verbal orders to initiate hospice service from the medical director of the hospice or the physician member of the hospice interdisciplinary group and by the individual’s attending physician (if the individual has an attending physician). The verbal order shall be noted in the patient’s record. The verbal order must be given within two days of the start of care and be followed up in writing no later than eight calendar days after hospice care is initiated.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verbal orders are not secured, the hospice must obtain, no later than two calendar days after hospice care is initiated, written certification signed by the medical director of the hospice or the physician member of the hospice interdisciplinary group and by the individual’s attending physician (if the individual has an attending physician).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benefit periods consist of up to two periods of 90 days each and an unlimited number of subsequent 60-day periods as elected by the individual. The medical director or a physician must recertify at the beginning of each benefit period that the individual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procedures. </w:t>
      </w:r>
      <w:r>
        <w:rPr>
          <w:rFonts w:ascii="Times New Roman" w:hAnsi="Times New Roman"/>
          <w:b w:val="false"/>
          <w:i w:val="false"/>
          <w:color w:val="000000"/>
          <w:sz w:val="22"/>
        </w:rPr>
        <w:t>Individuals who are dually eligible for Medicare and Medicaid must receive hospice coverage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Election statement. An individual, or individual’s representative, elects to receive the hospice benefit by filing an election statement, Form 470-2618, Election of Medicaid Hospice Benefit, or a Medicare election of hospice benefit form, with a particular hospice. The hospice may provide the individual with another election form to use provided the form includes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Identification of the hospice that will provide the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Acknowledgment that the recipient has been given a full understanding of hospice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Acknowledgment that the recipient waives the right to regular Medicaid benefits, except for payment to the regular physician and treatment for medical conditions unrelated to the terminal illness.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Acknowledgment that recipients are not responsible for copayment or other deductibles.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recipient’s Medicaid number.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effective date of election.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recipient’s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of designation. An individual may change the designation of the particular hospice from which the individual elects to receive hospice care one time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date. An individual may designate an effective date for the hospice benefit that begins with the first day of the hospice care or any subsequent day of hospice care, but an individual may not designate an effective date that is earlier than the date that the election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of election. The election to receive hospice care will be considered to continue until one of the following occurs: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dies.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or the individual’s representative revokes the election.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individual’s situation changes so that the individual no longer qualifies for the hospice benefit.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hospice elects to terminate the recipient’s enrollment in accordance with the hospice’s established discharge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Revocation. Form 470-2619, Revocation of Medicaid Hospice Benefit, is completed when an individual or the individual’s representative revokes the hospice benefit allowed under Medicaid. When an individual revokes the election of Medicaid coverage of hospice care, the individual resumes Medicaid coverage of the benefits waived when hospice care was elected.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3553C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441—78.37</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elderly waiver services. </w:t>
      </w:r>
      <w:r>
        <w:rPr>
          <w:rFonts w:ascii="Times New Roman" w:hAnsi="Times New Roman"/>
          <w:b w:val="false"/>
          <w:i w:val="false"/>
          <w:color w:val="000000"/>
          <w:sz w:val="22"/>
        </w:rPr>
        <w:t xml:space="preserve">Payment will be approved for the following services to members eligible for the HCBS elderly waiver services as established in </w:t>
      </w:r>
      <w:hyperlink r:id="rId35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78.37(2)</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Maximum units per state fiscal year shall be one equipment purchase, one installation or set-up fee, and 12 months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78.37(3)</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356">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78.37(4)</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78.37(5)</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provided by licensed agency nurses to clients in the home which are ordered by and included in the plan of treatment established by the physician. The services are reasonable and necessary to the treatment of an illness or injury and include: observation; evaluation; teaching; training; supervision; therapeutic exercise; bowel and bladder care; administration of medications; intravenous, hypodermoclysis, and enteral feedings; skin care; preparation of clinical and progress notes; coordination of services and informing the physician and other personnel of changes in the patient’s condition and needs.</w:t>
      </w:r>
    </w:p>
    <w:p>
      <w:pPr>
        <w:spacing w:before="0" w:after="0"/>
        <w:ind w:left="120"/>
        <w:jc w:val="both"/>
      </w:pPr>
      <w:r>
        <w:rPr>
          <w:rFonts w:ascii="Times New Roman" w:hAnsi="Times New Roman"/>
          <w:b w:val="false"/>
          <w:i w:val="false"/>
          <w:color w:val="000000"/>
          <w:sz w:val="22"/>
        </w:rPr>
        <w:t>A unit of service is one visit. Nursing care service can pay for a maximum of eight nursing visits per month for intermediate level of care persons. There is no limit on the maximum visits for skilled level of care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78.37(6)</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57">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5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78.37(7)</w:t>
      </w:r>
      <w:r>
        <w:rPr>
          <w:rFonts w:ascii="Times New Roman" w:hAnsi="Times New Roman"/>
          <w:b w:val="false"/>
          <w:i w:val="false"/>
          <w:color w:val="000000"/>
          <w:sz w:val="22"/>
        </w:rPr>
        <w:t> </w:t>
      </w:r>
      <w:r>
        <w:rPr>
          <w:rFonts w:ascii="Times New Roman" w:hAnsi="Times New Roman"/>
          <w:b w:val="false"/>
          <w:i/>
          <w:color w:val="000000"/>
          <w:sz w:val="22"/>
        </w:rPr>
        <w:t xml:space="preserve">Chore services. </w:t>
      </w:r>
      <w:r>
        <w:rPr>
          <w:rFonts w:ascii="Times New Roman" w:hAnsi="Times New Roman"/>
          <w:b w:val="false"/>
          <w:i w:val="false"/>
          <w:color w:val="000000"/>
          <w:sz w:val="22"/>
        </w:rPr>
        <w:t xml:space="preserve">Chore services provide assistance with the household maintenance activities listed in paragraph </w:t>
      </w:r>
      <w:hyperlink r:id="rId359">
        <w:r>
          <w:rPr>
            <w:rStyle w:val="Hyperlink"/>
            <w:rFonts w:ascii="Times New Roman" w:hAnsi="Times New Roman"/>
            <w:b w:val="false"/>
            <w:i w:val="false"/>
            <w:color w:val="000000"/>
            <w:sz w:val="22"/>
          </w:rPr>
          <w:t>78.37(7)</w:t>
        </w:r>
        <w:r>
          <w:rPr>
            <w:rFonts w:ascii="Times New Roman" w:hAnsi="Times New Roman"/>
            <w:b w:val="false"/>
            <w:i/>
            <w:color w:val="000000"/>
            <w:sz w:val="22"/>
          </w:rPr>
          <w:t>“a,”</w:t>
        </w:r>
      </w:hyperlink>
      <w:r>
        <w:rPr>
          <w:rFonts w:ascii="Times New Roman" w:hAnsi="Times New Roman"/>
          <w:b w:val="false"/>
          <w:i w:val="false"/>
          <w:color w:val="000000"/>
          <w:sz w:val="22"/>
        </w:rPr>
        <w:t xml:space="preserve"> as necessary to allow a member to remain in the member’s own home safely and independently.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Chore services are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Window and door maintenance, such as hanging screen windows and doors, replacing windowpanes, and washing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Minor repairs to walls, floors, stairs, railings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Heavy cleaning which includes cleaning attics or basements to remove fire hazards, moving heavy furniture, extensive wall washing, floor care, painting, and trash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Lawn mowing and removal of snow and ice from sidewalks and driveways.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Leaf raking, bush and tree trimming, trash burning, stick removal, and tree removal are not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78.37(8)</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which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60">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78.37(10)</w:t>
      </w:r>
      <w:r>
        <w:rPr>
          <w:rFonts w:ascii="Times New Roman" w:hAnsi="Times New Roman"/>
          <w:b w:val="false"/>
          <w:i w:val="false"/>
          <w:color w:val="000000"/>
          <w:sz w:val="22"/>
        </w:rPr>
        <w:t> </w:t>
      </w:r>
      <w:r>
        <w:rPr>
          <w:rFonts w:ascii="Times New Roman" w:hAnsi="Times New Roman"/>
          <w:b w:val="false"/>
          <w:i/>
          <w:color w:val="000000"/>
          <w:sz w:val="22"/>
        </w:rPr>
        <w:t xml:space="preserve">Mental health outreach. </w:t>
      </w:r>
      <w:r>
        <w:rPr>
          <w:rFonts w:ascii="Times New Roman" w:hAnsi="Times New Roman"/>
          <w:b w:val="false"/>
          <w:i w:val="false"/>
          <w:color w:val="000000"/>
          <w:sz w:val="22"/>
        </w:rPr>
        <w:t xml:space="preserve">Mental health outreach services are services provided in a recipient’s home to identify, evaluate, and provide treatment and psychosocial support. The services can only be provided on the basis of a referral from the consumer’s interdisciplinary team established pursuant to </w:t>
      </w:r>
      <w:hyperlink r:id="rId361">
        <w:r>
          <w:rPr>
            <w:rStyle w:val="Hyperlink"/>
            <w:rFonts w:ascii="Times New Roman" w:hAnsi="Times New Roman"/>
            <w:b w:val="false"/>
            <w:i w:val="false"/>
            <w:color w:val="000000"/>
            <w:sz w:val="22"/>
          </w:rPr>
          <w:t>441—subrule 83.22(2)</w:t>
        </w:r>
      </w:hyperlink>
      <w:r>
        <w:rPr>
          <w:rFonts w:ascii="Times New Roman" w:hAnsi="Times New Roman"/>
          <w:b w:val="false"/>
          <w:i w:val="false"/>
          <w:color w:val="000000"/>
          <w:sz w:val="22"/>
        </w:rPr>
        <w:t>.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and to reduce social isolation. A unit of service is one mile of transportation or one one-way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78.37(13)</w:t>
      </w:r>
      <w:r>
        <w:rPr>
          <w:rFonts w:ascii="Times New Roman" w:hAnsi="Times New Roman"/>
          <w:b w:val="false"/>
          <w:i w:val="false"/>
          <w:color w:val="000000"/>
          <w:sz w:val="22"/>
        </w:rPr>
        <w:t> </w:t>
      </w:r>
      <w:r>
        <w:rPr>
          <w:rFonts w:ascii="Times New Roman" w:hAnsi="Times New Roman"/>
          <w:b w:val="false"/>
          <w:i/>
          <w:color w:val="000000"/>
          <w:sz w:val="22"/>
        </w:rPr>
        <w:t xml:space="preserve">Assistive devices. </w:t>
      </w:r>
      <w:r>
        <w:rPr>
          <w:rFonts w:ascii="Times New Roman" w:hAnsi="Times New Roman"/>
          <w:b w:val="false"/>
          <w:i w:val="false"/>
          <w:color w:val="000000"/>
          <w:sz w:val="22"/>
        </w:rPr>
        <w:t>Assistive devices means practical equipment products to assist persons with activities of daily living and instrumental activities of daily living to allow the person more independence. They include, but are not limited to: long-reach brush, extra long shoehorn, nonslip grippers to pick up and reach items, dressing aids, shampoo rinse tray and inflatable shampoo tray, double-handled cup and sipper lid. A unit is an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shall be included in the member’s service plan and shall exceed the services available under the Medicaid state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shall be provided following prior approval by the Iowa Medicaid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362">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78.37(14)</w:t>
      </w:r>
      <w:r>
        <w:rPr>
          <w:rFonts w:ascii="Times New Roman" w:hAnsi="Times New Roman"/>
          <w:b w:val="false"/>
          <w:i w:val="false"/>
          <w:color w:val="000000"/>
          <w:sz w:val="22"/>
        </w:rPr>
        <w:t> </w:t>
      </w:r>
      <w:r>
        <w:rPr>
          <w:rFonts w:ascii="Times New Roman" w:hAnsi="Times New Roman"/>
          <w:b w:val="false"/>
          <w:i/>
          <w:color w:val="000000"/>
          <w:sz w:val="22"/>
        </w:rPr>
        <w:t xml:space="preserve">Senior companion. </w:t>
      </w:r>
      <w:r>
        <w:rPr>
          <w:rFonts w:ascii="Times New Roman" w:hAnsi="Times New Roman"/>
          <w:b w:val="false"/>
          <w:i w:val="false"/>
          <w:color w:val="000000"/>
          <w:sz w:val="22"/>
        </w:rPr>
        <w:t>Senior companion services are nonmedical care supervision, oversight, and respite. Companions may assist with such tasks as meal preparation, laundry, shopping and light housekeeping tasks. This service cannot provide hands-on nursing or medical care.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78.37(15)</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63">
        <w:r>
          <w:rPr>
            <w:rStyle w:val="Hyperlink"/>
            <w:rFonts w:ascii="Times New Roman" w:hAnsi="Times New Roman"/>
            <w:b w:val="false"/>
            <w:i w:val="false"/>
            <w:color w:val="000000"/>
            <w:sz w:val="22"/>
          </w:rPr>
          <w:t>78.37(15)</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64">
        <w:r>
          <w:rPr>
            <w:rStyle w:val="Hyperlink"/>
            <w:rFonts w:ascii="Times New Roman" w:hAnsi="Times New Roman"/>
            <w:b w:val="false"/>
            <w:i w:val="false"/>
            <w:color w:val="000000"/>
            <w:sz w:val="22"/>
          </w:rPr>
          <w:t>78.37(15)</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agency or assisted living facility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Assisted living agreements with Iowa Medicaid members must specify the services to be considered covered under the assisted living occupancy agreement and those CDAC services to be covered under the elderly waiver. The funding stream for each service must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65">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individual and agency providers shall document evidence of compliance with the requirements of this chapter and rule </w:t>
      </w:r>
      <w:hyperlink r:id="rId36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67">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agency or assisted living facility.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78.37(16)</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 xml:space="preserve">The consumer choices option is service activities provided pursuant to subrule 78.34(13).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78.37(17)</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 xml:space="preserve">Case management services are services that assist Medicaid members who reside in a community setting or are transitioning to a community setting in gaining access to needed medical, social, educational, housing, transportation, vocational, and other appropriate services in order to ensure the health, safety, and welfare of the member. Case management is provided at the direction of the member and the interdisciplinary team established pursuant to </w:t>
      </w:r>
      <w:hyperlink r:id="rId368">
        <w:r>
          <w:rPr>
            <w:rStyle w:val="Hyperlink"/>
            <w:rFonts w:ascii="Times New Roman" w:hAnsi="Times New Roman"/>
            <w:b w:val="false"/>
            <w:i w:val="false"/>
            <w:color w:val="000000"/>
            <w:sz w:val="22"/>
          </w:rPr>
          <w:t>441—subrule 83.22(2)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369">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370">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management shall not include the provision of direct services by the case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case management shall not be made until the consumer is enrolled in the waiver. Payment shall be made only for case management services performed on behalf of the consumer during a month when the consumer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78.37(18)</w:t>
      </w:r>
      <w:r>
        <w:rPr>
          <w:rFonts w:ascii="Times New Roman" w:hAnsi="Times New Roman"/>
          <w:b w:val="false"/>
          <w:i w:val="false"/>
          <w:color w:val="000000"/>
          <w:sz w:val="22"/>
        </w:rPr>
        <w:t> </w:t>
      </w:r>
      <w:r>
        <w:rPr>
          <w:rFonts w:ascii="Times New Roman" w:hAnsi="Times New Roman"/>
          <w:b w:val="false"/>
          <w:i/>
          <w:color w:val="000000"/>
          <w:sz w:val="22"/>
        </w:rPr>
        <w:t xml:space="preserve">Assisted living service. </w:t>
      </w:r>
      <w:r>
        <w:rPr>
          <w:rFonts w:ascii="Times New Roman" w:hAnsi="Times New Roman"/>
          <w:b w:val="false"/>
          <w:i w:val="false"/>
          <w:color w:val="000000"/>
          <w:sz w:val="22"/>
        </w:rPr>
        <w:t>The assisted living service includes unanticipated and unscheduled personal care and supportive services that are furnished to waiver participants who reside in a homelike, noninstitutional setting. The service includes the 24-hour on-site response capability to meet unpredictable member needs as well as member safety and security through incidental supervision. Assisted living service is not reimbursable if performed at the same time as any service included in an approved consumer-directed attendant care (CDAC)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service is one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day of assisted living service is billable only if both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was present in the facility during that day’s bed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assisted living provider has documented at least one assisted living service encounter for that day, in accordance with rule </w:t>
      </w:r>
      <w:hyperlink r:id="rId37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The documentation must include the member’s response to the service. The documented assisted living service cannot also be an authorized CDAC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78.37(19)</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elderly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0545C</w:t>
      </w:r>
      <w:r>
        <w:rPr>
          <w:rFonts w:ascii="Times New Roman" w:hAnsi="Times New Roman"/>
          <w:b w:val="false"/>
          <w:i w:val="false"/>
          <w:color w:val="000000"/>
          <w:sz w:val="16"/>
        </w:rPr>
        <w:t>, IAB 1/9/13, effective 3/1/13</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2340C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441—78.38</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AIDS/HIV waiver services. </w:t>
      </w:r>
      <w:r>
        <w:rPr>
          <w:rFonts w:ascii="Times New Roman" w:hAnsi="Times New Roman"/>
          <w:b w:val="false"/>
          <w:i w:val="false"/>
          <w:color w:val="000000"/>
          <w:sz w:val="22"/>
        </w:rPr>
        <w:t xml:space="preserve">Payment will be approved for the following services to members eligible for the HCBS AIDS/HIV waiver services as established in </w:t>
      </w:r>
      <w:hyperlink r:id="rId373">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services provided to the member and caregiver by a mental health professional as defined in rule </w:t>
      </w:r>
      <w:hyperlink r:id="rId374">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375">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78.38(3)</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services. </w:t>
      </w:r>
      <w:r>
        <w:rPr>
          <w:rFonts w:ascii="Times New Roman" w:hAnsi="Times New Roman"/>
          <w:b w:val="false"/>
          <w:i w:val="false"/>
          <w:color w:val="000000"/>
          <w:sz w:val="22"/>
        </w:rPr>
        <w:t>Homemaker services are those services provided when the member lives alone or when the person who usually performs these functions for the member needs assistance with performing the functions. A unit of service is 15 minutes. Components of the service must be directly related to the care of the member and may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Essential shopping: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housecleaning: maintenance cleaning such as vacuuming, dusting, scrubbing floors, defrosting refrigerators, cleaning stoves, cleaning medical equipment, washing and mending clothes, washing personal items used by the member,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 preparation: planning and preparing balanced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provided by licensed agency nurses to clients in the home which are ordered by and included in the plan of treatment established by the physician. The services shall be reasonable and necessary to the treatment of an illness or injury and include: observation; evaluation; teaching; training; supervision; therapeutic exercise; bowel and bladder care; administration of medications; intravenous and enteral feedings; skin care; preparation of clinical and progress notes; coordination of services; and informing the physician and other personnel of changes in the patient’s conditions and needs.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7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7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78.38(6)</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Academy of Sciences. The meal may also be a liquid supplement which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78.38(7)</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78.38(8)</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78">
        <w:r>
          <w:rPr>
            <w:rStyle w:val="Hyperlink"/>
            <w:rFonts w:ascii="Times New Roman" w:hAnsi="Times New Roman"/>
            <w:b w:val="false"/>
            <w:i w:val="false"/>
            <w:color w:val="000000"/>
            <w:sz w:val="22"/>
          </w:rPr>
          <w:t>78.38(8)</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379">
        <w:r>
          <w:rPr>
            <w:rStyle w:val="Hyperlink"/>
            <w:rFonts w:ascii="Times New Roman" w:hAnsi="Times New Roman"/>
            <w:b w:val="false"/>
            <w:i w:val="false"/>
            <w:color w:val="000000"/>
            <w:sz w:val="22"/>
          </w:rPr>
          <w:t>78.38(8)</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380">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38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38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78.38(9)</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78.38(10)</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AIDS/HIV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3552C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441—78.39</w:t>
      </w:r>
      <w:r>
        <w:rPr>
          <w:rFonts w:ascii="Times New Roman" w:hAnsi="Times New Roman"/>
          <w:b/>
          <w:i w:val="false"/>
          <w:color w:val="000000"/>
          <w:sz w:val="22"/>
        </w:rPr>
        <w:t xml:space="preserve">(249A) </w:t>
      </w:r>
      <w:r>
        <w:rPr>
          <w:rFonts w:ascii="Times New Roman" w:hAnsi="Times New Roman"/>
          <w:b/>
          <w:i w:val="false"/>
          <w:color w:val="000000"/>
          <w:sz w:val="22"/>
        </w:rPr>
        <w:t xml:space="preserve">Federally qualified health centers. </w:t>
      </w:r>
      <w:r>
        <w:rPr>
          <w:rFonts w:ascii="Times New Roman" w:hAnsi="Times New Roman"/>
          <w:b w:val="false"/>
          <w:i w:val="false"/>
          <w:color w:val="000000"/>
          <w:sz w:val="22"/>
        </w:rPr>
        <w:t xml:space="preserve">Payment shall be made for services as defined in </w:t>
      </w:r>
      <w:r>
        <w:rPr>
          <w:rFonts w:ascii="Times New Roman" w:hAnsi="Times New Roman"/>
          <w:b w:val="false"/>
          <w:i w:val="false"/>
          <w:color w:val="000000"/>
          <w:sz w:val="22"/>
        </w:rPr>
        <w:t>Section 1905(a)(2)(C)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federally qualified health centers, other clinics, and emergency rooms. Refer to rule </w:t>
      </w:r>
      <w:hyperlink r:id="rId384">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85">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 federally qualified health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441—78.40</w:t>
      </w:r>
      <w:r>
        <w:rPr>
          <w:rFonts w:ascii="Times New Roman" w:hAnsi="Times New Roman"/>
          <w:b/>
          <w:i w:val="false"/>
          <w:color w:val="000000"/>
          <w:sz w:val="22"/>
        </w:rPr>
        <w:t xml:space="preserve">(249A) </w:t>
      </w:r>
      <w:r>
        <w:rPr>
          <w:rFonts w:ascii="Times New Roman" w:hAnsi="Times New Roman"/>
          <w:b/>
          <w:i w:val="false"/>
          <w:color w:val="000000"/>
          <w:sz w:val="22"/>
        </w:rPr>
        <w:t xml:space="preserve">Advanced registered nurse practitioners. </w:t>
      </w:r>
      <w:r>
        <w:rPr>
          <w:rFonts w:ascii="Times New Roman" w:hAnsi="Times New Roman"/>
          <w:b w:val="false"/>
          <w:i w:val="false"/>
          <w:color w:val="000000"/>
          <w:sz w:val="22"/>
        </w:rPr>
        <w:t xml:space="preserve">Payment shall be approved for services provided by advanced registered nurse practitioners within their scope of practice and the limitations of state law, with the exception of services not payable to physicians under rule </w:t>
      </w:r>
      <w:hyperlink r:id="rId387">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or otherwise not payable under any other applicable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78.40(1)</w:t>
      </w:r>
      <w:r>
        <w:rPr>
          <w:rFonts w:ascii="Times New Roman" w:hAnsi="Times New Roman"/>
          <w:b w:val="false"/>
          <w:i w:val="false"/>
          <w:color w:val="000000"/>
          <w:sz w:val="22"/>
        </w:rPr>
        <w:t> </w:t>
      </w:r>
      <w:r>
        <w:rPr>
          <w:rFonts w:ascii="Times New Roman" w:hAnsi="Times New Roman"/>
          <w:b w:val="false"/>
          <w:i/>
          <w:color w:val="000000"/>
          <w:sz w:val="22"/>
        </w:rPr>
        <w:t xml:space="preserve">Direct payment. </w:t>
      </w:r>
      <w:r>
        <w:rPr>
          <w:rFonts w:ascii="Times New Roman" w:hAnsi="Times New Roman"/>
          <w:b w:val="false"/>
          <w:i w:val="false"/>
          <w:color w:val="000000"/>
          <w:sz w:val="22"/>
        </w:rPr>
        <w:t>Payment shall be made to advanced registered nurse practitioners directly, without regard to whether the advanced registered nurse practitioner is employed by or associated with a physician, hospital, birth center, clinic or other health care provider recognized under state law. An established protocol between a physician and the advanced registered nurse practitioner shall not cause an advanced registered nurse practitioner to be considered auxiliary personnel of a physician, or an employee of a hospital, birth center, or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78.40(2)</w:t>
      </w:r>
      <w:r>
        <w:rPr>
          <w:rFonts w:ascii="Times New Roman" w:hAnsi="Times New Roman"/>
          <w:b w:val="false"/>
          <w:i w:val="false"/>
          <w:color w:val="000000"/>
          <w:sz w:val="22"/>
        </w:rPr>
        <w:t> </w:t>
      </w:r>
      <w:r>
        <w:rPr>
          <w:rFonts w:ascii="Times New Roman" w:hAnsi="Times New Roman"/>
          <w:b w:val="false"/>
          <w:i/>
          <w:color w:val="000000"/>
          <w:sz w:val="22"/>
        </w:rPr>
        <w:t xml:space="preserve">Location of service. </w:t>
      </w:r>
      <w:r>
        <w:rPr>
          <w:rFonts w:ascii="Times New Roman" w:hAnsi="Times New Roman"/>
          <w:b w:val="false"/>
          <w:i w:val="false"/>
          <w:color w:val="000000"/>
          <w:sz w:val="22"/>
        </w:rPr>
        <w:t>Payment shall be approved for services rendered in any location in which the advanced registered nurse practitioner is legally authorized to provide services under state law. The nurse practitioner shall have promptly available the necessary equipment and personnel to handle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78.40(3)</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 xml:space="preserve">Utilization review shall be conducted of Medicaid members who access more than 24 outpatient visits in any 12-month period from physicians, advanced registered nurse practitioners, other clinics, and emergency rooms. Refer to rule </w:t>
      </w:r>
      <w:hyperlink r:id="rId388">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 for further information concerning the member lock-in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Vaccines for Children (VFC) Program, an advanced registered nurse practitioner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78.40(5)</w:t>
      </w:r>
      <w:r>
        <w:rPr>
          <w:rFonts w:ascii="Times New Roman" w:hAnsi="Times New Roman"/>
          <w:b w:val="false"/>
          <w:i w:val="false"/>
          <w:color w:val="000000"/>
          <w:sz w:val="22"/>
        </w:rPr>
        <w:t> </w:t>
      </w:r>
      <w:r>
        <w:rPr>
          <w:rFonts w:ascii="Times New Roman" w:hAnsi="Times New Roman"/>
          <w:b w:val="false"/>
          <w:i/>
          <w:color w:val="000000"/>
          <w:sz w:val="22"/>
        </w:rPr>
        <w:t xml:space="preserve">Prenatal risk assessment. </w:t>
      </w:r>
      <w:r>
        <w:rPr>
          <w:rFonts w:ascii="Times New Roman" w:hAnsi="Times New Roman"/>
          <w:b w:val="false"/>
          <w:i w:val="false"/>
          <w:color w:val="000000"/>
          <w:sz w:val="22"/>
        </w:rPr>
        <w:t>Risk assessment, using Form 470-2942,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(See description of enhanced services at subrule </w:t>
      </w:r>
      <w:hyperlink r:id="rId389">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441—78.41</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intellectual disability waiver services. </w:t>
      </w:r>
      <w:r>
        <w:rPr>
          <w:rFonts w:ascii="Times New Roman" w:hAnsi="Times New Roman"/>
          <w:b w:val="false"/>
          <w:i w:val="false"/>
          <w:color w:val="000000"/>
          <w:sz w:val="22"/>
        </w:rPr>
        <w:t xml:space="preserve">Payment will be approved for the following services to members eligible for the HCBS intellectual disability waiver as established in </w:t>
      </w:r>
      <w:hyperlink r:id="rId39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components of the service are personal and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which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which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Personal management skills training services are activities which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training services are activities which assist a member to develop or maintain skills which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training services are activities which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392">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Physiological treatment includes medication regimens designed to prevent, halt, control, relieve, or reverse symptoms or conditions that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living outside the home of their family, legal representative, or foster family and for whom a provider has primary responsibility for supervision or structure during the month. This service will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within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Maintenance and room and board costs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costs associated with members’ specific support needs as determined necessary by the interdisciplinary team for each member. The specific support needs must be identified in the Medicaid case manager’s service plan, and the provider must maintain records to support the expenditures. 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393">
        <w:r>
          <w:rPr>
            <w:rStyle w:val="Hyperlink"/>
            <w:rFonts w:ascii="Times New Roman" w:hAnsi="Times New Roman"/>
            <w:b w:val="false"/>
            <w:i w:val="false"/>
            <w:color w:val="000000"/>
            <w:sz w:val="22"/>
          </w:rPr>
          <w:t>78.41(1)</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20,440 15-minute units are available per state fiscal year except a leap year when 20,496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not be simultaneously reimbursed with other residential services or with respite, nursing, or home health aide services provided through Medicaid or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9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9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simultaneously reimbursed with other residential, supported community living,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 for respite services shall not exceed $7,917.79 per the member’s waiver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the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78.41(4)</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396">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shall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78.41(5)</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Nursing services are individualized in-home medical services provided by licensed nurses. Services shall exceed the Medicaid state plan services and be included in the consumer’s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maximum of ten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78.41(6)</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member which are not payable under Medicaid as set forth in rule </w:t>
      </w:r>
      <w:hyperlink r:id="rId397">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Services shall include unskilled medical services and shall exceed those services provided under HCBS intellectual disability waiver supported community living. Instruction, supervision, support or assistance in personal hygiene, bathing, and daily living shall be provided under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14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78.41(7)</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398">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78.41(8)</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399">
        <w:r>
          <w:rPr>
            <w:rStyle w:val="Hyperlink"/>
            <w:rFonts w:ascii="Times New Roman" w:hAnsi="Times New Roman"/>
            <w:b w:val="false"/>
            <w:i w:val="false"/>
            <w:color w:val="000000"/>
            <w:sz w:val="22"/>
          </w:rPr>
          <w:t>78.41(8)</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400">
        <w:r>
          <w:rPr>
            <w:rStyle w:val="Hyperlink"/>
            <w:rFonts w:ascii="Times New Roman" w:hAnsi="Times New Roman"/>
            <w:b w:val="false"/>
            <w:i w:val="false"/>
            <w:color w:val="000000"/>
            <w:sz w:val="22"/>
          </w:rPr>
          <w:t>78.41(8)</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01">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0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03">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78.41(9)</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404">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405">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78.41(10)</w:t>
      </w:r>
      <w:r>
        <w:rPr>
          <w:rFonts w:ascii="Times New Roman" w:hAnsi="Times New Roman"/>
          <w:b w:val="false"/>
          <w:i w:val="false"/>
          <w:color w:val="000000"/>
          <w:sz w:val="22"/>
        </w:rPr>
        <w:t> </w:t>
      </w:r>
      <w:r>
        <w:rPr>
          <w:rFonts w:ascii="Times New Roman" w:hAnsi="Times New Roman"/>
          <w:b w:val="false"/>
          <w:i/>
          <w:color w:val="000000"/>
          <w:sz w:val="22"/>
        </w:rPr>
        <w:t xml:space="preserve">Residential-based supported community living services. </w:t>
      </w:r>
      <w:r>
        <w:rPr>
          <w:rFonts w:ascii="Times New Roman" w:hAnsi="Times New Roman"/>
          <w:b w:val="false"/>
          <w:i w:val="false"/>
          <w:color w:val="000000"/>
          <w:sz w:val="22"/>
        </w:rPr>
        <w:t>Residential-based supported community living services are medical or remedial services provided to children under the age of 18 while living outside their home in a residential-based living environment furnished by the residential-based supported community living service provider. The services eliminate barriers to family reunification or develop self-help skills for maximum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Allowable service components are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living skills development. These are services to develop the child’s ability to function independently in the community on a daily basis, including training in food preparation, maintenance of living environment, time and money management, personal hygiene,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skills development. These are services to develop a child’s communication and socialization skills, including interventions to develop a child’s ability to solve problems, resolve conflicts, develop appropriate relationships with others, and develop techniques for controlling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support development. These are services necessary to allow a child to return to the child’s family or another less restrictive service environment. These services must include counseling and therapy sessions that involve both the child and the child’s family at least 50 percent of the time and that focus on techniques for dealing with the special care needs of the child and interventions needed to alleviate behaviors that are disruptive to the family or other group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and behavior intervention services. These are services to halt, control, or reverse stress and social, emotional, or behavioral problems that threaten or have negatively affected the child’s stability. Activities under this service include counseling and behavior intervention with the child, including interventions to ameliorate problem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must also address the ordinary daily-living needs of the child, excluding room and board, such as needs for safety and security, social functioning, and other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do not include services associated with vocational needs, academics, day care, Medicaid case management, other case management, or any other services that the child can otherwise obtain through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 and board costs are not reimbursable as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scope of service shall be identified in the child’s service plan pursuant to </w:t>
      </w:r>
      <w:hyperlink r:id="rId406">
        <w:r>
          <w:rPr>
            <w:rStyle w:val="Hyperlink"/>
            <w:rFonts w:ascii="Times New Roman" w:hAnsi="Times New Roman"/>
            <w:b w:val="false"/>
            <w:i w:val="false"/>
            <w:color w:val="000000"/>
            <w:sz w:val="22"/>
          </w:rPr>
          <w:t>441—paragraph 77.37(23)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shall not be simultaneously reimbursed with other residential services provided under an HCBS waiver or otherwise provided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of residential-based supported community living services available per child is 365 daily units per state fiscal year, except in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when HCBS intellectual disability waiver daily supported community living service is authorized in a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78.41(12)</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or a full day (4.25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78.41(13)</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407">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78.41(14)</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 xml:space="preserve">Day habilitation services will be provided pursuant to </w:t>
      </w:r>
      <w:hyperlink r:id="rId408">
        <w:r>
          <w:rPr>
            <w:rStyle w:val="Hyperlink"/>
            <w:rFonts w:ascii="Times New Roman" w:hAnsi="Times New Roman"/>
            <w:b w:val="false"/>
            <w:i w:val="false"/>
            <w:color w:val="000000"/>
            <w:sz w:val="22"/>
          </w:rPr>
          <w:t>subrule 78.27(8)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78.41(15)</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intellectual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9650B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3481C</w:t>
      </w:r>
      <w:r>
        <w:rPr>
          <w:rFonts w:ascii="Times New Roman" w:hAnsi="Times New Roman"/>
          <w:b w:val="false"/>
          <w:i w:val="false"/>
          <w:color w:val="000000"/>
          <w:sz w:val="16"/>
        </w:rPr>
        <w:t>, IAB 12/6/17, effective 12/1/17</w:t>
      </w:r>
      <w:r>
        <w:rPr>
          <w:rFonts w:ascii="Times New Roman" w:hAnsi="Times New Roman"/>
          <w:b w:val="false"/>
          <w:i w:val="false"/>
          <w:color w:val="000000"/>
          <w:sz w:val="16"/>
        </w:rPr>
        <w:t xml:space="preserve">; </w:t>
      </w:r>
      <w:r>
        <w:rPr>
          <w:rFonts w:ascii="Times New Roman" w:hAnsi="Times New Roman"/>
          <w:b/>
          <w:i w:val="false"/>
          <w:color w:val="000000"/>
          <w:sz w:val="16"/>
        </w:rPr>
        <w:t>ARC 3790C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441—78.42</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Pharmacists providing covered vaccines. </w:t>
      </w:r>
      <w:r>
        <w:rPr>
          <w:rFonts w:ascii="Times New Roman" w:hAnsi="Times New Roman"/>
          <w:b w:val="false"/>
          <w:i w:val="false"/>
          <w:color w:val="000000"/>
          <w:sz w:val="22"/>
        </w:rPr>
        <w:t xml:space="preserve">When the authorized pharmacist providing the vaccine meets all Iowa board of pharmacy expanded practice standards and Medicaid requirements, payment will be made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78.42(1)</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children. </w:t>
      </w:r>
      <w:r>
        <w:rPr>
          <w:rFonts w:ascii="Times New Roman" w:hAnsi="Times New Roman"/>
          <w:b w:val="false"/>
          <w:i w:val="false"/>
          <w:color w:val="000000"/>
          <w:sz w:val="22"/>
        </w:rPr>
        <w:t xml:space="preserve">Payment will be made to an enrolled provider for an administration fee for vaccines available through the Vaccines for Children (VFC) program administered by the department of public health if the provider is enrolled in the VFC program. Payment will be made for the vaccine cost only if the VFC program stock has been depleted.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78.42(2)</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adults. </w:t>
      </w:r>
      <w:r>
        <w:rPr>
          <w:rFonts w:ascii="Times New Roman" w:hAnsi="Times New Roman"/>
          <w:b w:val="false"/>
          <w:i w:val="false"/>
          <w:color w:val="000000"/>
          <w:sz w:val="22"/>
        </w:rPr>
        <w:t xml:space="preserve">Payment will be made to an enrolled provider for an administration fee and vaccine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78.42(3)</w:t>
      </w:r>
      <w:r>
        <w:rPr>
          <w:rFonts w:ascii="Times New Roman" w:hAnsi="Times New Roman"/>
          <w:b w:val="false"/>
          <w:i w:val="false"/>
          <w:color w:val="000000"/>
          <w:sz w:val="22"/>
        </w:rPr>
        <w:t> </w:t>
      </w:r>
      <w:r>
        <w:rPr>
          <w:rFonts w:ascii="Times New Roman" w:hAnsi="Times New Roman"/>
          <w:b w:val="false"/>
          <w:i/>
          <w:color w:val="000000"/>
          <w:sz w:val="22"/>
        </w:rPr>
        <w:t xml:space="preserve">Verification and reporting. </w:t>
      </w:r>
      <w:r>
        <w:rPr>
          <w:rFonts w:ascii="Times New Roman" w:hAnsi="Times New Roman"/>
          <w:b w:val="false"/>
          <w:i w:val="false"/>
          <w:color w:val="000000"/>
          <w:sz w:val="22"/>
        </w:rPr>
        <w:t>Prior to the ordering and administration of an immunization pursuant to statewide protocol, the authorized pharmacist shall consult and review the Iowa Immunization Registry Information System (IRIS) or Iowa Health Information Network (IHIN). Within 30 calendar days following administration of any vaccine, the pharmacist shall report such administration to the patient’s primary health care provider, primary physician, and IRIS or IHIN. If a patient does not have a primary health care provider, the pharmacist shall provide the patient with a written record of the vaccine administered to the patient and shall advise the patient to consult a physician.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5175C</w:t>
      </w:r>
      <w:r>
        <w:rPr>
          <w:rFonts w:ascii="Times New Roman" w:hAnsi="Times New Roman"/>
          <w:b w:val="false"/>
          <w:i w:val="false"/>
          <w:color w:val="000000"/>
          <w:sz w:val="16"/>
        </w:rPr>
        <w:t>, IAB 9/9/20, effective 6/1/21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441—78.43</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brain injury waiver services. </w:t>
      </w:r>
      <w:r>
        <w:rPr>
          <w:rFonts w:ascii="Times New Roman" w:hAnsi="Times New Roman"/>
          <w:b w:val="false"/>
          <w:i w:val="false"/>
          <w:color w:val="000000"/>
          <w:sz w:val="22"/>
        </w:rPr>
        <w:t xml:space="preserve">Payment shall be approved for the following services to members eligible for the HCBS brain injury waiver services as established in </w:t>
      </w:r>
      <w:hyperlink r:id="rId41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Individual case management services means services that assist members who reside in a community setting or are transitioning to a community setting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412">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413">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shall be delivered in such a way as to enhance the capabilities of consumers and their families to exercise their rights and responsibilities as citizens in the community. The goal is to enhance the ability of the consumer to exercise choice, make decisions, take risks that are a typical part of life, and fully participate as members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manager must develop a relationship with the consumer so that the abilities, needs and desires of the consumer can be clearly identified and communicated and the case manager can help to ensure that the system and specific services are responsive to the needs of the individual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Members who are eligible for targeted case management are not eligible for case management as a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78.43(2)</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basic components of the service may include, but are not limited to, personal and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which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which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Personal management skills training services are activities which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training services are activities which assist a member to develop or maintain skills which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training services are activities which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those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414">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Physiological treatment includes medication regimens designed to prevent, halt, control, relieve, or reverse symptoms or conditions which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living outside the home of their family, legal representative, or foster family and for whom a provider has primary responsibility for supervision or structure during the month. This service shall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Children must first access all other services for which they are eligible and which are appropriate to meet their needs before accessing the HCBS brain injury waiver services.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all staff-to-member ratios and shall reflect costs associated with members’ specific support needs for travel and transportation, consulting, instruction, and environmental modifications and repairs, as determined necessary by the interdisciplinary team for each member. The specific support needs must be identified in the Medicaid case manager’s service plan, the total costs shall not exceed $1570 per member per year, and the provider must maintain records to support the expenditures. 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415">
        <w:r>
          <w:rPr>
            <w:rStyle w:val="Hyperlink"/>
            <w:rFonts w:ascii="Times New Roman" w:hAnsi="Times New Roman"/>
            <w:b w:val="false"/>
            <w:i w:val="false"/>
            <w:color w:val="000000"/>
            <w:sz w:val="22"/>
          </w:rPr>
          <w:t>78.43(2)</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33,580 15-minute units per state fiscal year except a leap year, when 33,672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not be simultaneously reimbursed with other residential services or with respite, transportation, personal assistance, nursing, or home health aide services provided through Medicaid or the HCBS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78.43(3)</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care cannot be provided to a member whose usual caregiver is a consumer-directed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41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41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supported community living services,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78.43(4)</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418">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78.43(5)</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419">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78.43(6)</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78.43(7)</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simultaneously with HCBS brain injury waiver supported community living service when the transportation costs are included within the supported community living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78.43(8)</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 shall include medically necessary items which are for personal use by members with a brain injury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health and safety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not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not funded by educational or vocational rehabilitation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not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aids and organizers.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Medicine dispensing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Noncovered environmental control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up to $6,872.85 per year may be made to enrolled specialized medical equipment providers upon satisfactory receipt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specialized medical equipment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by a health care professional as necessary for the member’s health and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20">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78.43(9)</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Adult day care services provide an organized program of supportive care in a group environment to persons who need a degree of supervision and assistance on a regular or intermittent basis in a day care center. A unit of service is 15 minutes (up to four units per day), a half day (1.25 to 4 hours per day), a full day (4.25 to 8 hours per day), or an extended day (8.25 to 12 hours per day). Components of the service include health-related care, social services, and other related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78.43(10)</w:t>
      </w:r>
      <w:r>
        <w:rPr>
          <w:rFonts w:ascii="Times New Roman" w:hAnsi="Times New Roman"/>
          <w:b w:val="false"/>
          <w:i w:val="false"/>
          <w:color w:val="000000"/>
          <w:sz w:val="22"/>
        </w:rPr>
        <w:t> </w:t>
      </w:r>
      <w:r>
        <w:rPr>
          <w:rFonts w:ascii="Times New Roman" w:hAnsi="Times New Roman"/>
          <w:b w:val="false"/>
          <w:i/>
          <w:color w:val="000000"/>
          <w:sz w:val="22"/>
        </w:rPr>
        <w:t xml:space="preserve">Family counseling and training services. </w:t>
      </w:r>
      <w:r>
        <w:rPr>
          <w:rFonts w:ascii="Times New Roman" w:hAnsi="Times New Roman"/>
          <w:b w:val="false"/>
          <w:i w:val="false"/>
          <w:color w:val="000000"/>
          <w:sz w:val="22"/>
        </w:rPr>
        <w:t>Family counseling and training services are face-to-face mental health services provided to the consumer and the family with whom the consumer lives, or who routinely provide care to the consumer to increase the consumer’s or family members’ capabilities to maintain and care for the consumer in the community. Counseling may include helping the consumer or the consumer’s family members with crisis, coping strategies, stress reduction, management of depression, alleviation of psychosocial isolation and support in coping with the effects of a brain injury. It may include the use of treatment regimes as specified in the ITP. Periodic training updates may be necessary to safely maintain the consumer in the community.</w:t>
      </w:r>
    </w:p>
    <w:p>
      <w:pPr>
        <w:spacing w:before="0" w:after="0"/>
        <w:ind w:left="120"/>
        <w:jc w:val="both"/>
      </w:pPr>
      <w:r>
        <w:rPr>
          <w:rFonts w:ascii="Times New Roman" w:hAnsi="Times New Roman"/>
          <w:b w:val="false"/>
          <w:i w:val="false"/>
          <w:color w:val="000000"/>
          <w:sz w:val="22"/>
        </w:rPr>
        <w:t>Family may include spouse, children, friends, or in-laws of the consumer. Family does not include individuals who are employed to care for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78.43(11)</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421">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78.43(12)</w:t>
      </w:r>
      <w:r>
        <w:rPr>
          <w:rFonts w:ascii="Times New Roman" w:hAnsi="Times New Roman"/>
          <w:b w:val="false"/>
          <w:i w:val="false"/>
          <w:color w:val="000000"/>
          <w:sz w:val="22"/>
        </w:rPr>
        <w:t> </w:t>
      </w:r>
      <w:r>
        <w:rPr>
          <w:rFonts w:ascii="Times New Roman" w:hAnsi="Times New Roman"/>
          <w:b w:val="false"/>
          <w:i/>
          <w:color w:val="000000"/>
          <w:sz w:val="22"/>
        </w:rPr>
        <w:t xml:space="preserve">Behavioral programming. </w:t>
      </w:r>
      <w:r>
        <w:rPr>
          <w:rFonts w:ascii="Times New Roman" w:hAnsi="Times New Roman"/>
          <w:b w:val="false"/>
          <w:i w:val="false"/>
          <w:color w:val="000000"/>
          <w:sz w:val="22"/>
        </w:rPr>
        <w:t>Behavioral programming consists of individually designed strategies to increase the consumer’s appropriate behaviors and decrease the consumer’s maladaptive behaviors which have interfered with the consumer’s ability to remain in the community. Behavioral programming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assessment of both appropriate and maladaptive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 structured behavioral intervention plan which should be identified in the ITP.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Implementation of the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Ongoing training and supervision to caregivers and behavioral aides.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Periodic reassessment of the plan.</w:t>
      </w:r>
    </w:p>
    <w:p>
      <w:pPr>
        <w:spacing w:before="0" w:after="0"/>
        <w:ind w:left="120"/>
        <w:jc w:val="both"/>
      </w:pPr>
      <w:r>
        <w:rPr>
          <w:rFonts w:ascii="Times New Roman" w:hAnsi="Times New Roman"/>
          <w:b w:val="false"/>
          <w:i w:val="false"/>
          <w:color w:val="000000"/>
          <w:sz w:val="22"/>
        </w:rPr>
        <w:t>Types of appropriate behavioral programming include, but are not limited to, clinical redirection, token economies, reinforcement, extinction, modeling, and over-learning.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78.43(13)</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422">
        <w:r>
          <w:rPr>
            <w:rStyle w:val="Hyperlink"/>
            <w:rFonts w:ascii="Times New Roman" w:hAnsi="Times New Roman"/>
            <w:b w:val="false"/>
            <w:i w:val="false"/>
            <w:color w:val="000000"/>
            <w:sz w:val="22"/>
          </w:rPr>
          <w:t>78.43(13)</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423">
        <w:r>
          <w:rPr>
            <w:rStyle w:val="Hyperlink"/>
            <w:rFonts w:ascii="Times New Roman" w:hAnsi="Times New Roman"/>
            <w:b w:val="false"/>
            <w:i w:val="false"/>
            <w:color w:val="000000"/>
            <w:sz w:val="22"/>
          </w:rPr>
          <w:t>78.43(13)</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24">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consumer-directed attendant care services shall be provided under the supervision of a licensed nurse or licensed therapist working under the direction of a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2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2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78.43(14)</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for children or adults aged 18 to 20 whose medical needs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427">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service worker or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428">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shall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78.43(15)</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brain injury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441—78.44</w:t>
      </w:r>
      <w:r>
        <w:rPr>
          <w:rFonts w:ascii="Times New Roman" w:hAnsi="Times New Roman"/>
          <w:b/>
          <w:i w:val="false"/>
          <w:color w:val="000000"/>
          <w:sz w:val="22"/>
        </w:rPr>
        <w:t xml:space="preserve">(249A) </w:t>
      </w:r>
      <w:r>
        <w:rPr>
          <w:rFonts w:ascii="Times New Roman" w:hAnsi="Times New Roman"/>
          <w:b/>
          <w:i w:val="false"/>
          <w:color w:val="000000"/>
          <w:sz w:val="22"/>
        </w:rPr>
        <w:t xml:space="preserve">Lead inspection services. </w:t>
      </w:r>
      <w:r>
        <w:rPr>
          <w:rFonts w:ascii="Times New Roman" w:hAnsi="Times New Roman"/>
          <w:b w:val="false"/>
          <w:i w:val="false"/>
          <w:color w:val="000000"/>
          <w:sz w:val="22"/>
        </w:rPr>
        <w:t>Payment shall be approved for lead inspection services. This service shall be provided for children who have had two venous blood lead levels of 15 to 19 micrograms per deciliter or one venous level greater than or equal to 20 micrograms per deciliter. This service includes, but is not limited to, X-ray fluorescence analyzer (XRF) readings, visual examination of paint, preventive education of the resident and homeowner, health education about lead poisoning, and a written report to the family, homeowner, medical provider, and local childhood lead poisoning prevention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441—78.45</w:t>
      </w:r>
      <w:r>
        <w:rPr>
          <w:rFonts w:ascii="Times New Roman" w:hAnsi="Times New Roman"/>
          <w:b/>
          <w:i w:val="false"/>
          <w:color w:val="000000"/>
          <w:sz w:val="22"/>
        </w:rPr>
        <w:t xml:space="preserve">(249A) </w:t>
      </w:r>
      <w:r>
        <w:rPr>
          <w:rFonts w:ascii="Times New Roman" w:hAnsi="Times New Roman"/>
          <w:b/>
          <w:i w:val="false"/>
          <w:color w:val="000000"/>
          <w:sz w:val="22"/>
        </w:rPr>
        <w:t xml:space="preserve">Assertive community treatment. </w:t>
      </w:r>
      <w:r>
        <w:rPr>
          <w:rFonts w:ascii="Times New Roman" w:hAnsi="Times New Roman"/>
          <w:b w:val="false"/>
          <w:i w:val="false"/>
          <w:color w:val="000000"/>
          <w:sz w:val="22"/>
        </w:rPr>
        <w:t>Assertive community treatment (ACT) services are comprehensive, integrated, and intensive outpatient services provided by a multidisciplinary team under the supervision of a psychiatrist. ACT services are directed toward the rehabilitation of behavioral, social, or emotional deficits or the amelioration of symptoms of a mental disorder. Most services are delivered in the member’s home or another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ACT services may be provided only to a member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is at least 17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has a severe and persistent mental illness or complex mental health symptomatology. A severe and persistent mental illness is a psychiatric disorder that causes symptoms and impairments in basic mental and behavioral processes that produce distress and major functional disability in adult role functioning (such as social, personal, family, educational or vocational roles). Specifically, the member has a degree of impairment arising from a psychiatric disorder such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does not have the resources or skills necessary to maintain an adequate level of functioning in the home or community environment without assistance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judgment, impulse control, or cognitive perceptual abilities are compromised;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exhibits significant impairment in social, interpersonal, or familial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has a validated principal mental health diagnosis consistent with a severe and persistent mental illness. For this purpose, a mental health diagnosis means a disorder, dysfunction, or dysphoria diagnosed pursuant to the current version of the Diagnostic and Statistical Manual of Mental Disorders published by the American Psychiatric Association, excluding neurodevelopmental disorders, substance-related disorders, personality disorders, medication-induced movement disorders and other adverse effects of medication, and other conditions that may be a focus of clinical attention. Members with a primary diagnosis of substance-related disorder, developmental disability, or organic disorder are not eligible for ACT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needs a consistent team of professionals and multiple mental health and support services to maintain the member in the community and reduce hospitalizations, as evidenced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repeated treatment failures with at least two hospitalizations within the previous 24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need for multiple or combined mental health and basic living supports to prevent the need for a more intrusive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presents a reasonable likelihood that ACT services will lead to specific, observable improvements in the member’s functioning and assist the member in achieving or maintaining community tenure. Specifically,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medically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require a level of care that includes more intensive medical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Presents a low risk to self, others, or property, with treatment and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Lives independently in the community or demonstrates a capacity to live independently and move from a dependent residential setting to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admission, the member has a comprehensive assessment that includes psychiatric history, medical history, work and educational history, substance use, problems with activities of daily living, social interests, and family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has a written treatment plan containing a work evaluation and the necessary psychiatric rehabilitation treatment and support services. The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objectives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frequency and duration of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crisis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schedule for updates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The ACT team shall participate in all mental health services provided to the member and shall provide 24-hour service for the psychiatric needs of the member. Available ACT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Evaluation and medication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portion of ACT services consists of a comprehensive mental health evaluation and assessment of the member by a psychiatrist,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management consists of the prescription and management of medication by a psychiatrist, advanced registered nurse practitioner, or physician assistant to respond to the member’s complaints and symptoms. A psychiatric registered nurse assists in this management by contact with the member regarding medications and their effect on the member’s complaints and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Integrated therapy and counseling for mental health and substance abuse. </w:t>
      </w:r>
      <w:r>
        <w:rPr>
          <w:rFonts w:ascii="Times New Roman" w:hAnsi="Times New Roman"/>
          <w:b w:val="false"/>
          <w:i w:val="false"/>
          <w:color w:val="000000"/>
          <w:sz w:val="22"/>
        </w:rPr>
        <w:t>This service consists of direct counseling for treatment of mental health and substance abuse symptoms by a psychiatrist, licensed mental health professional, advanced registered nurse practitioner, physician assistant, or substance abuse specialist. Individual counseling is provided by other team members under the supervision of a psychiatrist or licensed mental health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Skill teaching. </w:t>
      </w:r>
      <w:r>
        <w:rPr>
          <w:rFonts w:ascii="Times New Roman" w:hAnsi="Times New Roman"/>
          <w:b w:val="false"/>
          <w:i w:val="false"/>
          <w:color w:val="000000"/>
          <w:sz w:val="22"/>
        </w:rPr>
        <w:t>Skill teaching consists of side-by-side demonstration and observation of daily living activities by a registered nurse, licensed mental health professional, psychologist, substance abuse counselor, peer specialist, community support specialist,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w:t>
      </w:r>
      <w:r>
        <w:rPr>
          <w:rFonts w:ascii="Times New Roman" w:hAnsi="Times New Roman"/>
          <w:b w:val="false"/>
          <w:i w:val="false"/>
          <w:color w:val="000000"/>
          <w:sz w:val="22"/>
        </w:rPr>
        <w:t>Community support is provided by a licensed mental health professional, psychologist, substance abuse counselor, peer specialist, community support specialist, advanced registered nurse practitioner, or physician assistant. Community support consists of the following activities focused on recovery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to assist the member to develop and maintain skills for self-direction and coping with the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to assist the member in maintaining a positive level of participation in the community through development of socialization skills and personal coping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Medication monitoring. </w:t>
      </w:r>
      <w:r>
        <w:rPr>
          <w:rFonts w:ascii="Times New Roman" w:hAnsi="Times New Roman"/>
          <w:b w:val="false"/>
          <w:i w:val="false"/>
          <w:color w:val="000000"/>
          <w:sz w:val="22"/>
        </w:rPr>
        <w:t>Medication monitoring services are provided by a psychiatric nurse and other team members under the supervision of a psychiatrist or psychiatric nurse and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the member’s day-to-day functioning, medication compliance, and access to medications;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the member keeps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for treatment and service plan coordination. </w:t>
      </w:r>
      <w:r>
        <w:rPr>
          <w:rFonts w:ascii="Times New Roman" w:hAnsi="Times New Roman"/>
          <w:b w:val="false"/>
          <w:i w:val="false"/>
          <w:color w:val="000000"/>
          <w:sz w:val="22"/>
        </w:rPr>
        <w:t>Case management consists of the development by the ACT team of an individualized treatment and service plan, including personalized goals and outcomes, to address the member’s medical symptoms and remedial functional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Case management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Assessments, referrals, follow-up, and monitoring.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the member in gaining access to necessary medical, social, educational, and other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Assessing the member to determine service needs by collecting relevant historical information through member records and other information from relevant professionals and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Develop a specific care plan based on the assessment of needs, including goals and actions to address the needed medical, social, educational, and other necessary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Make referrals to services and related activities to assist the member with the assessed needs.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Monitor and perform follow-up activities necessary to ensure that the plan is carried out and that the member has access to necessary services. Activities may include monitoring contacts with providers, family members, natural supports, and others.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Hold daily team meetings to facilitate ACT services and coordinate the member’s care with other members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Crisis response. </w:t>
      </w:r>
      <w:r>
        <w:rPr>
          <w:rFonts w:ascii="Times New Roman" w:hAnsi="Times New Roman"/>
          <w:b w:val="false"/>
          <w:i w:val="false"/>
          <w:color w:val="000000"/>
          <w:sz w:val="22"/>
        </w:rPr>
        <w:t>Crisis response consists of direct assessment and treatment of the member’s urgent or crisis symptoms in the community by a registered nurse, licensed mental health professional, psychologist, substance abuse counselor, community support specialist, case manager, advanced registered nurse practitioner, or physician assistant,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Work-related services. </w:t>
      </w:r>
      <w:r>
        <w:rPr>
          <w:rFonts w:ascii="Times New Roman" w:hAnsi="Times New Roman"/>
          <w:b w:val="false"/>
          <w:i w:val="false"/>
          <w:color w:val="000000"/>
          <w:sz w:val="22"/>
        </w:rPr>
        <w:t>Work-related services may be provided by a registered nurse, licensed mental health professional, psychologist, substance abuse counselor, community support specialist, case manager, advanced registered nurse practitioner, or physician assistant. Services consist of assisting the member in managing mental health symptoms as they relate to job performance.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Collaborating with the member to look for job situations that may cause symptoms to increase and creating strategies to manage these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member to develop or enhance skills to obtain a work placement, such as individual work-related behavioral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supports to maintain employment, such as crisis intervention related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communication, problem solving, and safety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Teaching personal skills such as time management and appropriate grooming for employment.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1850C</w:t>
      </w:r>
      <w:r>
        <w:rPr>
          <w:rFonts w:ascii="Times New Roman" w:hAnsi="Times New Roman"/>
          <w:b w:val="false"/>
          <w:i w:val="false"/>
          <w:color w:val="000000"/>
          <w:sz w:val="16"/>
        </w:rPr>
        <w:t>, IAB 2/4/15, effective 4/1/15</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441—78.46</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disability waiver service. </w:t>
      </w:r>
      <w:r>
        <w:rPr>
          <w:rFonts w:ascii="Times New Roman" w:hAnsi="Times New Roman"/>
          <w:b w:val="false"/>
          <w:i w:val="false"/>
          <w:color w:val="000000"/>
          <w:sz w:val="22"/>
        </w:rPr>
        <w:t xml:space="preserve">Payment shall be approved for the following services to members eligible for the HCBS physical disability waiver as established in </w:t>
      </w:r>
      <w:hyperlink r:id="rId43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78.46(1)</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service. </w:t>
      </w:r>
      <w:r>
        <w:rPr>
          <w:rFonts w:ascii="Times New Roman" w:hAnsi="Times New Roman"/>
          <w:b w:val="false"/>
          <w:i w:val="false"/>
          <w:color w:val="000000"/>
          <w:sz w:val="22"/>
        </w:rPr>
        <w:t xml:space="preserve">Consumer-directed attendant care services are service activities performed by a person to help a member with self-care tasks which the member would typically do independently if the member were otherwise able. Covered service activities are limited to the nonskilled activities listed in paragraph </w:t>
      </w:r>
      <w:hyperlink r:id="rId433">
        <w:r>
          <w:rPr>
            <w:rStyle w:val="Hyperlink"/>
            <w:rFonts w:ascii="Times New Roman" w:hAnsi="Times New Roman"/>
            <w:b w:val="false"/>
            <w:i w:val="false"/>
            <w:color w:val="000000"/>
            <w:sz w:val="22"/>
          </w:rPr>
          <w:t>78.46(1)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434">
        <w:r>
          <w:rPr>
            <w:rStyle w:val="Hyperlink"/>
            <w:rFonts w:ascii="Times New Roman" w:hAnsi="Times New Roman"/>
            <w:b w:val="false"/>
            <w:i w:val="false"/>
            <w:color w:val="000000"/>
            <w:sz w:val="22"/>
          </w:rPr>
          <w:t>78.46(1)</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sign, and date Form 470-3372, HCBS Consumer-Directed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consumer-directed attendant care as allowed by </w:t>
      </w:r>
      <w:hyperlink r:id="rId435">
        <w:r>
          <w:rPr>
            <w:rStyle w:val="Hyperlink"/>
            <w:rFonts w:ascii="Times New Roman" w:hAnsi="Times New Roman"/>
            <w:b w:val="false"/>
            <w:i w:val="false"/>
            <w:color w:val="000000"/>
            <w:sz w:val="22"/>
          </w:rPr>
          <w:t>441—paragraph 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 xml:space="preserve">Skilled consumer-directed attendant care services shall be provided under the supervision of a licensed nurse or licensed therapist working under the direction of a physician. The licensed nurse or therapist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consumer-directed attendant care provider shall document evidence of compliance with the requirements of this chapter and rule </w:t>
      </w:r>
      <w:hyperlink r:id="rId43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consumer-directed attendant care provider. Providers must use an electronic visit verification system that captures all documentation requirements of the Consumer-Directed Attendant Care (CDAC) Service Record (Form 470-4389) or use Form 470-4389. Any service component that is not documented in accordance with rule </w:t>
      </w:r>
      <w:hyperlink r:id="rId437">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shall not be payable.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consumer-directed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individual or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Bathing, shampooing, hygiene, and grooming.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consumer-directed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consumer-directed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78.46(2)</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438">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payment shall be made to the enrolled home or vehicle modification provider. If applicable, payment will be forwarded to the subcontracting agency by the enrolled home or vehicle modification provider following completion of the approved modifications. Payment of up to $6,872.85 per year may be made to certified providers upon satisfactory completion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necessary components of a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shall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78.46(4)</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 shall include medically necessary items which are for personal use by members with a physical disability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the health and safety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not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not funded by educational or vocational rehabilitation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not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aids and organizers.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Medicine dispensing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Noncovered environmental control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up to $6,872.85 per year may be made to enrolled specialized medical equipment providers upon satisfactory receipt of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specialized medical equipment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Documented by a health care professional as necessary for the member’s health and safety,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39">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78.46(6)</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The consumer choices option is service activities provided pursuant to subrule 78.34(13).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78.46(7)</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physical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9045B</w:t>
      </w:r>
      <w:r>
        <w:rPr>
          <w:rFonts w:ascii="Times New Roman" w:hAnsi="Times New Roman"/>
          <w:b w:val="false"/>
          <w:i w:val="false"/>
          <w:color w:val="000000"/>
          <w:sz w:val="16"/>
        </w:rPr>
        <w:t>, IAB 9/8/10,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2050C</w:t>
      </w:r>
      <w:r>
        <w:rPr>
          <w:rFonts w:ascii="Times New Roman" w:hAnsi="Times New Roman"/>
          <w:b w:val="false"/>
          <w:i w:val="false"/>
          <w:color w:val="000000"/>
          <w:sz w:val="16"/>
        </w:rPr>
        <w:t>, IAB 7/8/15,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5597C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441—78.47</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Pharmaceutical case management services. </w:t>
      </w:r>
      <w:r>
        <w:rPr>
          <w:rFonts w:ascii="Times New Roman" w:hAnsi="Times New Roman"/>
          <w:b w:val="false"/>
          <w:i w:val="false"/>
          <w:color w:val="000000"/>
          <w:sz w:val="22"/>
        </w:rPr>
        <w:t>Payment will be approved for pharmaceutical case management services provided by an eligible physician and pharmacist for Medicaid recipients determined to be at high risk for medication-related problems. These services are designed to identify, prevent, and resolve medication-related problems and improve drug therapy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78.47(1)</w:t>
      </w:r>
      <w:r>
        <w:rPr>
          <w:rFonts w:ascii="Times New Roman" w:hAnsi="Times New Roman"/>
          <w:b w:val="false"/>
          <w:i w:val="false"/>
          <w:color w:val="000000"/>
          <w:sz w:val="22"/>
        </w:rPr>
        <w:t> </w:t>
      </w:r>
      <w:r>
        <w:rPr>
          <w:rFonts w:ascii="Times New Roman" w:hAnsi="Times New Roman"/>
          <w:b w:val="false"/>
          <w:i/>
          <w:color w:val="000000"/>
          <w:sz w:val="22"/>
        </w:rPr>
        <w:t xml:space="preserve">Medicaid recipient eligibility. </w:t>
      </w:r>
      <w:r>
        <w:rPr>
          <w:rFonts w:ascii="Times New Roman" w:hAnsi="Times New Roman"/>
          <w:b w:val="false"/>
          <w:i w:val="false"/>
          <w:color w:val="000000"/>
          <w:sz w:val="22"/>
        </w:rPr>
        <w:t>Patients are eligible for pharmaceutical case management services if they have active prescriptions for four or more regularly scheduled nontopical medications, are ambulatory, do not reside in a nursing facility, and have at least one of the eligible disease states of congestive heart disease, ischemic heart disease, diabetes mellitus, hypertension, hyperlipidemia, asthma, depression, atrial fibrillation, osteoarthritis, gastroesophageal reflux, or chronic obstructive pulmonary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78.47(2)</w:t>
      </w:r>
      <w:r>
        <w:rPr>
          <w:rFonts w:ascii="Times New Roman" w:hAnsi="Times New Roman"/>
          <w:b w:val="false"/>
          <w:i w:val="false"/>
          <w:color w:val="000000"/>
          <w:sz w:val="22"/>
        </w:rPr>
        <w:t> </w:t>
      </w:r>
      <w:r>
        <w:rPr>
          <w:rFonts w:ascii="Times New Roman" w:hAnsi="Times New Roman"/>
          <w:b w:val="false"/>
          <w:i/>
          <w:color w:val="000000"/>
          <w:sz w:val="22"/>
        </w:rPr>
        <w:t xml:space="preserve">Provider eligibility. </w:t>
      </w:r>
      <w:r>
        <w:rPr>
          <w:rFonts w:ascii="Times New Roman" w:hAnsi="Times New Roman"/>
          <w:b w:val="false"/>
          <w:i w:val="false"/>
          <w:color w:val="000000"/>
          <w:sz w:val="22"/>
        </w:rPr>
        <w:t>Physicians and pharmacists shall meet the following criteria to provide pharmaceutical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and pharmacists must be enrolled in the Iowa Medicaid program, have an Iowa Medicaid provider number, and receive training under the direction of the department regarding the provision of pharmaceutical case management services under the Iowa Medicaid program.</w:t>
      </w:r>
    </w:p>
    <w:p>
      <w:pPr>
        <w:spacing w:before="0" w:after="0"/>
        <w:ind w:left="120"/>
        <w:jc w:val="both"/>
      </w:pPr>
      <w:r>
        <w:rPr>
          <w:rFonts w:ascii="Times New Roman" w:hAnsi="Times New Roman"/>
          <w:b w:val="false"/>
          <w:i w:val="false"/>
          <w:color w:val="000000"/>
          <w:sz w:val="22"/>
        </w:rPr>
        <w:t>A copy of pharmaceutical case management records, including documentation of services provided, shall be maintained on file in each provider’s facility and be made available for audit by the department 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 shall be licensed to practice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Pharmacists shall present to the department evidence of competency including state licensure, submit five acceptable patient care plans, and have successfully completed professional training on patient-oriented, medication-related problem prevention and resolution. Pharmacists shall also maintain problem-oriented patient records, provide a private patient consultation area, and submit a statement indicating that the submitted patient care plans are representative of the pharmacists’ usual patient care plans.</w:t>
      </w:r>
    </w:p>
    <w:p>
      <w:pPr>
        <w:spacing w:before="0" w:after="0"/>
        <w:ind w:left="120"/>
        <w:jc w:val="both"/>
      </w:pPr>
      <w:r>
        <w:rPr>
          <w:rFonts w:ascii="Times New Roman" w:hAnsi="Times New Roman"/>
          <w:b w:val="false"/>
          <w:i w:val="false"/>
          <w:color w:val="000000"/>
          <w:sz w:val="22"/>
        </w:rPr>
        <w:t>Acceptable professional training programs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doctor of pharmacy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Center for Pharmaceutical Care (ICPC) training program, which is a cooperative training initiative of the University of Iowa College of Pharmacy, Drake University College of Pharmacy and Health Sciences, and the Iowa Pharmacy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programs containing similar coursework and supplemental practice site evaluation and reengineering, approved by the department with input from a peer review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78.47(3)</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Eligible patients may choose whether to receive the services. If patients elect to receive the services, they must receive the services from any eligible physician and pharmacist acting as a pharmaceutical case management (PCM) team. Usually the eligible physician and pharmacist will be the patient’s primary physician and pharmacist. Pharmaceutical case management services are to be value-added services complementary to the basic medical services provided by the primary physician and pharmacist.</w:t>
      </w:r>
    </w:p>
    <w:p>
      <w:pPr>
        <w:spacing w:before="0" w:after="0"/>
        <w:ind w:left="120"/>
        <w:jc w:val="both"/>
      </w:pPr>
      <w:r>
        <w:rPr>
          <w:rFonts w:ascii="Times New Roman" w:hAnsi="Times New Roman"/>
          <w:b w:val="false"/>
          <w:i w:val="false"/>
          <w:color w:val="000000"/>
          <w:sz w:val="22"/>
        </w:rPr>
        <w:t>The PCM team shall provide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The initial assessment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evaluation by the pharmacist, including: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Medication history;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Assessment of indications, effectiveness, safety, and compliance of medication therapy;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Assessment for the presence of untreated illness;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Identification of medication-related problems such as unnecessary medication therapy, suboptimal medication selection, inappropriate compliance, adverse drug reactions, and need for additional medication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report and recommendation from the pharmacist to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patient care action plan developed by the PCM team with the patient’s agreement and implemented by the PCM team. Specific components of the action plan will vary based on patient needs and conditions but may include changes in medication regimen, focused patient or caregiver education, periodic assessment for changes in the patient’s condition, periodic monitoring of the effectiveness of medication therapy, self-management training, provision of patient-specific educational and informational materials, compliance enhancement, and reinforcement of healthy lifestyles. An action plan must be completed for each initial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problem assessments. </w:t>
      </w:r>
      <w:r>
        <w:rPr>
          <w:rFonts w:ascii="Times New Roman" w:hAnsi="Times New Roman"/>
          <w:b w:val="false"/>
          <w:i w:val="false"/>
          <w:color w:val="000000"/>
          <w:sz w:val="22"/>
        </w:rPr>
        <w:t>These assessments are initiated when a new medication-related problem is identified. The action plan is modified and new components are implemented to address the new problem. This assessment may occur in the interim between scheduled follow-up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Problem follow-up assessments. </w:t>
      </w:r>
      <w:r>
        <w:rPr>
          <w:rFonts w:ascii="Times New Roman" w:hAnsi="Times New Roman"/>
          <w:b w:val="false"/>
          <w:i w:val="false"/>
          <w:color w:val="000000"/>
          <w:sz w:val="22"/>
        </w:rPr>
        <w:t>These assessments are based on patient need and a problem identified by a prior assessment. The patient’s status is evaluated at an appropriate interval. The effectiveness of the implemented action plan is determined and modifications are made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Preventive follow-up assessments. </w:t>
      </w:r>
      <w:r>
        <w:rPr>
          <w:rFonts w:ascii="Times New Roman" w:hAnsi="Times New Roman"/>
          <w:b w:val="false"/>
          <w:i w:val="false"/>
          <w:color w:val="000000"/>
          <w:sz w:val="22"/>
        </w:rPr>
        <w:t>These assessments occur approximately every six months when no current medication-related problems have been identified in prior assessments. The patient is reassessed for newly developed medication-related problems and the action plan is reviewed.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441—78.48</w:t>
      </w:r>
      <w:r>
        <w:rPr>
          <w:rFonts w:ascii="Times New Roman" w:hAnsi="Times New Roman"/>
          <w:b/>
          <w:i w:val="false"/>
          <w:color w:val="000000"/>
          <w:sz w:val="22"/>
        </w:rPr>
        <w:t xml:space="preserve">(249A) </w:t>
      </w:r>
      <w:r>
        <w:rPr>
          <w:rFonts w:ascii="Times New Roman" w:hAnsi="Times New Roman"/>
          <w:b/>
          <w:i w:val="false"/>
          <w:color w:val="000000"/>
          <w:sz w:val="22"/>
        </w:rPr>
        <w:t xml:space="preserve">Public health agencies. </w:t>
      </w:r>
      <w:r>
        <w:rPr>
          <w:rFonts w:ascii="Times New Roman" w:hAnsi="Times New Roman"/>
          <w:b w:val="false"/>
          <w:i w:val="false"/>
          <w:color w:val="000000"/>
          <w:sz w:val="22"/>
        </w:rPr>
        <w:t>Payments will be made to local public health agencies on a fee schedule basis for providing vaccine and vaccine administration and testing for communicable disease. In order to be paid for the administration of a vaccine covered under the Vaccines for Children (VFC) Program, a public health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0358C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441—78.49</w:t>
      </w:r>
      <w:r>
        <w:rPr>
          <w:rFonts w:ascii="Times New Roman" w:hAnsi="Times New Roman"/>
          <w:b/>
          <w:i w:val="false"/>
          <w:color w:val="000000"/>
          <w:sz w:val="22"/>
        </w:rPr>
        <w:t xml:space="preserve">(249A) </w:t>
      </w:r>
      <w:r>
        <w:rPr>
          <w:rFonts w:ascii="Times New Roman" w:hAnsi="Times New Roman"/>
          <w:b/>
          <w:i w:val="false"/>
          <w:color w:val="000000"/>
          <w:sz w:val="22"/>
        </w:rPr>
        <w:t xml:space="preserve">Infant and toddler program services. </w:t>
      </w:r>
      <w:r>
        <w:rPr>
          <w:rFonts w:ascii="Times New Roman" w:hAnsi="Times New Roman"/>
          <w:b w:val="false"/>
          <w:i w:val="false"/>
          <w:color w:val="000000"/>
          <w:sz w:val="22"/>
        </w:rPr>
        <w:t>Subject to the following subrules, payment shall be made for medical services provided to Medicaid eligible children by infant and toddler program providers under the infants and toddlers with disabilities program administered by the Iowa Child Health Specialty Clinics and the departments of education, public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psychological evaluation and counseling, health and nursing services, nutrition services, occupational therapy services, physical therapy services, developmental services, speech-language services, vision services, case management, and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Payment shall also be approved for infant and toddler case management services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“Case management” means services that will assist eligible children in gaining access to needed medical, social, educational, and other services. Case management is intended to address the complexities of coordinated service delivery for children with medical needs. The case manager should be the focus for coordinating and overseeing the effectiveness of all providers and programs in responding to the assessed need. Case management does not include the direct delivery of an underlying medical, educational, social, or other service to which an eligible child has been referred or any activities that are an integral part or an extension of the direct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Choice of provider. </w:t>
      </w:r>
      <w:r>
        <w:rPr>
          <w:rFonts w:ascii="Times New Roman" w:hAnsi="Times New Roman"/>
          <w:b w:val="false"/>
          <w:i w:val="false"/>
          <w:color w:val="000000"/>
          <w:sz w:val="22"/>
        </w:rPr>
        <w:t xml:space="preserve">Children who also are eligible to receive targeted case management services under </w:t>
      </w:r>
      <w:hyperlink r:id="rId443">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must choose whether to receive case management through the infant and toddler program or through </w:t>
      </w:r>
      <w:hyperlink r:id="rId444">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The chosen provider must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child resides in a medical institution, the institution is responsible for case management. The child is not eligible for any other case management services. However, noninstitutional case management services may be provided during the last 14 days before the child’s planned discharge if the child’s stay in the institution has been less than 180 consecutive days. If the child has been in the institution 180 consecutive days or longer, the child may receive noninstitutional case management services during the last 60 days before the child’s planned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management agency also provides direct services, the case management unit must be designed so that conflict of interest is addressed and does not result in self-referrals.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costs of any part of case management services are reimbursable under another program, the costs must be allocated between those programs and Medicaid in accordance with OMB Circular No. A-87 or any related or successor guidance or regulations regarding allocation of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case manager must complete a competency-based training program with content related to knowledge and understanding of eligible children, Early ACCESS rules, the nature and scope of services in Early ACCESS, and the system of payments for services, as well as case management responsibilities and strategies. The department of education or its designee shall determine whether a person has successfully completed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case manager shall conduct a comprehensive assessment and periodic reassessment of an eligible child to identify all of the child’s service needs, including the need for any medical, educational, social, or other services. Assessment activities are defined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Taking the child’s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Gathering information from other sources, such as family members, medical providers, social workers, and educators, if necessary, to form a complete assessment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documentation of the information gathered and the assessment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Repeating the assessment every six months to determine whether the child’s needs or preferences have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 of care. </w:t>
      </w:r>
      <w:r>
        <w:rPr>
          <w:rFonts w:ascii="Times New Roman" w:hAnsi="Times New Roman"/>
          <w:b w:val="false"/>
          <w:i w:val="false"/>
          <w:color w:val="000000"/>
          <w:sz w:val="22"/>
        </w:rPr>
        <w:t>The case manager shall develop a plan of care based on the information collected through the assessment or reassessment.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child’s strengths and preferences;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Consider the child’s physical and social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goals of providing services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actions to address the child’s medical, social, educational, and other service needs. These actions may include activities such as ensuring the active participation of the child and working with the child or the child’s authorized health care decision maker and others to develop goals and identify a course of action to respond to the assessed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service components. </w:t>
      </w:r>
      <w:r>
        <w:rPr>
          <w:rFonts w:ascii="Times New Roman" w:hAnsi="Times New Roman"/>
          <w:b w:val="false"/>
          <w:i w:val="false"/>
          <w:color w:val="000000"/>
          <w:sz w:val="22"/>
        </w:rPr>
        <w:t>Case management must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Contacts with the child and family. The case manager shall have face-to-face contact with the child and family within the first 30 days of service and every three months thereafter. In months in which there is no face-to-face contact, a telephone contact between the service coordinator and the family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and related activities to help a child obtain needed services. The case manager shall help to link the child with medical, social, or educational providers or other programs and services that are capable of providing needed services. Referral activities do not include provision of the direct services, program, or activity to which the child has been linked. Referral activities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Assisting the family in gaining access to the infant and toddler program services and other services identified in the child’s plan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the family in identifying available service providers and funding resources and documenting unmet needs and gaps in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Making referrals to providers for needed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Scheduling appointments for the child.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Facilitating the timely delivery of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Arranging payment for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and follow-up activities. Monitoring activities shall take place at least once annually for the duration of the child’s eligibility, but may be conducted as frequently as necessary to ensure that the plan of care is effectively implemented and adequately addresses the needs of the child. Monitoring and follow-up activities may be with the child, family members, providers, or other entities. The purpose of these activities is to help determine: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services are being furnished in accordance with the child’s plan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services in the plan of care are adequate to meet the needs of the child.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Whether there are changes in the needs or status of the child. If there are changes in the child’s needs or status, follow-up activities shall include making necessary adjustments to the plan of care and to service arrangements with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Keeping records, including preparing reports, updating the plan of care, making notes about plan activities in the child’s record, and preparing and responding to correspondence with the family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case management. </w:t>
      </w:r>
      <w:r>
        <w:rPr>
          <w:rFonts w:ascii="Times New Roman" w:hAnsi="Times New Roman"/>
          <w:b w:val="false"/>
          <w:i w:val="false"/>
          <w:color w:val="000000"/>
          <w:sz w:val="22"/>
        </w:rPr>
        <w:t>For each child receiving case management, case records must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of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chosen by the family to provide the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content, and units of case management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goals specified in the care plan have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family has declined services in the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Time lines for providing services and reassessment;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need for and occurrences of coordination with case managers of other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78.49(3)</w:t>
      </w:r>
      <w:r>
        <w:rPr>
          <w:rFonts w:ascii="Times New Roman" w:hAnsi="Times New Roman"/>
          <w:b w:val="false"/>
          <w:i w:val="false"/>
          <w:color w:val="000000"/>
          <w:sz w:val="22"/>
        </w:rPr>
        <w:t> </w:t>
      </w:r>
      <w:r>
        <w:rPr>
          <w:rFonts w:ascii="Times New Roman" w:hAnsi="Times New Roman"/>
          <w:b w:val="false"/>
          <w:i/>
          <w:color w:val="000000"/>
          <w:sz w:val="22"/>
        </w:rPr>
        <w:t xml:space="preserve">Child’s eligibility. </w:t>
      </w:r>
      <w:r>
        <w:rPr>
          <w:rFonts w:ascii="Times New Roman" w:hAnsi="Times New Roman"/>
          <w:b w:val="false"/>
          <w:i w:val="false"/>
          <w:color w:val="000000"/>
          <w:sz w:val="22"/>
        </w:rPr>
        <w:t>Payable services must be provided to a child under the age of 36 months who is experiencing developmental delay or who has a condition that is known to have a high probability of resulting in developmental delay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78.49(4)</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infant and toddler program provider or by a practitioner under contract with the infant and toddler program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78.49(5)</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shall sign and return Form 470-3816, Medicaid Billing Remittance, along with the funds remitted for the nonfederal share of the costs of the services specified on the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441—78.50</w:t>
      </w:r>
      <w:r>
        <w:rPr>
          <w:rFonts w:ascii="Times New Roman" w:hAnsi="Times New Roman"/>
          <w:b/>
          <w:i w:val="false"/>
          <w:color w:val="000000"/>
          <w:sz w:val="22"/>
        </w:rPr>
        <w:t xml:space="preserve">(249A) </w:t>
      </w:r>
      <w:r>
        <w:rPr>
          <w:rFonts w:ascii="Times New Roman" w:hAnsi="Times New Roman"/>
          <w:b/>
          <w:i w:val="false"/>
          <w:color w:val="000000"/>
          <w:sz w:val="22"/>
        </w:rPr>
        <w:t xml:space="preserve">Local education agency services. </w:t>
      </w:r>
      <w:r>
        <w:rPr>
          <w:rFonts w:ascii="Times New Roman" w:hAnsi="Times New Roman"/>
          <w:b w:val="false"/>
          <w:i w:val="false"/>
          <w:color w:val="000000"/>
          <w:sz w:val="22"/>
        </w:rPr>
        <w:t>Subject to the following subrules, payment shall be made for medical services provided by local education agency services providers to Medicaid members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services, behavior services, consultation services, medical transportation, nursing services, nutrition services, occupational therapy services, personal assistance, physical therapy services, psychologist services, speech-language services, social work services, vision services, and school-based clinic visit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local education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supplies shall be approved when the supplies are incidental to the patient’s care, e.g., syringes for injections, and do not exceed $25 per month. Durable medical equipment and other supplies are not covered as local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that federal funding is not available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payment for transportation between home and school is not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78.50(3)</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local education agency services providers or by a practitioner under contract with the local education agency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78.50(4)</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services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provider shall sign and return Form 470-3816, Medicaid Billing Remittance, along with the funds remitted for the nonfederal share of the costs of the services as specified on the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0065C</w:t>
      </w:r>
      <w:r>
        <w:rPr>
          <w:rFonts w:ascii="Times New Roman" w:hAnsi="Times New Roman"/>
          <w:b w:val="false"/>
          <w:i w:val="false"/>
          <w:color w:val="000000"/>
          <w:sz w:val="16"/>
        </w:rPr>
        <w:t>, IAB 4/4/12, effective 6/1/12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441—78.51</w:t>
      </w:r>
      <w:r>
        <w:rPr>
          <w:rFonts w:ascii="Times New Roman" w:hAnsi="Times New Roman"/>
          <w:b/>
          <w:i w:val="false"/>
          <w:color w:val="000000"/>
          <w:sz w:val="22"/>
        </w:rPr>
        <w:t xml:space="preserve">(249A) </w:t>
      </w:r>
      <w:r>
        <w:rPr>
          <w:rFonts w:ascii="Times New Roman" w:hAnsi="Times New Roman"/>
          <w:b/>
          <w:i w:val="false"/>
          <w:color w:val="000000"/>
          <w:sz w:val="22"/>
        </w:rPr>
        <w:t xml:space="preserve">Indian health service 638 facility services. </w:t>
      </w:r>
      <w:r>
        <w:rPr>
          <w:rFonts w:ascii="Times New Roman" w:hAnsi="Times New Roman"/>
          <w:b w:val="false"/>
          <w:i w:val="false"/>
          <w:color w:val="000000"/>
          <w:sz w:val="22"/>
        </w:rPr>
        <w:t xml:space="preserve">Payment shall be made for all medically necessary services and supplies provided by a licensed practitioner at an Indian health service 638 facility, as defined at rule </w:t>
      </w:r>
      <w:hyperlink r:id="rId447">
        <w:r>
          <w:rPr>
            <w:rStyle w:val="Hyperlink"/>
            <w:rFonts w:ascii="Times New Roman" w:hAnsi="Times New Roman"/>
            <w:b w:val="false"/>
            <w:i w:val="false"/>
            <w:color w:val="000000"/>
            <w:sz w:val="22"/>
          </w:rPr>
          <w:t>441—77.45</w:t>
        </w:r>
      </w:hyperlink>
      <w:r>
        <w:rPr>
          <w:rFonts w:ascii="Times New Roman" w:hAnsi="Times New Roman"/>
          <w:b w:val="false"/>
          <w:i w:val="false"/>
          <w:color w:val="000000"/>
          <w:sz w:val="22"/>
        </w:rPr>
        <w:t xml:space="preserve">(249A), within the practitioner’s scope of practice and subject to the limitations and exclusions set forth in subrule </w:t>
      </w:r>
      <w:hyperlink r:id="rId448">
        <w:r>
          <w:rPr>
            <w:rStyle w:val="Hyperlink"/>
            <w:rFonts w:ascii="Times New Roman" w:hAnsi="Times New Roman"/>
            <w:b w:val="false"/>
            <w:i w:val="false"/>
            <w:color w:val="000000"/>
            <w:sz w:val="22"/>
          </w:rPr>
          <w:t>78.1(1)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441—78.52</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children’s mental health waiver services. </w:t>
      </w:r>
      <w:r>
        <w:rPr>
          <w:rFonts w:ascii="Times New Roman" w:hAnsi="Times New Roman"/>
          <w:b w:val="false"/>
          <w:i w:val="false"/>
          <w:color w:val="000000"/>
          <w:sz w:val="22"/>
        </w:rPr>
        <w:t xml:space="preserve">Payment will be approved for the following services to members eligible for the HCBS children’s mental health waiver as established in </w:t>
      </w:r>
      <w:hyperlink r:id="rId450">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Effective March 17, 2022,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78.52(1)</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children’s mental health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441—subrule 77.25(4). The member service plan or treatment plan shall include documentation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restrictions on the member’s rights, including the rights of privacy, dignity, respect, and freedom from coercion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 intrusive methods of meeting the need that have been tried but did not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plan to restore those rights or written documentation that a plan is not necessary or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time limits for periodic reviews to determine if the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assurance that the interventions and supports will cause no harm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regular collection and review of data to measure the ongoing effectiveness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78.52(2)</w:t>
      </w:r>
      <w:r>
        <w:rPr>
          <w:rFonts w:ascii="Times New Roman" w:hAnsi="Times New Roman"/>
          <w:b w:val="false"/>
          <w:i w:val="false"/>
          <w:color w:val="000000"/>
          <w:sz w:val="22"/>
        </w:rPr>
        <w:t> </w:t>
      </w:r>
      <w:r>
        <w:rPr>
          <w:rFonts w:ascii="Times New Roman" w:hAnsi="Times New Roman"/>
          <w:b w:val="false"/>
          <w:i/>
          <w:color w:val="000000"/>
          <w:sz w:val="22"/>
        </w:rPr>
        <w:t xml:space="preserve">Environmental modifications and adaptive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Environmental modifications and adaptive devices include medically necessary items installed or used within the member’s home that are used by the member to address specific, documented health, mental health, or safety concerns. The following items are excluded under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Items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Items funded by educational or vocational rehabilitation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Items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modification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unit of service provided, the case manager shall maintain in the member’s case file a signed statement from a mental health professional on the member’s interdisciplinary team that the service has a direct relationship to the member’s diagnosis of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The amount of the fee shall be determined as directed in </w:t>
      </w:r>
      <w:hyperlink r:id="rId451">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support services. </w:t>
      </w:r>
      <w:r>
        <w:rPr>
          <w:rFonts w:ascii="Times New Roman" w:hAnsi="Times New Roman"/>
          <w:b w:val="false"/>
          <w:i w:val="false"/>
          <w:color w:val="000000"/>
          <w:sz w:val="22"/>
        </w:rPr>
        <w:t>Family and community support services shall support the member and the member’s family by the development and implementation of strategies and interventions that will result in the reduction of stress and depression and will increase the member’s and the family’s social and emotional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Dependent on the needs of the member and the member’s family members individually or collectively, family and community support services may be provided to the member, to the member’s family members, or to the member and the family members as a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and community support services shall be provided under the recommendation and direction of a mental health professional who is a member of the member’s interdisciplinary team pursuant to </w:t>
      </w:r>
      <w:hyperlink r:id="rId45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shall incorporate recommended support interventions and activities,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Developing and maintaining a crisis support network for the member and for the member’s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Modeling and coaching effective coping strategies for the member’s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Building resilience to the stigma of serious emotional disturbance for the member and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Reducing the stigma of serious emotional disturbance by the development of relationships with peers and community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Modeling and coaching the strategies and interventions identified in the member’s crisis intervention plan as defined in </w:t>
      </w:r>
      <w:hyperlink r:id="rId453">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for life situations with the member’s family and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Developing medication management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Developing personal hygiene and grooming skills that contribute to the member’s positive self-image.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Developing positive socialization and citizenship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may include an amount not to exceed $1500 per member per year for transportation within the community and purchase of therapeutic resources. Therapeutic resources may include books, training materials, and visual or audio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must have identified the transportation or therapeutic resource as a support need and included that need in the case manager’s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amount available for transportation and therapeutic resources must be listed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legal guardian shall submit a signed statement that the transportation or therapeutic resource cannot be provided by the member or the member’s family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Medicaid case manager shall maintain a signed statement that potential community resources are unavailable and shall list the community resources contacted to fund the transportation or therapeutic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transportation or therapeutic resource must not be otherwise eligible for Medicaid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components are specifically excluded from family and community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Academic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General supervision and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unit of family and community support services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78.52(4)</w:t>
      </w:r>
      <w:r>
        <w:rPr>
          <w:rFonts w:ascii="Times New Roman" w:hAnsi="Times New Roman"/>
          <w:b w:val="false"/>
          <w:i w:val="false"/>
          <w:color w:val="000000"/>
          <w:sz w:val="22"/>
        </w:rPr>
        <w:t> </w:t>
      </w:r>
      <w:r>
        <w:rPr>
          <w:rFonts w:ascii="Times New Roman" w:hAnsi="Times New Roman"/>
          <w:b w:val="false"/>
          <w:i/>
          <w:color w:val="000000"/>
          <w:sz w:val="22"/>
        </w:rPr>
        <w:t xml:space="preserve">In-home family therapy. </w:t>
      </w:r>
      <w:r>
        <w:rPr>
          <w:rFonts w:ascii="Times New Roman" w:hAnsi="Times New Roman"/>
          <w:b w:val="false"/>
          <w:i w:val="false"/>
          <w:color w:val="000000"/>
          <w:sz w:val="22"/>
        </w:rPr>
        <w:t>In-home family therapy provides skilled therapeutic services to the member and family that will increase their ability to cope with the effects of serious emotional disturbance on the family unit and the familial relationships. The service must support the family by the development of coping strategies that will enable the member to continue living within the family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goal of in-home family therapy is to maintain a cohesive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In-home family therapy is exclusive of and cannot serve as a substitute for individual therapy, family therapy, or other mental health therapy that may be obtained through Medicaid or other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in-home family therapy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Respite services provided outside the member’s home shall not be reimbursable if the living unit where respite care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45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members who require nursing care because of a mental or physical condition must be provided by a health care facility licensed under Iowa Code chapter </w:t>
      </w:r>
      <w:hyperlink r:id="rId45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0707C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0709C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441—78.53</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home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w:t>
      </w:r>
      <w:r>
        <w:rPr>
          <w:rFonts w:ascii="Times New Roman" w:hAnsi="Times New Roman"/>
          <w:b w:val="false"/>
          <w:i w:val="false"/>
          <w:color w:val="000000"/>
          <w:sz w:val="22"/>
        </w:rPr>
        <w:t xml:space="preserve">means, for purposes of this rule, one of the conditions outlined in </w:t>
      </w:r>
      <w:hyperlink r:id="rId457">
        <w:r>
          <w:rPr>
            <w:rStyle w:val="Hyperlink"/>
            <w:rFonts w:ascii="Times New Roman" w:hAnsi="Times New Roman"/>
            <w:b w:val="false"/>
            <w:i w:val="false"/>
            <w:color w:val="000000"/>
            <w:sz w:val="22"/>
          </w:rPr>
          <w:t>subparagraph 78.53(3)</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w:t>
      </w:r>
      <w:r>
        <w:rPr>
          <w:rFonts w:ascii="Times New Roman" w:hAnsi="Times New Roman"/>
          <w:b w:val="false"/>
          <w:i w:val="false"/>
          <w:color w:val="000000"/>
          <w:sz w:val="22"/>
        </w:rPr>
        <w:t xml:space="preserve">means a health home that meets the criteria in </w:t>
      </w:r>
      <w:hyperlink r:id="rId458">
        <w:r>
          <w:rPr>
            <w:rStyle w:val="Hyperlink"/>
            <w:rFonts w:ascii="Times New Roman" w:hAnsi="Times New Roman"/>
            <w:b w:val="false"/>
            <w:i w:val="false"/>
            <w:color w:val="000000"/>
            <w:sz w:val="22"/>
          </w:rPr>
          <w:t>441—subrule 77.47(2)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home” </w:t>
      </w:r>
      <w:r>
        <w:rPr>
          <w:rFonts w:ascii="Times New Roman" w:hAnsi="Times New Roman"/>
          <w:b w:val="false"/>
          <w:i w:val="false"/>
          <w:color w:val="000000"/>
          <w:sz w:val="22"/>
        </w:rPr>
        <w:t>means a chronic condition health home or an integrated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w:t>
      </w:r>
      <w:r>
        <w:rPr>
          <w:rFonts w:ascii="Times New Roman" w:hAnsi="Times New Roman"/>
          <w:b w:val="false"/>
          <w:i w:val="false"/>
          <w:color w:val="000000"/>
          <w:sz w:val="22"/>
        </w:rPr>
        <w:t xml:space="preserve">means a health home that meets the criteria in </w:t>
      </w:r>
      <w:hyperlink r:id="rId459">
        <w:r>
          <w:rPr>
            <w:rStyle w:val="Hyperlink"/>
            <w:rFonts w:ascii="Times New Roman" w:hAnsi="Times New Roman"/>
            <w:b w:val="false"/>
            <w:i w:val="false"/>
            <w:color w:val="000000"/>
            <w:sz w:val="22"/>
          </w:rPr>
          <w:t>441—subrule 77.47(3)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“Person-centered care plan” </w:t>
      </w:r>
      <w:r>
        <w:rPr>
          <w:rFonts w:ascii="Times New Roman" w:hAnsi="Times New Roman"/>
          <w:b w:val="false"/>
          <w:i w:val="false"/>
          <w:color w:val="000000"/>
          <w:sz w:val="22"/>
        </w:rPr>
        <w:t>means a care plan created through the person-centered planning process, directed by the member or the member’s guardian or representative, for a member receiving non-intensive care management or chronic condition health home services, to identify the member’s strengths, capabilities, preferences, needs, goals, and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plan” </w:t>
      </w:r>
      <w:r>
        <w:rPr>
          <w:rFonts w:ascii="Times New Roman" w:hAnsi="Times New Roman"/>
          <w:b w:val="false"/>
          <w:i w:val="false"/>
          <w:color w:val="000000"/>
          <w:sz w:val="22"/>
        </w:rPr>
        <w:t xml:space="preserve">means a service plan (1) created through the person-centered planning process in accordance with subrule </w:t>
      </w:r>
      <w:hyperlink r:id="rId460">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rule </w:t>
      </w:r>
      <w:hyperlink r:id="rId461">
        <w:r>
          <w:rPr>
            <w:rStyle w:val="Hyperlink"/>
            <w:rFonts w:ascii="Times New Roman" w:hAnsi="Times New Roman"/>
            <w:b w:val="false"/>
            <w:i w:val="false"/>
            <w:color w:val="000000"/>
            <w:sz w:val="22"/>
          </w:rPr>
          <w:t>441—83.127</w:t>
        </w:r>
      </w:hyperlink>
      <w:r>
        <w:rPr>
          <w:rFonts w:ascii="Times New Roman" w:hAnsi="Times New Roman"/>
          <w:b w:val="false"/>
          <w:i w:val="false"/>
          <w:color w:val="000000"/>
          <w:sz w:val="22"/>
        </w:rPr>
        <w:t xml:space="preserve">(249A) and </w:t>
      </w:r>
      <w:hyperlink r:id="rId462">
        <w:r>
          <w:rPr>
            <w:rStyle w:val="Hyperlink"/>
            <w:rFonts w:ascii="Times New Roman" w:hAnsi="Times New Roman"/>
            <w:b w:val="false"/>
            <w:i w:val="false"/>
            <w:color w:val="000000"/>
            <w:sz w:val="22"/>
          </w:rPr>
          <w:t>441—paragraph 90.4(1)</w:t>
        </w:r>
        <w:r>
          <w:rPr>
            <w:rFonts w:ascii="Times New Roman" w:hAnsi="Times New Roman"/>
            <w:b w:val="false"/>
            <w:i/>
            <w:color w:val="000000"/>
            <w:sz w:val="22"/>
          </w:rPr>
          <w:t>“b”</w:t>
        </w:r>
      </w:hyperlink>
      <w:r>
        <w:rPr>
          <w:rFonts w:ascii="Times New Roman" w:hAnsi="Times New Roman"/>
          <w:b w:val="false"/>
          <w:i w:val="false"/>
          <w:color w:val="000000"/>
          <w:sz w:val="22"/>
        </w:rPr>
        <w:t>; (2) directed by the member or the member’s guardian or representative; (3) for a member receiving intensive care management services; and (4) for the purposes of identifying the member’s strengths, capabilities, preferences, needs, and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A health home provides team-based, whole person, person-centered, coordinated care for all aspects of the member’s life and for transitions of care that the member may experience. A health home provides the following core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Comprehensive care management. </w:t>
      </w:r>
      <w:r>
        <w:rPr>
          <w:rFonts w:ascii="Times New Roman" w:hAnsi="Times New Roman"/>
          <w:b w:val="false"/>
          <w:i w:val="false"/>
          <w:color w:val="000000"/>
          <w:sz w:val="22"/>
        </w:rPr>
        <w:t>Comprehensive care management is the initial and ongoing assessment and care management services aimed at the integration of primary, behavioral and specialty health care, and community support services, using a comprehensive person-centered care plan or service plan that addresses all clinical and nonclinical needs and promotes wellness and management of chronic conditions in pursuit of optimal health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 coordination. </w:t>
      </w:r>
      <w:r>
        <w:rPr>
          <w:rFonts w:ascii="Times New Roman" w:hAnsi="Times New Roman"/>
          <w:b w:val="false"/>
          <w:i w:val="false"/>
          <w:color w:val="000000"/>
          <w:sz w:val="22"/>
        </w:rPr>
        <w:t>Care coordination includes assisting members with medication adherence, appointments, referral scheduling, understanding health insurance coverage, reminders, transition of care, wellness education, health support, lifestyle modification, and behavior changes. The health home must work with providers to coordinate, direct, and ensure results are communicated back to the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Health promotion. </w:t>
      </w:r>
      <w:r>
        <w:rPr>
          <w:rFonts w:ascii="Times New Roman" w:hAnsi="Times New Roman"/>
          <w:b w:val="false"/>
          <w:i w:val="false"/>
          <w:color w:val="000000"/>
          <w:sz w:val="22"/>
        </w:rPr>
        <w:t>Health promotion includes the education and engagement of a member in making decisions that promote health management, improved disease outcomes, disease prevention, safety, and an overall healthy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Comprehensive transitional care. </w:t>
      </w:r>
      <w:r>
        <w:rPr>
          <w:rFonts w:ascii="Times New Roman" w:hAnsi="Times New Roman"/>
          <w:b w:val="false"/>
          <w:i w:val="false"/>
          <w:color w:val="000000"/>
          <w:sz w:val="22"/>
        </w:rPr>
        <w:t>Comprehensive transitional care is the facilitation of services for the member that provides support when the member is transitioning between levels of care (nursing facility, hospital, rehabilitation facility, community-based group home, family, self-care, or another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 and family support. </w:t>
      </w:r>
      <w:r>
        <w:rPr>
          <w:rFonts w:ascii="Times New Roman" w:hAnsi="Times New Roman"/>
          <w:b w:val="false"/>
          <w:i w:val="false"/>
          <w:color w:val="000000"/>
          <w:sz w:val="22"/>
        </w:rPr>
        <w:t>Individual and family support services include communication with the member and the member’s family and caregivers to maintain and promote quality of life, with particular focus on community living options. Support will be provided in a culturally 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Referral to community and social support services. </w:t>
      </w:r>
      <w:r>
        <w:rPr>
          <w:rFonts w:ascii="Times New Roman" w:hAnsi="Times New Roman"/>
          <w:b w:val="false"/>
          <w:i w:val="false"/>
          <w:color w:val="000000"/>
          <w:sz w:val="22"/>
        </w:rPr>
        <w:t>Referral to community and social support services includes coordinating or providing recovery services and social health services available in the community, including resources for understanding eligibility for various health care programs, disability benefits, and identifying housing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78.53(3)</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for health home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member eligibility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chronic condition health home services, the member must have one of the following chronic conditions and be at risk of having a second chronic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mental health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substance use disorder.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Asthma.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Heart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Being overweight, as evidenced by: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Having a body mass index (BMI) over 25 for an adult,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Weighing over the 85th percentile for the pediatric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Hypertension.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Chronic obstructive pulmonary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risk” means a documented family history of a verified heritable condition described above, a diagnosed medical condition with an established comorbidity to a condition described above, or a verified environmental exposure to an agent or condition known to be the cause of a condition from the conditions described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eligible member criteria. </w:t>
      </w:r>
      <w:r>
        <w:rPr>
          <w:rFonts w:ascii="Times New Roman" w:hAnsi="Times New Roman"/>
          <w:b w:val="false"/>
          <w:i w:val="false"/>
          <w:color w:val="000000"/>
          <w:sz w:val="22"/>
        </w:rPr>
        <w:t xml:space="preserve">To be eligible for integrated health home services, the member must have a serious mental illness or serious emotional disturbance, as such terms are defined in </w:t>
      </w:r>
      <w:hyperlink r:id="rId463">
        <w:r>
          <w:rPr>
            <w:rStyle w:val="Hyperlink"/>
            <w:rFonts w:ascii="Times New Roman" w:hAnsi="Times New Roman"/>
            <w:b w:val="false"/>
            <w:i w:val="false"/>
            <w:color w:val="000000"/>
            <w:sz w:val="22"/>
          </w:rPr>
          <w:t>441—subrule 77.47(1)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78.53(4)</w:t>
      </w:r>
      <w:r>
        <w:rPr>
          <w:rFonts w:ascii="Times New Roman" w:hAnsi="Times New Roman"/>
          <w:b w:val="false"/>
          <w:i w:val="false"/>
          <w:color w:val="000000"/>
          <w:sz w:val="22"/>
        </w:rPr>
        <w:t> </w:t>
      </w:r>
      <w:r>
        <w:rPr>
          <w:rFonts w:ascii="Times New Roman" w:hAnsi="Times New Roman"/>
          <w:b w:val="false"/>
          <w:i/>
          <w:color w:val="000000"/>
          <w:sz w:val="22"/>
        </w:rPr>
        <w:t xml:space="preserve">Member identification and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members are identified through a referral from the department, lead entity, primary care provider, hospital, other providers, the member, or the member’s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home confirms eligibility for health home services by obtaining assessment documentation from the member’s licensed mental health professional or the patient tiering assignment tool (PTAT).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home must explain to the member, in a format easily understood by the member, how the team works together with the member at the center to improve the member’s care, as well as all team member roles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health home must advise members of their ability and the process to opt out of health home services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Eligible members must agree to participate in the health home program, and the health home must document the member’s agreement in the member’s record before submitting an enrollment request. A member cannot be in more than one health home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health home must assess the member’s continued eligibility for health home services on an annual basis to ensure the member remains eligible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78.53(5)</w:t>
      </w:r>
      <w:r>
        <w:rPr>
          <w:rFonts w:ascii="Times New Roman" w:hAnsi="Times New Roman"/>
          <w:b w:val="false"/>
          <w:i w:val="false"/>
          <w:color w:val="000000"/>
          <w:sz w:val="22"/>
        </w:rPr>
        <w:t> </w:t>
      </w:r>
      <w:r>
        <w:rPr>
          <w:rFonts w:ascii="Times New Roman" w:hAnsi="Times New Roman"/>
          <w:b w:val="false"/>
          <w:i/>
          <w:color w:val="000000"/>
          <w:sz w:val="22"/>
        </w:rPr>
        <w:t xml:space="preserve">Health home documentation. </w:t>
      </w:r>
      <w:r>
        <w:rPr>
          <w:rFonts w:ascii="Times New Roman" w:hAnsi="Times New Roman"/>
          <w:b w:val="false"/>
          <w:i w:val="false"/>
          <w:color w:val="000000"/>
          <w:sz w:val="22"/>
        </w:rPr>
        <w:t xml:space="preserve">A health home must maintain adequate supporting documentation in readily reviewable form to ensure all state and federal requirements related to health home services have been met. All health home services must be documented in accordance with rule </w:t>
      </w:r>
      <w:hyperlink r:id="rId46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At a minimum, the health home must document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Eligibility documentation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member presented to the health home, including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needs and plan to assess for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member is eligible for health home services. If a member is not eligible, the health home must document the plan to support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Qualifying diagnosis that makes the member eligible for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Member agreement and understanding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Enrollment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Enrollment with the health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Plan to complete the comprehensive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Documentation of continued eligibility, reviewed annually and maintained in the member’s service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Comprehensive assessment. </w:t>
      </w:r>
      <w:r>
        <w:rPr>
          <w:rFonts w:ascii="Times New Roman" w:hAnsi="Times New Roman"/>
          <w:b w:val="false"/>
          <w:i w:val="false"/>
          <w:color w:val="000000"/>
          <w:sz w:val="22"/>
        </w:rPr>
        <w:t>The comprehensive assessment must include all aspects of a member’s life and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must be completed within 30 days of enrollment, and at least every 365 days, or more frequently when the member’s needs or circumstances change significantly or at the request of the member or member’s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for members enrolled to receive non-intensive care management or enrolled in the chronic condition health home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current and historical information provided by the member, the lead entity, and other health care providers that support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of physical and behavioral health needs, medication reconciliation, functional limitations, and appropriate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social environment so that the plan of care incorporates areas of needs, strengths, preferences, and risk factors;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 readiness for self-management using screenings and assessments with standardized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comprehensive assessment for members enrolled to receive intensive care management must be in a format designated by the department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relevant history, including the findings from the independent evaluation of eligibility, medical records, an objective evaluation of functional ability, and any other records or information needed to complete the comprehensive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physical, cognitive, and behavioral health care and support needs; strengths and preferences; available service and housing options; and, if unpaid caregivers will be relied upon to implement any elements of the person-centered service plan, a caregiver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no state plan HCBS is provided that would otherwise be available to the member through other Medicaid services or other federally funded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state plan HCBS and HCBS approved under </w:t>
      </w:r>
      <w:hyperlink r:id="rId46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documentation that HCBS provided through the state plan and waiver are not duplicative.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and person-centered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non-intensive care management or enrolled in the chronic condition health home, documentation must include a person-centered care plan that meets the requirements as defined in </w:t>
      </w:r>
      <w:hyperlink r:id="rId466">
        <w:r>
          <w:rPr>
            <w:rStyle w:val="Hyperlink"/>
            <w:rFonts w:ascii="Times New Roman" w:hAnsi="Times New Roman"/>
            <w:b w:val="false"/>
            <w:i w:val="false"/>
            <w:color w:val="000000"/>
            <w:sz w:val="22"/>
          </w:rPr>
          <w:t>subrule 78.53(1)</w:t>
        </w:r>
      </w:hyperlink>
      <w:r>
        <w:rPr>
          <w:rFonts w:ascii="Times New Roman" w:hAnsi="Times New Roman"/>
          <w:b w:val="false"/>
          <w:i w:val="false"/>
          <w:color w:val="000000"/>
          <w:sz w:val="22"/>
        </w:rPr>
        <w:t xml:space="preserve"> and the health home state plan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receiving intensive care management, documentation must include a service plan that meets the requirements of rule </w:t>
      </w:r>
      <w:hyperlink r:id="rId467">
        <w:r>
          <w:rPr>
            <w:rStyle w:val="Hyperlink"/>
            <w:rFonts w:ascii="Times New Roman" w:hAnsi="Times New Roman"/>
            <w:b w:val="false"/>
            <w:i w:val="false"/>
            <w:color w:val="000000"/>
            <w:sz w:val="22"/>
          </w:rPr>
          <w:t>441—78.27</w:t>
        </w:r>
      </w:hyperlink>
      <w:r>
        <w:rPr>
          <w:rFonts w:ascii="Times New Roman" w:hAnsi="Times New Roman"/>
          <w:b w:val="false"/>
          <w:i w:val="false"/>
          <w:color w:val="000000"/>
          <w:sz w:val="22"/>
        </w:rPr>
        <w:t xml:space="preserve">(249A) or </w:t>
      </w:r>
      <w:hyperlink r:id="rId468">
        <w:r>
          <w:rPr>
            <w:rStyle w:val="Hyperlink"/>
            <w:rFonts w:ascii="Times New Roman" w:hAnsi="Times New Roman"/>
            <w:b w:val="false"/>
            <w:i w:val="false"/>
            <w:color w:val="000000"/>
            <w:sz w:val="22"/>
          </w:rPr>
          <w:t>441—83.127</w:t>
        </w:r>
      </w:hyperlink>
      <w:r>
        <w:rPr>
          <w:rFonts w:ascii="Times New Roman" w:hAnsi="Times New Roman"/>
          <w:b w:val="false"/>
          <w:i w:val="false"/>
          <w:color w:val="000000"/>
          <w:sz w:val="22"/>
        </w:rPr>
        <w:t xml:space="preserve">(249A) and </w:t>
      </w:r>
      <w:hyperlink r:id="rId469">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must reflect an update of the plan no less often than every 365 days and when significant changes occur in the member’s support needs,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Core services. </w:t>
      </w:r>
      <w:r>
        <w:rPr>
          <w:rFonts w:ascii="Times New Roman" w:hAnsi="Times New Roman"/>
          <w:b w:val="false"/>
          <w:i w:val="false"/>
          <w:color w:val="000000"/>
          <w:sz w:val="22"/>
        </w:rPr>
        <w:t xml:space="preserve">Documentation must reflect monthly provision of one of the six core health home services as outlined in </w:t>
      </w:r>
      <w:hyperlink r:id="rId470">
        <w:r>
          <w:rPr>
            <w:rStyle w:val="Hyperlink"/>
            <w:rFonts w:ascii="Times New Roman" w:hAnsi="Times New Roman"/>
            <w:b w:val="false"/>
            <w:i w:val="false"/>
            <w:color w:val="000000"/>
            <w:sz w:val="22"/>
          </w:rPr>
          <w:t>subrule 78.53(2)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Intensive health home services. </w:t>
      </w:r>
      <w:r>
        <w:rPr>
          <w:rFonts w:ascii="Times New Roman" w:hAnsi="Times New Roman"/>
          <w:b w:val="false"/>
          <w:i w:val="false"/>
          <w:color w:val="000000"/>
          <w:sz w:val="22"/>
        </w:rPr>
        <w:t>A health home must provide documentation to justify provision of more intensive health home services, including documentation that the member is enrolled to receive services through the HCBS habilitation or HCBS children’s mental health waiver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Continuity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home must maintain a continuity of care document in each enrolled member’s record and provide this document to the department, the lead entity, and the member’s treating providers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continuity of care document must include, at a minimum, all aspects of the member’s medical and behavioral health needs, treatment plan, and medication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Disenrollment. </w:t>
      </w:r>
      <w:r>
        <w:rPr>
          <w:rFonts w:ascii="Times New Roman" w:hAnsi="Times New Roman"/>
          <w:b w:val="false"/>
          <w:i w:val="false"/>
          <w:color w:val="000000"/>
          <w:sz w:val="22"/>
        </w:rPr>
        <w:t>Members are able to opt out of health home services at any time. The health home must document a member’s request to disenroll from health home services, the reason for disenrollment, how the member’s needs will be supported after disenrollment, and that the health home has advised the member of the ability to re-enroll if circumstances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78.53(6)</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health home services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eligible for Medicaid and enrolled in the health home for the month of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provides at least one of the six core health home services described in </w:t>
      </w:r>
      <w:hyperlink r:id="rId471">
        <w:r>
          <w:rPr>
            <w:rStyle w:val="Hyperlink"/>
            <w:rFonts w:ascii="Times New Roman" w:hAnsi="Times New Roman"/>
            <w:b w:val="false"/>
            <w:i w:val="false"/>
            <w:color w:val="000000"/>
            <w:sz w:val="22"/>
          </w:rPr>
          <w:t>subrule 78.53(2)</w:t>
        </w:r>
      </w:hyperlink>
      <w:r>
        <w:rPr>
          <w:rFonts w:ascii="Times New Roman" w:hAnsi="Times New Roman"/>
          <w:b w:val="false"/>
          <w:i w:val="false"/>
          <w:color w:val="000000"/>
          <w:sz w:val="22"/>
        </w:rPr>
        <w:t xml:space="preserve"> during the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maintains the documentation outlined in </w:t>
      </w:r>
      <w:hyperlink r:id="rId472">
        <w:r>
          <w:rPr>
            <w:rStyle w:val="Hyperlink"/>
            <w:rFonts w:ascii="Times New Roman" w:hAnsi="Times New Roman"/>
            <w:b w:val="false"/>
            <w:i w:val="false"/>
            <w:color w:val="000000"/>
            <w:sz w:val="22"/>
          </w:rPr>
          <w:t>subrule 78.53(5)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member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home must report the informational-only code in addition to the billing procedure code and modifier for one or more of the core services provided to the member during the month on the claim for 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441—78.54</w:t>
      </w:r>
      <w:r>
        <w:rPr>
          <w:rFonts w:ascii="Times New Roman" w:hAnsi="Times New Roman"/>
          <w:b/>
          <w:i w:val="false"/>
          <w:color w:val="000000"/>
          <w:sz w:val="22"/>
        </w:rPr>
        <w:t xml:space="preserve">(249A) </w:t>
      </w:r>
      <w:r>
        <w:rPr>
          <w:rFonts w:ascii="Times New Roman" w:hAnsi="Times New Roman"/>
          <w:b/>
          <w:i w:val="false"/>
          <w:color w:val="000000"/>
          <w:sz w:val="22"/>
        </w:rPr>
        <w:t xml:space="preserve">Speech-language pathology services. </w:t>
      </w:r>
      <w:r>
        <w:rPr>
          <w:rFonts w:ascii="Times New Roman" w:hAnsi="Times New Roman"/>
          <w:b w:val="false"/>
          <w:i w:val="false"/>
          <w:color w:val="000000"/>
          <w:sz w:val="22"/>
        </w:rPr>
        <w:t xml:space="preserve">Payment will be approved for the same services provided by a speech-language pathologist that are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0360C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441—78.55</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Services rendered via telehealth. </w:t>
      </w:r>
      <w:r>
        <w:rPr>
          <w:rFonts w:ascii="Times New Roman" w:hAnsi="Times New Roman"/>
          <w:b w:val="false"/>
          <w:i w:val="false"/>
          <w:color w:val="000000"/>
          <w:sz w:val="22"/>
        </w:rPr>
        <w:t xml:space="preserve">An in-person contact between a health care professional and a patient is not required as a prerequisite for payment for otherwise-covered services appropriately provided through telehealth in accordance with generally accepted health care practices and standards prevailing in the applicable professional community at the time the services are provided, as well as being in accordance with provisions under rule </w:t>
      </w:r>
      <w:hyperlink r:id="rId475">
        <w:r>
          <w:rPr>
            <w:rStyle w:val="Hyperlink"/>
            <w:rFonts w:ascii="Times New Roman" w:hAnsi="Times New Roman"/>
            <w:b w:val="false"/>
            <w:i w:val="false"/>
            <w:color w:val="000000"/>
            <w:sz w:val="22"/>
          </w:rPr>
          <w:t>653—13.11</w:t>
        </w:r>
      </w:hyperlink>
      <w:r>
        <w:rPr>
          <w:rFonts w:ascii="Times New Roman" w:hAnsi="Times New Roman"/>
          <w:b w:val="false"/>
          <w:i w:val="false"/>
          <w:color w:val="000000"/>
          <w:sz w:val="22"/>
        </w:rPr>
        <w:t>(147,148,272C). Health care services provided through in-person consultations or through telehealth shall be treated as equivalent services for the purposes of reimbursement.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2166C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Community-based neurobehavioral rehabilitation services. </w:t>
      </w:r>
      <w:r>
        <w:rPr>
          <w:rFonts w:ascii="Times New Roman" w:hAnsi="Times New Roman"/>
          <w:b w:val="false"/>
          <w:i w:val="false"/>
          <w:color w:val="000000"/>
          <w:sz w:val="22"/>
        </w:rPr>
        <w:t>Payment will be made for community-based neurobehavioral rehabilitation services that do not duplicate other services covered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w:t>
      </w:r>
      <w:r>
        <w:rPr>
          <w:rFonts w:ascii="Times New Roman" w:hAnsi="Times New Roman"/>
          <w:b w:val="false"/>
          <w:i w:val="false"/>
          <w:color w:val="000000"/>
          <w:sz w:val="22"/>
        </w:rPr>
        <w:t xml:space="preserve">means a diagnosis in accordance with rule </w:t>
      </w:r>
      <w:hyperlink r:id="rId477">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w:t>
      </w:r>
      <w:r>
        <w:rPr>
          <w:rFonts w:ascii="Times New Roman" w:hAnsi="Times New Roman"/>
          <w:b w:val="false"/>
          <w:i w:val="false"/>
          <w:color w:val="000000"/>
          <w:sz w:val="22"/>
        </w:rPr>
        <w:t>means the services provided by trained and licensed health care professionals to restore or maintain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community-based neurobehavioral rehabilitation services” </w:t>
      </w:r>
      <w:r>
        <w:rPr>
          <w:rFonts w:ascii="Times New Roman" w:hAnsi="Times New Roman"/>
          <w:b w:val="false"/>
          <w:i w:val="false"/>
          <w:color w:val="000000"/>
          <w:sz w:val="22"/>
        </w:rPr>
        <w:t>are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47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“Neurobehavioral rehabilitation” </w:t>
      </w:r>
      <w:r>
        <w:rPr>
          <w:rFonts w:ascii="Times New Roman" w:hAnsi="Times New Roman"/>
          <w:b w:val="false"/>
          <w:i w:val="false"/>
          <w:color w:val="000000"/>
          <w:sz w:val="22"/>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“Standardized assessment” </w:t>
      </w:r>
      <w:r>
        <w:rPr>
          <w:rFonts w:ascii="Times New Roman" w:hAnsi="Times New Roman"/>
          <w:b w:val="false"/>
          <w:i w:val="false"/>
          <w:color w:val="000000"/>
          <w:sz w:val="22"/>
        </w:rPr>
        <w:t>means a valid, reliable, and comprehensive functional assessment tool(s) or process, or both, approved by the department for use in the assessment of a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community-based neurobehavioral rehabilitation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Brain injury diagnosis. </w:t>
      </w:r>
      <w:r>
        <w:rPr>
          <w:rFonts w:ascii="Times New Roman" w:hAnsi="Times New Roman"/>
          <w:b w:val="false"/>
          <w:i w:val="false"/>
          <w:color w:val="000000"/>
          <w:sz w:val="22"/>
        </w:rPr>
        <w:t xml:space="preserve">To be eligible for community-based neurobehavioral rehabilitation services, the member must have a brain injury diagnosis as set forth in rule </w:t>
      </w:r>
      <w:hyperlink r:id="rId479">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has the following post-brain injury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exhibiting neurobehavioral symptoms in such frequency or severity that the member has undergone or is currently undergoing treatment more intensive than outpatient care and is currently hospitalized, institutionalized, incarcerated or homeless or is at risk of hospitalization, institutionalization, incarceration or homelessness;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presenting with neurobehavioral or psychiatric symptoms resulting in at least one episode that required professional supportive care more intensive than outpatient care more than once in a lifetime (e.g., emergency services, alternative home care, partial hospitalization, or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member exhibits neurobehavioral symptoms in such frequency, severity or intensity that community-based neurobehavioral rehabilitation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member shall have an assessment of need completed prior to admission. The member shall have the Mayo-Portland Adaptability Inventory (MPAI) assessment completed by a qualified trained assessor. The assessment of need shall document the member’s need for community-based neurobehavioral rehabilitation, and the medical services unit of the Iowa Medicaid enterprise or the member’s managed care organization has determined that the member is in need of specialty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Standards for assessment. </w:t>
      </w:r>
      <w:r>
        <w:rPr>
          <w:rFonts w:ascii="Times New Roman" w:hAnsi="Times New Roman"/>
          <w:b w:val="false"/>
          <w:i w:val="false"/>
          <w:color w:val="000000"/>
          <w:sz w:val="22"/>
        </w:rPr>
        <w:t xml:space="preserve">Each member will have had the MPAI assessment completed within the 90 days prior to admission. In addition to the functional assessment, the needs assessment will have been completed and will include the assessment of a member’s individual physical, emotional, cognitive, medical and psychosocial residuals related to the member’s brain injury and must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neurobehavioral needs that put the member at risk, including but not limited to verbal aggression, physical aggression, self-harm, unwanted sexual behavior, cognitive and or behavioral perseveration, wandering or elopement, lack of motivation, lack of initiation or other unwanted social behaviors not otherwise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triggers of unwanted behaviors and the member’s ability to self-manage the member’s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rehabilitation and medical care history to include medication history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employment history and the member’s barriers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dietary and nutritional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community accessibility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access to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member’s history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member’s vulnerability to exploitation and history of risk of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member’s history and status of relationships, natural supports and socialization.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admission. </w:t>
      </w:r>
      <w:r>
        <w:rPr>
          <w:rFonts w:ascii="Times New Roman" w:hAnsi="Times New Roman"/>
          <w:b w:val="false"/>
          <w:i w:val="false"/>
          <w:color w:val="000000"/>
          <w:sz w:val="22"/>
        </w:rPr>
        <w:t>In the event that emergency admission is required, the assessment shall be completed within ten calendar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78.56(3)</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residential rehabilitation services are provided to a member living in a three-to-five-bed residential care facility with a specialized license designation issued by the department of inspections and appeals;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Community-based neurobehavioral intermittent rehabilitation services are provided to a member living in the member’s own residence in the community. </w:t>
      </w:r>
    </w:p>
    <w:p>
      <w:pPr>
        <w:spacing w:before="0" w:after="0"/>
        <w:ind w:left="120"/>
        <w:jc w:val="both"/>
      </w:pPr>
      <w:r>
        <w:rPr>
          <w:rFonts w:ascii="Times New Roman" w:hAnsi="Times New Roman"/>
          <w:b w:val="false"/>
          <w:i w:val="false"/>
          <w:color w:val="000000"/>
          <w:sz w:val="22"/>
        </w:rPr>
        <w:t>No payment shall be made for community-based neurobehavioral rehabilitation when provided in a medical institution such as an intermediate care facility for persons with intellectual disabilities, nursing facility or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residential services identified in the treatment plan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Prescriptive programming to maintain and advance progress made in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in obtaining preventative, appropriate and timely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coordinating and obtaining physical, oral, or mental health care and any other professional services necessary to the member’s health and well-being;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Behavioral and cognitive programming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consultation with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Health and wellness management including dietary and nutritional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Progressive physical strengthening, fitness and retraining;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obtaining and use of 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Sobriety support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preparation for transition to less intensive services including accessing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in seeking substance abuse and co-occurring disorders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with obtaining legal consultation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community accessibility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household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recreational and leisure skill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Opportunities to learn about brain injury and individual needs following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Assistance with pursuit of education and employment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Protective oversight in the residential setting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support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 of a program structure and support for members served so they can relearn or regain skills for maximum independence, community access, and integration.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intermittent services identified in the treatment plan may occur in the member’s own home with or on behalf of the member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Promotion of a program structure and support for members served so they can re-learn or regain skills for maximum community inclusion and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Behavioral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obtaining and use of assistive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the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community-based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Transitional support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of treatment plan. The community-based neurobehavioral services provider shall submit the proposed plan of care, the results of the member’s formal assessment, and medical documentation supporting a brain injury diagnosis to the Iowa Medicaid enterprise (IME) medical services unit for approval before providing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 treatment plan. Within 30 days of admission, the provider shall submit the member’s treatment plan to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will approve the provider’s treatment plan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treatment plan conforms to the medical necessity requirements in subrule </w:t>
      </w:r>
      <w:hyperlink r:id="rId480">
        <w:r>
          <w:rPr>
            <w:rStyle w:val="Hyperlink"/>
            <w:rFonts w:ascii="Times New Roman" w:hAnsi="Times New Roman"/>
            <w:b w:val="false"/>
            <w:i w:val="false"/>
            <w:color w:val="000000"/>
            <w:sz w:val="22"/>
          </w:rPr>
          <w:t>78.55(4)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treatment plan is consistent with the written diagnosis and treatment recommendations made by a licensed medical professional that is a licensed neuropsychologist or neurologist, M.D., or D.O.;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treatment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provider can demonstrate that the provider possesses the skills and resources necessary to implement the plan;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treatment plan does not exceed 180 days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treatment summary detailing the member’s response to treatment during the previous approval period must be submitted when approval for subsequent plans is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plans. The IME medical services unit may approve a subsequent neurobehavioral rehabilitation treatment plan that conforms to the conditions of medical necessity pursuant to subrule </w:t>
      </w:r>
      <w:hyperlink r:id="rId481">
        <w:r>
          <w:rPr>
            <w:rStyle w:val="Hyperlink"/>
            <w:rFonts w:ascii="Times New Roman" w:hAnsi="Times New Roman"/>
            <w:b w:val="false"/>
            <w:i w:val="false"/>
            <w:color w:val="000000"/>
            <w:sz w:val="22"/>
          </w:rPr>
          <w:t>78.56(4)</w:t>
        </w:r>
      </w:hyperlink>
      <w:r>
        <w:rPr>
          <w:rFonts w:ascii="Times New Roman" w:hAnsi="Times New Roman"/>
          <w:b w:val="false"/>
          <w:i w:val="false"/>
          <w:color w:val="000000"/>
          <w:sz w:val="22"/>
        </w:rPr>
        <w:t xml:space="preserve"> and to the conditions pursuant to subrule </w:t>
      </w:r>
      <w:hyperlink r:id="rId482">
        <w:r>
          <w:rPr>
            <w:rStyle w:val="Hyperlink"/>
            <w:rFonts w:ascii="Times New Roman" w:hAnsi="Times New Roman"/>
            <w:b w:val="false"/>
            <w:i w:val="false"/>
            <w:color w:val="000000"/>
            <w:sz w:val="22"/>
          </w:rPr>
          <w:t>78.56(3)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Quality review. The IME medical services unit may perform the quality review to evaluate: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elapsed from referral to rehabilitation treatment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continuity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length of stay per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affiliation of the medical professional recommending services with the neurobehavioral rehabilitation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Gaps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 and stakeholder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compliance with standards listed in rule </w:t>
      </w:r>
      <w:hyperlink r:id="rId483">
        <w:r>
          <w:rPr>
            <w:rStyle w:val="Hyperlink"/>
            <w:rFonts w:ascii="Times New Roman" w:hAnsi="Times New Roman"/>
            <w:b w:val="false"/>
            <w:i w:val="false"/>
            <w:color w:val="000000"/>
            <w:sz w:val="22"/>
          </w:rPr>
          <w:t>441—77.54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78.56(4)</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community-based neurobehavioral rehabilitation services from the requirement that services be medically necessary.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good medical practice. The standards of good practice for each field of medical and remedial care covered by the Iowa Medicaid program are those standards of good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best practices in the field.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78.56(5)</w:t>
      </w:r>
      <w:r>
        <w:rPr>
          <w:rFonts w:ascii="Times New Roman" w:hAnsi="Times New Roman"/>
          <w:b w:val="false"/>
          <w:i w:val="false"/>
          <w:color w:val="000000"/>
          <w:sz w:val="22"/>
        </w:rPr>
        <w:t> </w:t>
      </w:r>
      <w:r>
        <w:rPr>
          <w:rFonts w:ascii="Times New Roman" w:hAnsi="Times New Roman"/>
          <w:b w:val="false"/>
          <w:i/>
          <w:color w:val="000000"/>
          <w:sz w:val="22"/>
        </w:rPr>
        <w:t xml:space="preserve">Documentation standards. </w:t>
      </w:r>
      <w:r>
        <w:rPr>
          <w:rFonts w:ascii="Times New Roman" w:hAnsi="Times New Roman"/>
          <w:b w:val="false"/>
          <w:i w:val="false"/>
          <w:color w:val="000000"/>
          <w:sz w:val="22"/>
        </w:rPr>
        <w:t xml:space="preserve">Community-based neurobehavioral rehabilitation service providers shall maintain service provision records, financial records, and clinical records in accordance with the provisions of rule </w:t>
      </w:r>
      <w:hyperlink r:id="rId48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2341C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4792C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441—78.57</w:t>
      </w:r>
      <w:r>
        <w:rPr>
          <w:rFonts w:ascii="Times New Roman" w:hAnsi="Times New Roman"/>
          <w:b/>
          <w:i w:val="false"/>
          <w:color w:val="000000"/>
          <w:sz w:val="22"/>
        </w:rPr>
        <w:t xml:space="preserve">(249A) </w:t>
      </w:r>
      <w:r>
        <w:rPr>
          <w:rFonts w:ascii="Times New Roman" w:hAnsi="Times New Roman"/>
          <w:b/>
          <w:i w:val="false"/>
          <w:color w:val="000000"/>
          <w:sz w:val="22"/>
        </w:rPr>
        <w:t xml:space="preserve">Child care medical services. </w:t>
      </w:r>
      <w:r>
        <w:rPr>
          <w:rFonts w:ascii="Times New Roman" w:hAnsi="Times New Roman"/>
          <w:b w:val="false"/>
          <w:i w:val="false"/>
          <w:color w:val="000000"/>
          <w:sz w:val="22"/>
        </w:rPr>
        <w:t xml:space="preserve">Payments will be made to licensed child care centers that provide medical services in addition to child care. Medically necessary services are provided under a plan of care that is developed by licensed professionals within their scope of practice and authorized by the member’s physician. The services include and implement a comprehensive protocol of care that is developed in conjunction with the parent or guardian and specifies the medical, nursing, personal care, psychosocial and developmental therapies required by the medically dependent or technologically dependent child served.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78.57(1)</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are services which are provided by a registered nurse or a licensed practical nurse under the direction of the member’s physician to a member in a licensed child care center. Nursing services shall be provided according to a written plan of care authorized by a physician. Payment for nursing services may be approved if the services are determined to be medically necessary as defined in subrule </w:t>
      </w:r>
      <w:hyperlink r:id="rId486">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xml:space="preserve">. Nursing services include activities that require the expertise of a nurse, such as physical assessment, tracheostomy care, medication administration, and tube feedings.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which are provided by an aide but are delegated and supervised by a registered nurse under the direction of the member’s physician. Payment for personal care services may be approved if the services are determined to be medically necessary as defined in subrule </w:t>
      </w:r>
      <w:hyperlink r:id="rId487">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Personal care services shall be in accordance with the member’s plan of care and authorized by a physician. Personal care services include the activities of daily living, oral hygiene, grooming, toileting, feeding, range of motion and positioning, and training the member in necessary self-help skills, including teaching prosocial skills and reinforcing positive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78.57(3)</w:t>
      </w:r>
      <w:r>
        <w:rPr>
          <w:rFonts w:ascii="Times New Roman" w:hAnsi="Times New Roman"/>
          <w:b w:val="false"/>
          <w:i w:val="false"/>
          <w:color w:val="000000"/>
          <w:sz w:val="22"/>
        </w:rPr>
        <w:t> </w:t>
      </w:r>
      <w:r>
        <w:rPr>
          <w:rFonts w:ascii="Times New Roman" w:hAnsi="Times New Roman"/>
          <w:b w:val="false"/>
          <w:i w:val="false"/>
          <w:color w:val="000000"/>
          <w:sz w:val="22"/>
        </w:rPr>
        <w:t xml:space="preserve">Psychosocial services are those services that focus at decreasing or eliminating maladaptive behaviors. Payment for psychosocial services may be approved if the services are determined to be medically necessary as defined in subrule </w:t>
      </w:r>
      <w:hyperlink r:id="rId488">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Psychosocial services shall be in accordance with the member’s plan of care and authorized by a physician. Psychosocial services include implementing a plan using clinically accepted techniques for decreasing or eliminating maladaptive behaviors. Psychosocial intervention plans must be developed and reviewed by licensed mental health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78.57(4)</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therapies are those services which are provided by an aide but are delegated and supervised by a licensed therapist under the direction of the member’s physician. Payment for developmental therapies may be approved if the services are determined to be medically necessary as defined in subrule </w:t>
      </w:r>
      <w:hyperlink r:id="rId489">
        <w:r>
          <w:rPr>
            <w:rStyle w:val="Hyperlink"/>
            <w:rFonts w:ascii="Times New Roman" w:hAnsi="Times New Roman"/>
            <w:b w:val="false"/>
            <w:i w:val="false"/>
            <w:color w:val="000000"/>
            <w:sz w:val="22"/>
          </w:rPr>
          <w:t>78.57(5)</w:t>
        </w:r>
      </w:hyperlink>
      <w:r>
        <w:rPr>
          <w:rFonts w:ascii="Times New Roman" w:hAnsi="Times New Roman"/>
          <w:b w:val="false"/>
          <w:i w:val="false"/>
          <w:color w:val="000000"/>
          <w:sz w:val="22"/>
        </w:rPr>
        <w:t>. Developmental therapies shall be in accordance with the member’s plan of care and authorized by a physician. Developmental therapies include activities based on the individual’s needs such as fine motor, gross motor, and receptive expressive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78.57(5)</w:t>
      </w:r>
      <w:r>
        <w:rPr>
          <w:rFonts w:ascii="Times New Roman" w:hAnsi="Times New Roman"/>
          <w:b w:val="false"/>
          <w:i w:val="false"/>
          <w:color w:val="000000"/>
          <w:sz w:val="22"/>
        </w:rPr>
        <w:t> </w:t>
      </w:r>
      <w:r>
        <w:rPr>
          <w:rFonts w:ascii="Times New Roman" w:hAnsi="Times New Roman"/>
          <w:b w:val="false"/>
          <w:i w:val="false"/>
          <w:color w:val="000000"/>
          <w:sz w:val="22"/>
        </w:rPr>
        <w:t>“Medically necessary” means the service is reasonably calculated to prevent, diagnose, correct, cure, alleviate or prevent the worsening of conditions that endanger life, cause pain, result in illness or infirmity, or threaten to cause or aggravate a disability or chronic illness and is an effective course of treatment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78.57(6)</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ordered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 The request for prior authorization shall include a nursing assessment, the plan of care, and supporting documentation. A treatment plan shall be completed prior to the start of care and at a minimum reviewed every 180 days thereafter.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on which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last seen by a primary care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Physician’s signature and date. The treatment plan must be signed and dated by the physician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Form 470-5686 is utilized during the prior authorization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78.57(7)</w:t>
      </w:r>
      <w:r>
        <w:rPr>
          <w:rFonts w:ascii="Times New Roman" w:hAnsi="Times New Roman"/>
          <w:b w:val="false"/>
          <w:i w:val="false"/>
          <w:color w:val="000000"/>
          <w:sz w:val="22"/>
        </w:rPr>
        <w:t> </w:t>
      </w:r>
      <w:r>
        <w:rPr>
          <w:rFonts w:ascii="Times New Roman" w:hAnsi="Times New Roman"/>
          <w:b w:val="false"/>
          <w:i w:val="false"/>
          <w:color w:val="000000"/>
          <w:sz w:val="22"/>
        </w:rPr>
        <w:t>Nursing, personal care, and psychosocial services do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to members aged 21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that require prior authorizations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provided simultaneously with other Medicaid services (e.g., home health aide, physical, occupational, or speech therapy services, etc.).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exceed the services that are approvable under the private duty nursing and personal care program pursuant to subrule </w:t>
      </w:r>
      <w:hyperlink r:id="rId490">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while the member is in institutional care.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1">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6390C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441—78.58</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Qualified Medicare beneficiary (QMB)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78.58(1)</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Payment will be made to QMB providers for a QMB-eligible member’s coinsurance, copayment, and deductible for Medicare-covered services. The eligible member may be responsible for copayments pursuant to 441—subrule 79.1(13).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cost sharing” </w:t>
      </w:r>
      <w:r>
        <w:rPr>
          <w:rFonts w:ascii="Times New Roman" w:hAnsi="Times New Roman"/>
          <w:b w:val="false"/>
          <w:i w:val="false"/>
          <w:color w:val="000000"/>
          <w:sz w:val="22"/>
        </w:rPr>
        <w:t xml:space="preserve">means the Medicare member’s responsibility for a Medicare-covered service. “Medicare cost sharing” includes coinsurance, copayments, and deductibles.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“QMB” </w:t>
      </w:r>
      <w:r>
        <w:rPr>
          <w:rFonts w:ascii="Times New Roman" w:hAnsi="Times New Roman"/>
          <w:b w:val="false"/>
          <w:i w:val="false"/>
          <w:color w:val="000000"/>
          <w:sz w:val="22"/>
        </w:rPr>
        <w:t xml:space="preserve">means an individual who has been determined eligible for the QMB program pursuant to 441—subrule 75.1(29). Under the QMB program, Medicaid pays the individual’s Medicare Part A and B premiums; coinsurance; copayment; and deductible (except for Part 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441—78.59</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78.59(1)</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A HIPP provider may bill the department for the HIPP-eligible member’s out-of-pocket cost-sharing obligations. Reimbursement of claims is limited to in-network coinsurance, copayments, and deductibles of the HIPP-eligible member’s health insurance, paid for through the HIPP program. The HIPP-eligible member may be responsible for a copayment pursuant to 441—subrule 79.1(13).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means the member’s health insurance in-network responsibility for a covered service. “Cost sharing” includes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member” </w:t>
      </w:r>
      <w:r>
        <w:rPr>
          <w:rFonts w:ascii="Times New Roman" w:hAnsi="Times New Roman"/>
          <w:b w:val="false"/>
          <w:i w:val="false"/>
          <w:color w:val="000000"/>
          <w:sz w:val="22"/>
        </w:rPr>
        <w:t>means an individual eligible for Medicaid pursuant to rule 441—75.1(249A)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and who qualifies for and is participating in the department’s HIPP program prescribed under rule 441—75.21(249A).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premium payment (HIPP)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“HIPP program” </w:t>
      </w:r>
      <w:r>
        <w:rPr>
          <w:rFonts w:ascii="Times New Roman" w:hAnsi="Times New Roman"/>
          <w:b w:val="false"/>
          <w:i w:val="false"/>
          <w:color w:val="000000"/>
          <w:sz w:val="22"/>
        </w:rPr>
        <w:t>has the same meaning as provided in rule 441—75.21(249A).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441—78.60</w:t>
      </w:r>
      <w:r>
        <w:rPr>
          <w:rFonts w:ascii="Times New Roman" w:hAnsi="Times New Roman"/>
          <w:b/>
          <w:i w:val="false"/>
          <w:color w:val="000000"/>
          <w:sz w:val="22"/>
        </w:rPr>
        <w:t xml:space="preserve">(249A) </w:t>
      </w:r>
      <w:r>
        <w:rPr>
          <w:rFonts w:ascii="Times New Roman" w:hAnsi="Times New Roman"/>
          <w:b/>
          <w:i w:val="false"/>
          <w:color w:val="000000"/>
          <w:sz w:val="22"/>
        </w:rPr>
        <w:t xml:space="preserve">Crisis response services. </w:t>
      </w:r>
      <w:r>
        <w:rPr>
          <w:rFonts w:ascii="Times New Roman" w:hAnsi="Times New Roman"/>
          <w:b w:val="false"/>
          <w:i w:val="false"/>
          <w:color w:val="000000"/>
          <w:sz w:val="22"/>
        </w:rPr>
        <w:t xml:space="preserve">Payment will be made to providers (eligible pursuant to rule </w:t>
      </w:r>
      <w:hyperlink r:id="rId494">
        <w:r>
          <w:rPr>
            <w:rStyle w:val="Hyperlink"/>
            <w:rFonts w:ascii="Times New Roman" w:hAnsi="Times New Roman"/>
            <w:b w:val="false"/>
            <w:i w:val="false"/>
            <w:color w:val="000000"/>
            <w:sz w:val="22"/>
          </w:rPr>
          <w:t>441—77.55</w:t>
        </w:r>
      </w:hyperlink>
      <w:r>
        <w:rPr>
          <w:rFonts w:ascii="Times New Roman" w:hAnsi="Times New Roman"/>
          <w:b w:val="false"/>
          <w:i w:val="false"/>
          <w:color w:val="000000"/>
          <w:sz w:val="22"/>
        </w:rPr>
        <w:t xml:space="preserve">(249A)) of crisis response services, crisis stabilization community-based services, and crisis stabilization residential services delivered as set forth in </w:t>
      </w:r>
      <w:hyperlink r:id="rId495">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441—78.61</w:t>
      </w:r>
      <w:r>
        <w:rPr>
          <w:rFonts w:ascii="Times New Roman" w:hAnsi="Times New Roman"/>
          <w:b/>
          <w:i w:val="false"/>
          <w:color w:val="000000"/>
          <w:sz w:val="22"/>
        </w:rPr>
        <w:t xml:space="preserve">(249A) </w:t>
      </w:r>
      <w:r>
        <w:rPr>
          <w:rFonts w:ascii="Times New Roman" w:hAnsi="Times New Roman"/>
          <w:b/>
          <w:i w:val="false"/>
          <w:color w:val="000000"/>
          <w:sz w:val="22"/>
        </w:rPr>
        <w:t xml:space="preserve">Subacute mental health services. </w:t>
      </w:r>
      <w:r>
        <w:rPr>
          <w:rFonts w:ascii="Times New Roman" w:hAnsi="Times New Roman"/>
          <w:b w:val="false"/>
          <w:i w:val="false"/>
          <w:color w:val="000000"/>
          <w:sz w:val="22"/>
        </w:rPr>
        <w:t xml:space="preserve">Payment will be made to providers (eligible pursuant to rule </w:t>
      </w:r>
      <w:hyperlink r:id="rId497">
        <w:r>
          <w:rPr>
            <w:rStyle w:val="Hyperlink"/>
            <w:rFonts w:ascii="Times New Roman" w:hAnsi="Times New Roman"/>
            <w:b w:val="false"/>
            <w:i w:val="false"/>
            <w:color w:val="000000"/>
            <w:sz w:val="22"/>
          </w:rPr>
          <w:t>441—77.56(249A))</w:t>
        </w:r>
      </w:hyperlink>
      <w:r>
        <w:rPr>
          <w:rFonts w:ascii="Times New Roman" w:hAnsi="Times New Roman"/>
          <w:b w:val="false"/>
          <w:i w:val="false"/>
          <w:color w:val="000000"/>
          <w:sz w:val="22"/>
        </w:rPr>
        <w:t xml:space="preserve"> for the provision of subacute mental health care facility services that meet the standards outlined in </w:t>
      </w:r>
      <w:hyperlink r:id="rId498">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0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3/20/74]</w:t>
      </w:r>
    </w:p>
    <w:p>
      <w:pPr>
        <w:spacing w:before="0" w:after="0"/>
        <w:ind w:left="120"/>
        <w:jc w:val="center"/>
      </w:pPr>
      <w:r>
        <w:rPr>
          <w:rFonts w:ascii="Times New Roman" w:hAnsi="Times New Roman"/>
          <w:b w:val="false"/>
          <w:i w:val="false"/>
          <w:color w:val="000000"/>
          <w:sz w:val="21"/>
        </w:rPr>
        <w:t>[Filed 11/25/75, Notice 10/6/75—published 12/15/75, effective 1/19/76]</w:t>
      </w:r>
    </w:p>
    <w:p>
      <w:pPr>
        <w:spacing w:before="0" w:after="0"/>
        <w:ind w:left="120"/>
        <w:jc w:val="center"/>
      </w:pPr>
      <w:r>
        <w:rPr>
          <w:rFonts w:ascii="Times New Roman" w:hAnsi="Times New Roman"/>
          <w:b w:val="false"/>
          <w:i w:val="false"/>
          <w:color w:val="000000"/>
          <w:sz w:val="21"/>
        </w:rPr>
        <w:t>[Filed emergency 12/23/75—published 1/12/76, effective 2/1/76]</w:t>
      </w:r>
    </w:p>
    <w:p>
      <w:pPr>
        <w:spacing w:before="0" w:after="0"/>
        <w:ind w:left="120"/>
        <w:jc w:val="center"/>
      </w:pPr>
      <w:r>
        <w:rPr>
          <w:rFonts w:ascii="Times New Roman" w:hAnsi="Times New Roman"/>
          <w:b w:val="false"/>
          <w:i w:val="false"/>
          <w:color w:val="000000"/>
          <w:sz w:val="21"/>
        </w:rPr>
        <w:t>[Filed emergency 1/16/76—published 2/9/76, effective 2/1/76]</w:t>
      </w:r>
    </w:p>
    <w:p>
      <w:pPr>
        <w:spacing w:before="0" w:after="0"/>
        <w:ind w:left="120"/>
        <w:jc w:val="center"/>
      </w:pPr>
      <w:r>
        <w:rPr>
          <w:rFonts w:ascii="Times New Roman" w:hAnsi="Times New Roman"/>
          <w:b w:val="false"/>
          <w:i w:val="false"/>
          <w:color w:val="000000"/>
          <w:sz w:val="21"/>
        </w:rPr>
        <w:t>[Filed emergency 1/29/76—published 2/9/76, effective 1/29/76]</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emergency 6/9/76—published 6/28/76, effective 6/9/76]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emergency 12/17/76—published 1/12/77, effective 1/1/77]</w:t>
      </w:r>
    </w:p>
    <w:p>
      <w:pPr>
        <w:spacing w:before="0" w:after="0"/>
        <w:ind w:left="120"/>
        <w:jc w:val="center"/>
      </w:pPr>
      <w:r>
        <w:rPr>
          <w:rFonts w:ascii="Times New Roman" w:hAnsi="Times New Roman"/>
          <w:b w:val="false"/>
          <w:i w:val="false"/>
          <w:color w:val="000000"/>
          <w:sz w:val="21"/>
        </w:rPr>
        <w:t>[Filed 2/25/77, Notice 1/12/77—published 3/23/77, effective 4/27/77]</w:t>
      </w:r>
    </w:p>
    <w:p>
      <w:pPr>
        <w:spacing w:before="0" w:after="0"/>
        <w:ind w:left="120"/>
        <w:jc w:val="center"/>
      </w:pPr>
      <w:r>
        <w:rPr>
          <w:rFonts w:ascii="Times New Roman" w:hAnsi="Times New Roman"/>
          <w:b w:val="false"/>
          <w:i w:val="false"/>
          <w:color w:val="000000"/>
          <w:sz w:val="21"/>
        </w:rPr>
        <w:t>[Filed emergency 4/13/77—published 5/4/77, effective 4/13/77]</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emergency 8/24/77—published 9/21/77, effective 8/26/77]</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11/22/77, Notice 9/7/77—published 12/14/77, effective 2/1/78]</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1/16/78, Notice 11/30/77—published 2/8/78, effective 4/1/78]</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without Notice 3/31/78—published 4/19/78, effective 7/1/78]</w:t>
      </w:r>
    </w:p>
    <w:p>
      <w:pPr>
        <w:spacing w:before="0" w:after="0"/>
        <w:ind w:left="120"/>
        <w:jc w:val="center"/>
      </w:pPr>
      <w:r>
        <w:rPr>
          <w:rFonts w:ascii="Times New Roman" w:hAnsi="Times New Roman"/>
          <w:b w:val="false"/>
          <w:i w:val="false"/>
          <w:color w:val="000000"/>
          <w:sz w:val="21"/>
        </w:rPr>
        <w:t>[Filed emergency 6/9/78—published 6/28/78, effective 7/5/78]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8/18/78, Notice 5/31/78—published 9/6/78, effective 10/11/78]</w:t>
      </w:r>
    </w:p>
    <w:p>
      <w:pPr>
        <w:spacing w:before="0" w:after="0"/>
        <w:ind w:left="120"/>
        <w:jc w:val="center"/>
      </w:pPr>
      <w:r>
        <w:rPr>
          <w:rFonts w:ascii="Times New Roman" w:hAnsi="Times New Roman"/>
          <w:b w:val="false"/>
          <w:i w:val="false"/>
          <w:color w:val="000000"/>
          <w:sz w:val="21"/>
        </w:rPr>
        <w:t>[Filed 9/12/78, Notice 4/19/78—published 10/4/78, effective 11/8/78]</w:t>
      </w:r>
    </w:p>
    <w:p>
      <w:pPr>
        <w:spacing w:before="0" w:after="0"/>
        <w:ind w:left="120"/>
        <w:jc w:val="center"/>
      </w:pPr>
      <w:r>
        <w:rPr>
          <w:rFonts w:ascii="Times New Roman" w:hAnsi="Times New Roman"/>
          <w:b w:val="false"/>
          <w:i w:val="false"/>
          <w:color w:val="000000"/>
          <w:sz w:val="21"/>
        </w:rPr>
        <w:t>[Filed 9/12/78, Notice 7/26/78—published 10/4/78, effective 12/1/78]</w:t>
      </w:r>
    </w:p>
    <w:p>
      <w:pPr>
        <w:spacing w:before="0" w:after="0"/>
        <w:ind w:left="120"/>
        <w:jc w:val="center"/>
      </w:pPr>
      <w:r>
        <w:rPr>
          <w:rFonts w:ascii="Times New Roman" w:hAnsi="Times New Roman"/>
          <w:b w:val="false"/>
          <w:i w:val="false"/>
          <w:color w:val="000000"/>
          <w:sz w:val="21"/>
        </w:rPr>
        <w:t>[Filed 11/20/78, Notice 10/4/78—published 12/13/78, effective 1/17/79]</w:t>
      </w:r>
    </w:p>
    <w:p>
      <w:pPr>
        <w:spacing w:before="0" w:after="0"/>
        <w:ind w:left="120"/>
        <w:jc w:val="center"/>
      </w:pPr>
      <w:r>
        <w:rPr>
          <w:rFonts w:ascii="Times New Roman" w:hAnsi="Times New Roman"/>
          <w:b w:val="false"/>
          <w:i w:val="false"/>
          <w:color w:val="000000"/>
          <w:sz w:val="21"/>
        </w:rPr>
        <w:t>[Filed 12/6/78, Notice 10/4/78—published 12/27/78, effective 2/1/79]</w:t>
      </w:r>
    </w:p>
    <w:p>
      <w:pPr>
        <w:spacing w:before="0" w:after="0"/>
        <w:ind w:left="120"/>
        <w:jc w:val="center"/>
      </w:pPr>
      <w:r>
        <w:rPr>
          <w:rFonts w:ascii="Times New Roman" w:hAnsi="Times New Roman"/>
          <w:b w:val="false"/>
          <w:i w:val="false"/>
          <w:color w:val="000000"/>
          <w:sz w:val="21"/>
        </w:rPr>
        <w:t>[Filed 12/6/78, Notice 5/31/78—published 12/27/78, effective 2/1/79]</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emergency 1/31/79—published 2/21/79, effective 3/8/79]</w:t>
      </w:r>
    </w:p>
    <w:p>
      <w:pPr>
        <w:spacing w:before="0" w:after="0"/>
        <w:ind w:left="120"/>
        <w:jc w:val="center"/>
      </w:pPr>
      <w:r>
        <w:rPr>
          <w:rFonts w:ascii="Times New Roman" w:hAnsi="Times New Roman"/>
          <w:b w:val="false"/>
          <w:i w:val="false"/>
          <w:color w:val="000000"/>
          <w:sz w:val="21"/>
        </w:rPr>
        <w:t>[Filed 3/30/79, Notice 2/21/79—published 4/18/79, effective 6/1/79]</w:t>
      </w:r>
    </w:p>
    <w:p>
      <w:pPr>
        <w:spacing w:before="0" w:after="0"/>
        <w:ind w:left="120"/>
        <w:jc w:val="center"/>
      </w:pPr>
      <w:r>
        <w:rPr>
          <w:rFonts w:ascii="Times New Roman" w:hAnsi="Times New Roman"/>
          <w:b w:val="false"/>
          <w:i w:val="false"/>
          <w:color w:val="000000"/>
          <w:sz w:val="21"/>
        </w:rPr>
        <w:t>[Filed 7/3/79, Notice 4/18/79—published 7/25/79, effective 8/29/79]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emergency 9/6/79 after Notice 7/11/79—published 10/3/79, effective 10/1/79]</w:t>
      </w:r>
    </w:p>
    <w:p>
      <w:pPr>
        <w:spacing w:before="0" w:after="0"/>
        <w:ind w:left="120"/>
        <w:jc w:val="center"/>
      </w:pPr>
      <w:r>
        <w:rPr>
          <w:rFonts w:ascii="Times New Roman" w:hAnsi="Times New Roman"/>
          <w:b w:val="false"/>
          <w:i w:val="false"/>
          <w:color w:val="000000"/>
          <w:sz w:val="21"/>
        </w:rPr>
        <w:t>[Filed 10/24/79, Notice 5/30/79—published 11/14/79, effective 12/19/79]</w:t>
      </w:r>
    </w:p>
    <w:p>
      <w:pPr>
        <w:spacing w:before="0" w:after="0"/>
        <w:ind w:left="120"/>
        <w:jc w:val="center"/>
      </w:pPr>
      <w:r>
        <w:rPr>
          <w:rFonts w:ascii="Times New Roman" w:hAnsi="Times New Roman"/>
          <w:b w:val="false"/>
          <w:i w:val="false"/>
          <w:color w:val="000000"/>
          <w:sz w:val="21"/>
        </w:rPr>
        <w:t>[Filed 10/24/79, Notice 8/22/79—published 11/14/79, effective 12/19/79]</w:t>
      </w:r>
    </w:p>
    <w:p>
      <w:pPr>
        <w:spacing w:before="0" w:after="0"/>
        <w:ind w:left="120"/>
        <w:jc w:val="center"/>
      </w:pPr>
      <w:r>
        <w:rPr>
          <w:rFonts w:ascii="Times New Roman" w:hAnsi="Times New Roman"/>
          <w:b w:val="false"/>
          <w:i w:val="false"/>
          <w:color w:val="000000"/>
          <w:sz w:val="21"/>
        </w:rPr>
        <w:t>[Filed emergency 1/23/80—published 2/20/80, effective 1/23/80]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emergency 7/3/80—published 7/23/80, effective 7/8/80 to 1/1/81]</w:t>
      </w:r>
    </w:p>
    <w:p>
      <w:pPr>
        <w:spacing w:before="0" w:after="0"/>
        <w:ind w:left="120"/>
        <w:jc w:val="center"/>
      </w:pPr>
      <w:r>
        <w:rPr>
          <w:rFonts w:ascii="Times New Roman" w:hAnsi="Times New Roman"/>
          <w:b w:val="false"/>
          <w:i w:val="false"/>
          <w:color w:val="000000"/>
          <w:sz w:val="21"/>
        </w:rPr>
        <w:t>[Filed 7/3/80, Notice 4/14/80—published 7/23/80, effective 8/27/80]</w:t>
      </w:r>
    </w:p>
    <w:p>
      <w:pPr>
        <w:spacing w:before="0" w:after="0"/>
        <w:ind w:left="120"/>
        <w:jc w:val="center"/>
      </w:pPr>
      <w:r>
        <w:rPr>
          <w:rFonts w:ascii="Times New Roman" w:hAnsi="Times New Roman"/>
          <w:b w:val="false"/>
          <w:i w:val="false"/>
          <w:color w:val="000000"/>
          <w:sz w:val="21"/>
        </w:rPr>
        <w:t>[Filed 9/25/80, Notice 8/6/80—published 10/15/80, effective 11/19/80]</w:t>
      </w:r>
    </w:p>
    <w:p>
      <w:pPr>
        <w:spacing w:before="0" w:after="0"/>
        <w:ind w:left="120"/>
        <w:jc w:val="center"/>
      </w:pPr>
      <w:r>
        <w:rPr>
          <w:rFonts w:ascii="Times New Roman" w:hAnsi="Times New Roman"/>
          <w:b w:val="false"/>
          <w:i w:val="false"/>
          <w:color w:val="000000"/>
          <w:sz w:val="21"/>
        </w:rPr>
        <w:t>[Filed without Notice 9/26/80—published 10/15/80, effective 12/1/80]</w:t>
      </w:r>
    </w:p>
    <w:p>
      <w:pPr>
        <w:spacing w:before="0" w:after="0"/>
        <w:ind w:left="120"/>
        <w:jc w:val="center"/>
      </w:pPr>
      <w:r>
        <w:rPr>
          <w:rFonts w:ascii="Times New Roman" w:hAnsi="Times New Roman"/>
          <w:b w:val="false"/>
          <w:i w:val="false"/>
          <w:color w:val="000000"/>
          <w:sz w:val="21"/>
        </w:rPr>
        <w:t>[Filed 10/23/80, Notice 7/23/80—published 11/12/80, effective 12/17/80]</w:t>
      </w:r>
    </w:p>
    <w:p>
      <w:pPr>
        <w:spacing w:before="0" w:after="0"/>
        <w:ind w:left="120"/>
        <w:jc w:val="center"/>
      </w:pPr>
      <w:r>
        <w:rPr>
          <w:rFonts w:ascii="Times New Roman" w:hAnsi="Times New Roman"/>
          <w:b w:val="false"/>
          <w:i w:val="false"/>
          <w:color w:val="000000"/>
          <w:sz w:val="21"/>
        </w:rPr>
        <w:t>[Filed 11/21/80, Notice 9/3/80—published 12/10/80, effective 1/14/81]</w:t>
      </w:r>
    </w:p>
    <w:p>
      <w:pPr>
        <w:spacing w:before="0" w:after="0"/>
        <w:ind w:left="120"/>
        <w:jc w:val="center"/>
      </w:pPr>
      <w:r>
        <w:rPr>
          <w:rFonts w:ascii="Times New Roman" w:hAnsi="Times New Roman"/>
          <w:b w:val="false"/>
          <w:i w:val="false"/>
          <w:color w:val="000000"/>
          <w:sz w:val="21"/>
        </w:rPr>
        <w:t>[Filed 12/19/80, Notices 10/15/80, 10/29/80—published 1/7/81, effective 2/11/81]</w:t>
      </w:r>
    </w:p>
    <w:p>
      <w:pPr>
        <w:spacing w:before="0" w:after="0"/>
        <w:ind w:left="120"/>
        <w:jc w:val="center"/>
      </w:pPr>
      <w:r>
        <w:rPr>
          <w:rFonts w:ascii="Times New Roman" w:hAnsi="Times New Roman"/>
          <w:b w:val="false"/>
          <w:i w:val="false"/>
          <w:color w:val="000000"/>
          <w:sz w:val="21"/>
        </w:rPr>
        <w:t>[Filed emergency 1/20/81—published 2/18/81, effective 1/20/81]</w:t>
      </w:r>
    </w:p>
    <w:p>
      <w:pPr>
        <w:spacing w:before="0" w:after="0"/>
        <w:ind w:left="120"/>
        <w:jc w:val="center"/>
      </w:pPr>
      <w:r>
        <w:rPr>
          <w:rFonts w:ascii="Times New Roman" w:hAnsi="Times New Roman"/>
          <w:b w:val="false"/>
          <w:i w:val="false"/>
          <w:color w:val="000000"/>
          <w:sz w:val="21"/>
        </w:rPr>
        <w:t>[Filed 2/12/81, Notice 11/12/80—published 3/4/81, effective 7/1/81]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8/24/81 after Notice 7/8/81—published 9/16/81, effective 9/1/81]</w:t>
      </w:r>
    </w:p>
    <w:p>
      <w:pPr>
        <w:spacing w:before="0" w:after="0"/>
        <w:ind w:left="120"/>
        <w:jc w:val="center"/>
      </w:pPr>
      <w:r>
        <w:rPr>
          <w:rFonts w:ascii="Times New Roman" w:hAnsi="Times New Roman"/>
          <w:b w:val="false"/>
          <w:i w:val="false"/>
          <w:color w:val="000000"/>
          <w:sz w:val="21"/>
        </w:rPr>
        <w:t>[Filed 10/23/81, Notice 9/2/81—published 11/11/81, effective 1/1/82]</w:t>
      </w:r>
    </w:p>
    <w:p>
      <w:pPr>
        <w:spacing w:before="0" w:after="0"/>
        <w:ind w:left="120"/>
        <w:jc w:val="center"/>
      </w:pPr>
      <w:r>
        <w:rPr>
          <w:rFonts w:ascii="Times New Roman" w:hAnsi="Times New Roman"/>
          <w:b w:val="false"/>
          <w:i w:val="false"/>
          <w:color w:val="000000"/>
          <w:sz w:val="21"/>
        </w:rPr>
        <w:t>[Filed emergency 12/3/81—published 12/23/81, effective 1/1/82]</w:t>
      </w:r>
    </w:p>
    <w:p>
      <w:pPr>
        <w:spacing w:before="0" w:after="0"/>
        <w:ind w:left="120"/>
        <w:jc w:val="center"/>
      </w:pPr>
      <w:r>
        <w:rPr>
          <w:rFonts w:ascii="Times New Roman" w:hAnsi="Times New Roman"/>
          <w:b w:val="false"/>
          <w:i w:val="false"/>
          <w:color w:val="000000"/>
          <w:sz w:val="21"/>
        </w:rPr>
        <w:t>[Filed 1/28/82, Notice 10/28/81—published 2/17/82, effective 4/1/82]</w:t>
      </w:r>
    </w:p>
    <w:p>
      <w:pPr>
        <w:spacing w:before="0" w:after="0"/>
        <w:ind w:left="120"/>
        <w:jc w:val="center"/>
      </w:pPr>
      <w:r>
        <w:rPr>
          <w:rFonts w:ascii="Times New Roman" w:hAnsi="Times New Roman"/>
          <w:b w:val="false"/>
          <w:i w:val="false"/>
          <w:color w:val="000000"/>
          <w:sz w:val="21"/>
        </w:rPr>
        <w:t>[Filed 1/28/82, Notice 11/25/81—published 2/17/82, effective 4/1/82]</w:t>
      </w:r>
    </w:p>
    <w:p>
      <w:pPr>
        <w:spacing w:before="0" w:after="0"/>
        <w:ind w:left="120"/>
        <w:jc w:val="center"/>
      </w:pPr>
      <w:r>
        <w:rPr>
          <w:rFonts w:ascii="Times New Roman" w:hAnsi="Times New Roman"/>
          <w:b w:val="false"/>
          <w:i w:val="false"/>
          <w:color w:val="000000"/>
          <w:sz w:val="21"/>
        </w:rPr>
        <w:t>[Filed 2/26/82, Notice 10/14/81—published 3/17/82, effective 5/1/82]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4/5/82, Notice 1/20/82—published 4/28/82, effective 6/2/82]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7/30/82, Notices 3/3/82, 4/28/82—published 8/18/82, effective 10/1/82]</w:t>
      </w:r>
    </w:p>
    <w:p>
      <w:pPr>
        <w:spacing w:before="0" w:after="0"/>
        <w:ind w:left="120"/>
        <w:jc w:val="center"/>
      </w:pPr>
      <w:r>
        <w:rPr>
          <w:rFonts w:ascii="Times New Roman" w:hAnsi="Times New Roman"/>
          <w:b w:val="false"/>
          <w:i w:val="false"/>
          <w:color w:val="000000"/>
          <w:sz w:val="21"/>
        </w:rPr>
        <w:t>[Filed emergency 9/23/82 after Notice 6/23/82—published 10/13/82, effective 10/1/82]</w:t>
      </w:r>
    </w:p>
    <w:p>
      <w:pPr>
        <w:spacing w:before="0" w:after="0"/>
        <w:ind w:left="120"/>
        <w:jc w:val="center"/>
      </w:pPr>
      <w:r>
        <w:rPr>
          <w:rFonts w:ascii="Times New Roman" w:hAnsi="Times New Roman"/>
          <w:b w:val="false"/>
          <w:i w:val="false"/>
          <w:color w:val="000000"/>
          <w:sz w:val="21"/>
        </w:rPr>
        <w:t>[Filed 11/5/82, Notice 9/15/82—published 11/24/82, effective 1/1/83]</w:t>
      </w:r>
    </w:p>
    <w:p>
      <w:pPr>
        <w:spacing w:before="0" w:after="0"/>
        <w:ind w:left="120"/>
        <w:jc w:val="center"/>
      </w:pPr>
      <w:r>
        <w:rPr>
          <w:rFonts w:ascii="Times New Roman" w:hAnsi="Times New Roman"/>
          <w:b w:val="false"/>
          <w:i w:val="false"/>
          <w:color w:val="000000"/>
          <w:sz w:val="21"/>
        </w:rPr>
        <w:t>[Filed 2/25/83, Notice 1/5/83—published 3/16/83, effective 5/1/83]</w:t>
      </w:r>
    </w:p>
    <w:p>
      <w:pPr>
        <w:spacing w:before="0" w:after="0"/>
        <w:ind w:left="120"/>
        <w:jc w:val="center"/>
      </w:pPr>
      <w:r>
        <w:rPr>
          <w:rFonts w:ascii="Times New Roman" w:hAnsi="Times New Roman"/>
          <w:b w:val="false"/>
          <w:i w:val="false"/>
          <w:color w:val="000000"/>
          <w:sz w:val="21"/>
        </w:rPr>
        <w:t>[Filed 5/20/83, Notices 3/30/83, 4/13/83—published 6/8/83,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7/29/83—published 8/17/83,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7/29/83, Notice 5/25/83—published 8/17/83, effective 10/1/83]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10/28/83, Notices 8/31/83, 9/14/83—published 11/23/83, effective 1/1/84]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11/18/83—published 12/7/83,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5/4/84, Notice 3/14/84—published 5/23/84, effective 7/1/84]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12/11/84, Notice 10/10/84—published 1/2/85, effective 3/1/85]</w:t>
      </w:r>
    </w:p>
    <w:p>
      <w:pPr>
        <w:spacing w:before="0" w:after="0"/>
        <w:ind w:left="120"/>
        <w:jc w:val="center"/>
      </w:pPr>
      <w:r>
        <w:rPr>
          <w:rFonts w:ascii="Times New Roman" w:hAnsi="Times New Roman"/>
          <w:b w:val="false"/>
          <w:i w:val="false"/>
          <w:color w:val="000000"/>
          <w:sz w:val="21"/>
        </w:rPr>
        <w:t>[Filed 1/21/85, Notice 10/24/84—published 2/13/85, effective 4/1/85]</w:t>
      </w:r>
    </w:p>
    <w:p>
      <w:pPr>
        <w:spacing w:before="0" w:after="0"/>
        <w:ind w:left="120"/>
        <w:jc w:val="center"/>
      </w:pPr>
      <w:r>
        <w:rPr>
          <w:rFonts w:ascii="Times New Roman" w:hAnsi="Times New Roman"/>
          <w:b w:val="false"/>
          <w:i w:val="false"/>
          <w:color w:val="000000"/>
          <w:sz w:val="21"/>
        </w:rPr>
        <w:t>[Filed 4/29/85, Notice 12/19/84—published 5/22/85, effective 7/1/85]</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5/29/85, Notice 3/27/85—published 6/19/85, effective 8/1/85]</w:t>
      </w:r>
    </w:p>
    <w:p>
      <w:pPr>
        <w:spacing w:before="0" w:after="0"/>
        <w:ind w:left="120"/>
        <w:jc w:val="center"/>
      </w:pPr>
      <w:r>
        <w:rPr>
          <w:rFonts w:ascii="Times New Roman" w:hAnsi="Times New Roman"/>
          <w:b w:val="false"/>
          <w:i w:val="false"/>
          <w:color w:val="000000"/>
          <w:sz w:val="21"/>
        </w:rPr>
        <w:t>[Filed emergency 8/23/85—published 9/11/85, effective 9/1/85]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emergency 10/18/85 after Notice 9/11/85—published 11/6/85, effective 11/1/85]</w:t>
      </w:r>
    </w:p>
    <w:p>
      <w:pPr>
        <w:spacing w:before="0" w:after="0"/>
        <w:ind w:left="120"/>
        <w:jc w:val="center"/>
      </w:pPr>
      <w:r>
        <w:rPr>
          <w:rFonts w:ascii="Times New Roman" w:hAnsi="Times New Roman"/>
          <w:b w:val="false"/>
          <w:i w:val="false"/>
          <w:color w:val="000000"/>
          <w:sz w:val="21"/>
        </w:rPr>
        <w:t>[Filed 11/15/85, Notice 9/25/85—published 12/4/85, effective 2/1/86]</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2/21/86, Notices 12/18/85, 1/1/86, 1/15/86—published 3/12/86, effective 5/1/86]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emergency 12/22/86—published 1/14/87, effective 2/1/87]</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Notices 12/17/86, 12/31/86, 1/14/87—published 3/25/87, effective 5/1/87]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5/29/87, Notices 4/8/87, 4/22/87—published 6/17/87, effective 8/1/87]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6/19/87, Notice 5/6/87—published 7/15/87, effective 9/1/87]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8/28/87, Notices 6/17/87, 7/15/87—published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12/10/87, Notice 10/21/87—published 12/30/87, effective 3/1/88]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4/28/88 after Notice 3/23/88—published 5/18/88, effective 6/1/88]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11/16/88 after Notice 10/5/88—published 12/14/88, effective 1/1/89]</w:t>
      </w:r>
    </w:p>
    <w:p>
      <w:pPr>
        <w:spacing w:before="0" w:after="0"/>
        <w:ind w:left="120"/>
        <w:jc w:val="center"/>
      </w:pPr>
      <w:r>
        <w:rPr>
          <w:rFonts w:ascii="Times New Roman" w:hAnsi="Times New Roman"/>
          <w:b w:val="false"/>
          <w:i w:val="false"/>
          <w:color w:val="000000"/>
          <w:sz w:val="21"/>
        </w:rPr>
        <w:t>[Filed emergency 11/23/88 after Notices 7/13/88, 9/21/88—published 12/14/88, effective 12/1/88, 1/1/89]</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emergency 6/8/89 after Notice 2/22/89—published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10/11/89, Notice 8/23/89—published 11/1/89, effective 1/1/90]</w:t>
      </w:r>
    </w:p>
    <w:p>
      <w:pPr>
        <w:spacing w:before="0" w:after="0"/>
        <w:ind w:left="120"/>
        <w:jc w:val="center"/>
      </w:pPr>
      <w:r>
        <w:rPr>
          <w:rFonts w:ascii="Times New Roman" w:hAnsi="Times New Roman"/>
          <w:b w:val="false"/>
          <w:i w:val="false"/>
          <w:color w:val="000000"/>
          <w:sz w:val="21"/>
        </w:rPr>
        <w:t>[Filed 11/16/89, Notice 8/23/89—published 12/13/89, effective 2/1/90]</w:t>
      </w:r>
    </w:p>
    <w:p>
      <w:pPr>
        <w:spacing w:before="0" w:after="0"/>
        <w:ind w:left="120"/>
        <w:jc w:val="center"/>
      </w:pPr>
      <w:r>
        <w:rPr>
          <w:rFonts w:ascii="Times New Roman" w:hAnsi="Times New Roman"/>
          <w:b w:val="false"/>
          <w:i w:val="false"/>
          <w:color w:val="000000"/>
          <w:sz w:val="21"/>
        </w:rPr>
        <w:t>[Filed emergency 12/15/89 after Notice 10/4/89—published 1/10/90, effective 1/1/90]</w:t>
      </w:r>
    </w:p>
    <w:p>
      <w:pPr>
        <w:spacing w:before="0" w:after="0"/>
        <w:ind w:left="120"/>
        <w:jc w:val="center"/>
      </w:pPr>
      <w:r>
        <w:rPr>
          <w:rFonts w:ascii="Times New Roman" w:hAnsi="Times New Roman"/>
          <w:b w:val="false"/>
          <w:i w:val="false"/>
          <w:color w:val="000000"/>
          <w:sz w:val="21"/>
        </w:rPr>
        <w:t>[Filed 1/17/90, Notice 8/23/89—published 2/7/90, effective 4/1/90]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2/14/90—published 3/7/90, effective 2/14/90]</w:t>
      </w:r>
    </w:p>
    <w:p>
      <w:pPr>
        <w:spacing w:before="0" w:after="0"/>
        <w:ind w:left="120"/>
        <w:jc w:val="center"/>
      </w:pPr>
      <w:r>
        <w:rPr>
          <w:rFonts w:ascii="Times New Roman" w:hAnsi="Times New Roman"/>
          <w:b w:val="false"/>
          <w:i w:val="false"/>
          <w:color w:val="000000"/>
          <w:sz w:val="21"/>
        </w:rPr>
        <w:t>[Filed 3/16/90, Notices 11/15/89, 1/24/90, 2/7/90—published 4/4/90, effective 6/1/90]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4/13/90, Notice 11/29/89—published 5/2/90, effective 8/1/90]</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7/13/90, Notices 5/16/90, 5/30/90—published 8/8/90, effective 10/1/90]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9/28/90, Notices 7/11/90, 7/25/90, 8/8/90—published 10/17/90, effective 12/1/90]</w:t>
      </w:r>
    </w:p>
    <w:p>
      <w:pPr>
        <w:spacing w:before="0" w:after="0"/>
        <w:ind w:left="120"/>
        <w:jc w:val="center"/>
      </w:pPr>
      <w:r>
        <w:rPr>
          <w:rFonts w:ascii="Times New Roman" w:hAnsi="Times New Roman"/>
          <w:b w:val="false"/>
          <w:i w:val="false"/>
          <w:color w:val="000000"/>
          <w:sz w:val="21"/>
        </w:rPr>
        <w:t>[Filed 10/12/90, Notice 7/11/90—published 10/31/90, effective 1/1/91]</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11/16/90, Notices 9/19/90, 10/3/90—published 12/12/90, effective 2/1/91]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Notices 11/14/90, 11/28/90—published 2/6/91, effective 4/1/91]</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4/11/91, Notice 3/6/91—published 5/1/91, effective 7/1/91]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 3/20/91—published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12/11/91, Notice 10/16/91—published 1/8/92, effective 3/1/92]</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1/16/92 after Notice 11/27/91—published 2/5/92, effective 3/1/92]</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Notices 3/18/92, 4/29/92—published 7/8/92, effective 9/1/92]</w:t>
      </w:r>
    </w:p>
    <w:p>
      <w:pPr>
        <w:spacing w:before="0" w:after="0"/>
        <w:ind w:left="120"/>
        <w:jc w:val="center"/>
      </w:pPr>
      <w:r>
        <w:rPr>
          <w:rFonts w:ascii="Times New Roman" w:hAnsi="Times New Roman"/>
          <w:b w:val="false"/>
          <w:i w:val="false"/>
          <w:color w:val="000000"/>
          <w:sz w:val="21"/>
        </w:rPr>
        <w:t>[Filed emergency 7/17/92—published 8/5/92, effective 8/1/92]</w:t>
      </w:r>
    </w:p>
    <w:p>
      <w:pPr>
        <w:spacing w:before="0" w:after="0"/>
        <w:ind w:left="120"/>
        <w:jc w:val="center"/>
      </w:pPr>
      <w:r>
        <w:rPr>
          <w:rFonts w:ascii="Times New Roman" w:hAnsi="Times New Roman"/>
          <w:b w:val="false"/>
          <w:i w:val="false"/>
          <w:color w:val="000000"/>
          <w:sz w:val="21"/>
        </w:rPr>
        <w:t>[Filed 7/17/92, Notices 5/27/92—published 8/5/92, effective 10/1/92]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8/14/92—published 9/2/92, effective 9/1/92]</w:t>
      </w:r>
    </w:p>
    <w:p>
      <w:pPr>
        <w:spacing w:before="0" w:after="0"/>
        <w:ind w:left="120"/>
        <w:jc w:val="center"/>
      </w:pPr>
      <w:r>
        <w:rPr>
          <w:rFonts w:ascii="Times New Roman" w:hAnsi="Times New Roman"/>
          <w:b w:val="false"/>
          <w:i w:val="false"/>
          <w:color w:val="000000"/>
          <w:sz w:val="21"/>
        </w:rPr>
        <w:t>[Filed 8/14/92, Notices 6/24/92, 7/8/92, 8/5/92—published 9/2/92, effective 11/1/92]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9/11/92, Notices 7/8/92, 8/5/92—published 9/30/92, effective 12/1/92]</w:t>
      </w:r>
    </w:p>
    <w:p>
      <w:pPr>
        <w:spacing w:before="0" w:after="0"/>
        <w:ind w:left="120"/>
        <w:jc w:val="center"/>
      </w:pPr>
      <w:r>
        <w:rPr>
          <w:rFonts w:ascii="Times New Roman" w:hAnsi="Times New Roman"/>
          <w:b w:val="false"/>
          <w:i w:val="false"/>
          <w:color w:val="000000"/>
          <w:sz w:val="21"/>
        </w:rPr>
        <w:t>[Filed 9/11/92, Notice 8/5/92—published 9/30/92, effective 1/1/93]</w:t>
      </w:r>
    </w:p>
    <w:p>
      <w:pPr>
        <w:spacing w:before="0" w:after="0"/>
        <w:ind w:left="120"/>
        <w:jc w:val="center"/>
      </w:pPr>
      <w:r>
        <w:rPr>
          <w:rFonts w:ascii="Times New Roman" w:hAnsi="Times New Roman"/>
          <w:b w:val="false"/>
          <w:i w:val="false"/>
          <w:color w:val="000000"/>
          <w:sz w:val="21"/>
        </w:rPr>
        <w:t>[Filed 10/15/92, Notices 8/19/92, 9/2/92—published 11/11/92, effective 1/1/93]</w:t>
      </w:r>
    </w:p>
    <w:p>
      <w:pPr>
        <w:spacing w:before="0" w:after="0"/>
        <w:ind w:left="120"/>
        <w:jc w:val="center"/>
      </w:pPr>
      <w:r>
        <w:rPr>
          <w:rFonts w:ascii="Times New Roman" w:hAnsi="Times New Roman"/>
          <w:b w:val="false"/>
          <w:i w:val="false"/>
          <w:color w:val="000000"/>
          <w:sz w:val="21"/>
        </w:rPr>
        <w:t>[Filed emergency 11/10/92—published 12/9/92, effective 11/10/92]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1/14/93, Notices 10/28/92, 11/25/92—published 2/3/93, effective 4/1/93]</w:t>
      </w:r>
    </w:p>
    <w:p>
      <w:pPr>
        <w:spacing w:before="0" w:after="0"/>
        <w:ind w:left="120"/>
        <w:jc w:val="center"/>
      </w:pPr>
      <w:r>
        <w:rPr>
          <w:rFonts w:ascii="Times New Roman" w:hAnsi="Times New Roman"/>
          <w:b w:val="false"/>
          <w:i w:val="false"/>
          <w:color w:val="000000"/>
          <w:sz w:val="21"/>
        </w:rPr>
        <w:t>[Filed emergency 4/15/93 after Notice 3/3/93—published 5/12/93, effective 5/1/93]</w:t>
      </w:r>
    </w:p>
    <w:p>
      <w:pPr>
        <w:spacing w:before="0" w:after="0"/>
        <w:ind w:left="120"/>
        <w:jc w:val="center"/>
      </w:pPr>
      <w:r>
        <w:rPr>
          <w:rFonts w:ascii="Times New Roman" w:hAnsi="Times New Roman"/>
          <w:b w:val="false"/>
          <w:i w:val="false"/>
          <w:color w:val="000000"/>
          <w:sz w:val="21"/>
        </w:rPr>
        <w:t>[Filed 4/15/93, Notice 3/3/93—published 5/12/93, effective 7/1/93]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emergency 7/14/93—published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9/17/93, Notice 8/4/93—published 10/13/93, effective 12/1/93]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emergency 12/16/93 after Notice 10/13/93—published 1/5/94, effective 1/1/94]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1/12/94, Notice 11/10/93—published 2/2/94, effective 4/1/94]</w:t>
      </w:r>
    </w:p>
    <w:p>
      <w:pPr>
        <w:spacing w:before="0" w:after="0"/>
        <w:ind w:left="120"/>
        <w:jc w:val="center"/>
      </w:pPr>
      <w:r>
        <w:rPr>
          <w:rFonts w:ascii="Times New Roman" w:hAnsi="Times New Roman"/>
          <w:b w:val="false"/>
          <w:i w:val="false"/>
          <w:color w:val="000000"/>
          <w:sz w:val="21"/>
        </w:rPr>
        <w:t>[Filed emergency 2/10/94 after Notice 12/22/93—published 3/2/94, effective 3/1/94]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6/22/94—published 8/31/94, effective 11/1/94]</w:t>
      </w:r>
    </w:p>
    <w:p>
      <w:pPr>
        <w:spacing w:before="0" w:after="0"/>
        <w:ind w:left="120"/>
        <w:jc w:val="center"/>
      </w:pPr>
      <w:r>
        <w:rPr>
          <w:rFonts w:ascii="Times New Roman" w:hAnsi="Times New Roman"/>
          <w:b w:val="false"/>
          <w:i w:val="false"/>
          <w:color w:val="000000"/>
          <w:sz w:val="21"/>
        </w:rPr>
        <w:t>[Filed 9/15/94, Notices 7/6/94, 8/3/94—published 10/12/94, effective 12/1/94]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Notices 10/12/94, 11/9/94—published 1/4/95, effective 3/5/95]</w:t>
      </w:r>
    </w:p>
    <w:p>
      <w:pPr>
        <w:spacing w:before="0" w:after="0"/>
        <w:ind w:left="120"/>
        <w:jc w:val="center"/>
      </w:pPr>
      <w:r>
        <w:rPr>
          <w:rFonts w:ascii="Times New Roman" w:hAnsi="Times New Roman"/>
          <w:b w:val="false"/>
          <w:i w:val="false"/>
          <w:color w:val="000000"/>
          <w:sz w:val="21"/>
        </w:rPr>
        <w:t>[Filed 5/11/95, Notices 3/29/95—published 6/7/95, effective 8/1/95]</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6/14/95, Notice 5/10/95—published 7/5/95, effective 9/1/95]</w:t>
      </w:r>
    </w:p>
    <w:p>
      <w:pPr>
        <w:spacing w:before="0" w:after="0"/>
        <w:ind w:left="120"/>
        <w:jc w:val="center"/>
      </w:pPr>
      <w:r>
        <w:rPr>
          <w:rFonts w:ascii="Times New Roman" w:hAnsi="Times New Roman"/>
          <w:b w:val="false"/>
          <w:i w:val="false"/>
          <w:color w:val="000000"/>
          <w:sz w:val="21"/>
        </w:rPr>
        <w:t>[Filed 10/12/95, Notice 8/30/95—published 11/8/95, effective 1/1/96]</w:t>
      </w:r>
    </w:p>
    <w:p>
      <w:pPr>
        <w:spacing w:before="0" w:after="0"/>
        <w:ind w:left="120"/>
        <w:jc w:val="center"/>
      </w:pPr>
      <w:r>
        <w:rPr>
          <w:rFonts w:ascii="Times New Roman" w:hAnsi="Times New Roman"/>
          <w:b w:val="false"/>
          <w:i w:val="false"/>
          <w:color w:val="000000"/>
          <w:sz w:val="21"/>
        </w:rPr>
        <w:t>[Filed 11/16/95, Notices 8/2/95, 9/27/95</w:t>
      </w:r>
      <w:r>
        <w:rPr>
          <w:rFonts w:ascii="Times New Roman" w:hAnsi="Times New Roman"/>
          <w:b w:val="false"/>
          <w:i w:val="false"/>
          <w:color w:val="000000"/>
          <w:sz w:val="14"/>
        </w:rPr>
        <w:t>◊</w:t>
      </w:r>
      <w:r>
        <w:rPr>
          <w:rFonts w:ascii="Times New Roman" w:hAnsi="Times New Roman"/>
          <w:b w:val="false"/>
          <w:i w:val="false"/>
          <w:color w:val="000000"/>
          <w:sz w:val="21"/>
        </w:rPr>
        <w:t>—published 12/6/95, effective 2/1/96]</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5/15/96, Notice 2/14/96—published 6/5/96, effective 8/1/96]</w:t>
      </w:r>
    </w:p>
    <w:p>
      <w:pPr>
        <w:spacing w:before="0" w:after="0"/>
        <w:ind w:left="120"/>
        <w:jc w:val="center"/>
      </w:pPr>
      <w:r>
        <w:rPr>
          <w:rFonts w:ascii="Times New Roman" w:hAnsi="Times New Roman"/>
          <w:b w:val="false"/>
          <w:i w:val="false"/>
          <w:color w:val="000000"/>
          <w:sz w:val="21"/>
        </w:rPr>
        <w:t>[Filed 6/13/96, Notice 4/24/96—published 7/3/96, effective 9/1/96]</w:t>
      </w:r>
    </w:p>
    <w:p>
      <w:pPr>
        <w:spacing w:before="0" w:after="0"/>
        <w:ind w:left="120"/>
        <w:jc w:val="center"/>
      </w:pPr>
      <w:r>
        <w:rPr>
          <w:rFonts w:ascii="Times New Roman" w:hAnsi="Times New Roman"/>
          <w:b w:val="false"/>
          <w:i w:val="false"/>
          <w:color w:val="000000"/>
          <w:sz w:val="21"/>
        </w:rPr>
        <w:t>[Filed 7/10/96, Notice 4/24/96—published 7/31/96, effective 10/1/96]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9/17/96, Notice 7/31/96—published 10/9/96, effective 12/1/96]</w:t>
      </w:r>
    </w:p>
    <w:p>
      <w:pPr>
        <w:spacing w:before="0" w:after="0"/>
        <w:ind w:left="120"/>
        <w:jc w:val="center"/>
      </w:pPr>
      <w:r>
        <w:rPr>
          <w:rFonts w:ascii="Times New Roman" w:hAnsi="Times New Roman"/>
          <w:b w:val="false"/>
          <w:i w:val="false"/>
          <w:color w:val="000000"/>
          <w:sz w:val="21"/>
        </w:rPr>
        <w:t>[Filed 1/15/97, Notice 12/4/96—published 2/12/97, effective 4/1/97]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7/9/97, Notice 5/21/97—published 7/30/97, effective 10/1/97]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1/14/98, Notice 11/19/97—published 2/11/98, effective 4/1/98]</w:t>
      </w:r>
    </w:p>
    <w:p>
      <w:pPr>
        <w:spacing w:before="0" w:after="0"/>
        <w:ind w:left="120"/>
        <w:jc w:val="center"/>
      </w:pPr>
      <w:r>
        <w:rPr>
          <w:rFonts w:ascii="Times New Roman" w:hAnsi="Times New Roman"/>
          <w:b w:val="false"/>
          <w:i w:val="false"/>
          <w:color w:val="000000"/>
          <w:sz w:val="21"/>
        </w:rPr>
        <w:t>[Filed 4/8/98, Notices 2/11/98, 2/25/98—published 5/6/98, effective 7/1/98]</w:t>
      </w:r>
    </w:p>
    <w:p>
      <w:pPr>
        <w:spacing w:before="0" w:after="0"/>
        <w:ind w:left="120"/>
        <w:jc w:val="center"/>
      </w:pPr>
      <w:r>
        <w:rPr>
          <w:rFonts w:ascii="Times New Roman" w:hAnsi="Times New Roman"/>
          <w:b w:val="false"/>
          <w:i w:val="false"/>
          <w:color w:val="000000"/>
          <w:sz w:val="21"/>
        </w:rPr>
        <w:t>[Filed 5/13/98, Notice 3/25/98—published 6/3/98, effective 8/1/98]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10/14/98, Notice 7/1/98—published 11/4/98, effective 12/9/98]</w:t>
      </w:r>
    </w:p>
    <w:p>
      <w:pPr>
        <w:spacing w:before="0" w:after="0"/>
        <w:ind w:left="120"/>
        <w:jc w:val="center"/>
      </w:pPr>
      <w:r>
        <w:rPr>
          <w:rFonts w:ascii="Times New Roman" w:hAnsi="Times New Roman"/>
          <w:b w:val="false"/>
          <w:i w:val="false"/>
          <w:color w:val="000000"/>
          <w:sz w:val="21"/>
        </w:rPr>
        <w:t>[Filed 12/9/98, Notice 10/7/98—published 12/30/98, effective 3/1/99]</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3/10/99, Notice 1/27/99—published 4/7/99, effective 6/1/99]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10/13/99, Notice 6/30/99—published 11/3/99, effective 1/1/00]</w:t>
      </w:r>
    </w:p>
    <w:p>
      <w:pPr>
        <w:spacing w:before="0" w:after="0"/>
        <w:ind w:left="120"/>
        <w:jc w:val="center"/>
      </w:pPr>
      <w:r>
        <w:rPr>
          <w:rFonts w:ascii="Times New Roman" w:hAnsi="Times New Roman"/>
          <w:b w:val="false"/>
          <w:i w:val="false"/>
          <w:color w:val="000000"/>
          <w:sz w:val="21"/>
        </w:rPr>
        <w:t>[Filed 4/12/00, Notice 2/23/00—published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6/8/00, Notices 1/26/00, 4/19/00—published 6/28/00, effective 9/1/00]</w:t>
      </w:r>
    </w:p>
    <w:p>
      <w:pPr>
        <w:spacing w:before="0" w:after="0"/>
        <w:ind w:left="120"/>
        <w:jc w:val="center"/>
      </w:pPr>
      <w:r>
        <w:rPr>
          <w:rFonts w:ascii="Times New Roman" w:hAnsi="Times New Roman"/>
          <w:b w:val="false"/>
          <w:i w:val="false"/>
          <w:color w:val="000000"/>
          <w:sz w:val="21"/>
        </w:rPr>
        <w:t>[Filed 8/9/00, Notices 6/14/00, 6/28/00—published 9/6/00, effective 11/1/00]</w:t>
      </w:r>
    </w:p>
    <w:p>
      <w:pPr>
        <w:spacing w:before="0" w:after="0"/>
        <w:ind w:left="120"/>
        <w:jc w:val="center"/>
      </w:pPr>
      <w:r>
        <w:rPr>
          <w:rFonts w:ascii="Times New Roman" w:hAnsi="Times New Roman"/>
          <w:b w:val="false"/>
          <w:i w:val="false"/>
          <w:color w:val="000000"/>
          <w:sz w:val="21"/>
        </w:rPr>
        <w:t>[Filed emergency 9/12/00 after Notice 7/26/00—published 10/4/00, effective 10/1/00]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10/11/00, Notice 4/19/00—published 11/1/00, effective 1/1/01]</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5/9/01, Notice 3/21/01—published 5/30/01, effective 7/4/01]</w:t>
      </w:r>
    </w:p>
    <w:p>
      <w:pPr>
        <w:spacing w:before="0" w:after="0"/>
        <w:ind w:left="120"/>
        <w:jc w:val="center"/>
      </w:pPr>
      <w:r>
        <w:rPr>
          <w:rFonts w:ascii="Times New Roman" w:hAnsi="Times New Roman"/>
          <w:b w:val="false"/>
          <w:i w:val="false"/>
          <w:color w:val="000000"/>
          <w:sz w:val="21"/>
        </w:rPr>
        <w:t>[Filed 5/9/01, Notices 1/24/01, 3/7/01—published 5/30/01, effective 8/1/01]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11/14/01, Notices 9/19/01, 10/3/01—published 12/12/01, effective 2/1/02]</w:t>
      </w:r>
    </w:p>
    <w:p>
      <w:pPr>
        <w:spacing w:before="0" w:after="0"/>
        <w:ind w:left="120"/>
        <w:jc w:val="center"/>
      </w:pPr>
      <w:r>
        <w:rPr>
          <w:rFonts w:ascii="Times New Roman" w:hAnsi="Times New Roman"/>
          <w:b w:val="false"/>
          <w:i w:val="false"/>
          <w:color w:val="000000"/>
          <w:sz w:val="21"/>
        </w:rPr>
        <w:t>[Filed emergency 12/12/01 after Notice 10/17/01—published 1/9/02, effective 12/12/01]</w:t>
      </w:r>
    </w:p>
    <w:p>
      <w:pPr>
        <w:spacing w:before="0" w:after="0"/>
        <w:ind w:left="120"/>
        <w:jc w:val="center"/>
      </w:pPr>
      <w:r>
        <w:rPr>
          <w:rFonts w:ascii="Times New Roman" w:hAnsi="Times New Roman"/>
          <w:b w:val="false"/>
          <w:i w:val="false"/>
          <w:color w:val="000000"/>
          <w:sz w:val="21"/>
        </w:rPr>
        <w:t>[Filed 12/12/01, Notice 7/11/01—published 1/9/02, effective 3/1/02]</w:t>
      </w:r>
    </w:p>
    <w:p>
      <w:pPr>
        <w:spacing w:before="0" w:after="0"/>
        <w:ind w:left="120"/>
        <w:jc w:val="center"/>
      </w:pPr>
      <w:r>
        <w:rPr>
          <w:rFonts w:ascii="Times New Roman" w:hAnsi="Times New Roman"/>
          <w:b w:val="false"/>
          <w:i w:val="false"/>
          <w:color w:val="000000"/>
          <w:sz w:val="21"/>
        </w:rPr>
        <w:t>[Filed 12/12/01, Notice 10/17/01—published 1/9/02, effective 3/1/02]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1/9/02 after Notice 11/14/01—published 2/6/02, effective 2/1/02]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2/14/02—published 3/6/02, effective 3/1/02]</w:t>
      </w:r>
    </w:p>
    <w:p>
      <w:pPr>
        <w:spacing w:before="0" w:after="0"/>
        <w:ind w:left="120"/>
        <w:jc w:val="center"/>
      </w:pPr>
      <w:r>
        <w:rPr>
          <w:rFonts w:ascii="Times New Roman" w:hAnsi="Times New Roman"/>
          <w:b w:val="false"/>
          <w:i w:val="false"/>
          <w:color w:val="000000"/>
          <w:sz w:val="21"/>
        </w:rPr>
        <w:t>[Filed 3/13/02, Notice 1/9/02—published 4/3/02, effective 6/1/02]</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4/10/02, Notice 1/9/02—published 5/1/02, effective 7/1/02]</w:t>
      </w:r>
    </w:p>
    <w:p>
      <w:pPr>
        <w:spacing w:before="0" w:after="0"/>
        <w:ind w:left="120"/>
        <w:jc w:val="center"/>
      </w:pPr>
      <w:r>
        <w:rPr>
          <w:rFonts w:ascii="Times New Roman" w:hAnsi="Times New Roman"/>
          <w:b w:val="false"/>
          <w:i w:val="false"/>
          <w:color w:val="000000"/>
          <w:sz w:val="21"/>
        </w:rPr>
        <w:t>[Filed 4/10/02, Notice 3/6/02—published 5/1/02, effective 7/1/02]</w:t>
      </w:r>
    </w:p>
    <w:p>
      <w:pPr>
        <w:spacing w:before="0" w:after="0"/>
        <w:ind w:left="120"/>
        <w:jc w:val="center"/>
      </w:pPr>
      <w:r>
        <w:rPr>
          <w:rFonts w:ascii="Times New Roman" w:hAnsi="Times New Roman"/>
          <w:b w:val="false"/>
          <w:i w:val="false"/>
          <w:color w:val="000000"/>
          <w:sz w:val="21"/>
        </w:rPr>
        <w:t>[Filed emergency 7/11/02—published 8/7/02, effective 7/11/02]</w:t>
      </w:r>
    </w:p>
    <w:p>
      <w:pPr>
        <w:spacing w:before="0" w:after="0"/>
        <w:ind w:left="120"/>
        <w:jc w:val="center"/>
      </w:pPr>
      <w:r>
        <w:rPr>
          <w:rFonts w:ascii="Times New Roman" w:hAnsi="Times New Roman"/>
          <w:b w:val="false"/>
          <w:i w:val="false"/>
          <w:color w:val="000000"/>
          <w:sz w:val="21"/>
        </w:rPr>
        <w:t>[Filed 7/15/02, Notice 5/1/02—published 8/7/02, effective 10/1/02]</w:t>
      </w:r>
    </w:p>
    <w:p>
      <w:pPr>
        <w:spacing w:before="0" w:after="0"/>
        <w:ind w:left="120"/>
        <w:jc w:val="center"/>
      </w:pPr>
      <w:r>
        <w:rPr>
          <w:rFonts w:ascii="Times New Roman" w:hAnsi="Times New Roman"/>
          <w:b w:val="false"/>
          <w:i w:val="false"/>
          <w:color w:val="000000"/>
          <w:sz w:val="21"/>
        </w:rPr>
        <w:t>[Filed emergency 8/15/02—published 9/4/02, effective 9/1/02]</w:t>
      </w:r>
    </w:p>
    <w:p>
      <w:pPr>
        <w:spacing w:before="0" w:after="0"/>
        <w:ind w:left="120"/>
        <w:jc w:val="center"/>
      </w:pPr>
      <w:r>
        <w:rPr>
          <w:rFonts w:ascii="Times New Roman" w:hAnsi="Times New Roman"/>
          <w:b w:val="false"/>
          <w:i w:val="false"/>
          <w:color w:val="000000"/>
          <w:sz w:val="21"/>
        </w:rPr>
        <w:t>[Filed 9/12/02, Notice 8/7/02—published 10/2/02, effective 12/1/02]</w:t>
      </w:r>
    </w:p>
    <w:p>
      <w:pPr>
        <w:spacing w:before="0" w:after="0"/>
        <w:ind w:left="120"/>
        <w:jc w:val="center"/>
      </w:pPr>
      <w:r>
        <w:rPr>
          <w:rFonts w:ascii="Times New Roman" w:hAnsi="Times New Roman"/>
          <w:b w:val="false"/>
          <w:i w:val="false"/>
          <w:color w:val="000000"/>
          <w:sz w:val="21"/>
        </w:rPr>
        <w:t>[Filed emergency 11/18/02—published 12/11/02, effective 12/1/02]</w:t>
      </w:r>
    </w:p>
    <w:p>
      <w:pPr>
        <w:spacing w:before="0" w:after="0"/>
        <w:ind w:left="120"/>
        <w:jc w:val="center"/>
      </w:pPr>
      <w:r>
        <w:rPr>
          <w:rFonts w:ascii="Times New Roman" w:hAnsi="Times New Roman"/>
          <w:b w:val="false"/>
          <w:i w:val="false"/>
          <w:color w:val="000000"/>
          <w:sz w:val="21"/>
        </w:rPr>
        <w:t>[Filed emergency 11/18/02—published 12/11/02, effective 12/15/02]</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11/18/02, Notice 9/4/02—published 12/11/02, effective 2/1/03]</w:t>
      </w:r>
    </w:p>
    <w:p>
      <w:pPr>
        <w:spacing w:before="0" w:after="0"/>
        <w:ind w:left="120"/>
        <w:jc w:val="center"/>
      </w:pPr>
      <w:r>
        <w:rPr>
          <w:rFonts w:ascii="Times New Roman" w:hAnsi="Times New Roman"/>
          <w:b w:val="false"/>
          <w:i w:val="false"/>
          <w:color w:val="000000"/>
          <w:sz w:val="21"/>
        </w:rPr>
        <w:t>[Filed emergency 12/12/02 after Notice 10/16/02—published 1/8/03, effective 1/1/03]</w:t>
      </w:r>
    </w:p>
    <w:p>
      <w:pPr>
        <w:spacing w:before="0" w:after="0"/>
        <w:ind w:left="120"/>
        <w:jc w:val="center"/>
      </w:pPr>
      <w:r>
        <w:rPr>
          <w:rFonts w:ascii="Times New Roman" w:hAnsi="Times New Roman"/>
          <w:b w:val="false"/>
          <w:i w:val="false"/>
          <w:color w:val="000000"/>
          <w:sz w:val="21"/>
        </w:rPr>
        <w:t>[Filed 12/12/02, Notice 10/30/02—published 1/8/03, effective 3/1/03]</w:t>
      </w:r>
    </w:p>
    <w:p>
      <w:pPr>
        <w:spacing w:before="0" w:after="0"/>
        <w:ind w:left="120"/>
        <w:jc w:val="center"/>
      </w:pPr>
      <w:r>
        <w:rPr>
          <w:rFonts w:ascii="Times New Roman" w:hAnsi="Times New Roman"/>
          <w:b w:val="false"/>
          <w:i w:val="false"/>
          <w:color w:val="000000"/>
          <w:sz w:val="21"/>
        </w:rPr>
        <w:t>[Filed emergency 1/9/03—published 2/5/03, effective 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2/13/03, Notice 11/27/02—published 3/5/03, effective 5/1/03]</w:t>
      </w:r>
    </w:p>
    <w:p>
      <w:pPr>
        <w:spacing w:before="0" w:after="0"/>
        <w:ind w:left="120"/>
        <w:jc w:val="center"/>
      </w:pPr>
      <w:r>
        <w:rPr>
          <w:rFonts w:ascii="Times New Roman" w:hAnsi="Times New Roman"/>
          <w:b w:val="false"/>
          <w:i w:val="false"/>
          <w:color w:val="000000"/>
          <w:sz w:val="21"/>
        </w:rPr>
        <w:t>[Filed 2/13/03, Notice 12/11/02—published 3/5/03, effective 5/1/03]</w:t>
      </w:r>
    </w:p>
    <w:p>
      <w:pPr>
        <w:spacing w:before="0" w:after="0"/>
        <w:ind w:left="120"/>
        <w:jc w:val="center"/>
      </w:pPr>
      <w:r>
        <w:rPr>
          <w:rFonts w:ascii="Times New Roman" w:hAnsi="Times New Roman"/>
          <w:b w:val="false"/>
          <w:i w:val="false"/>
          <w:color w:val="000000"/>
          <w:sz w:val="21"/>
        </w:rPr>
        <w:t>[Filed emergency 6/12/03—published 7/9/03, effective 7/1/03]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1/16/04, Notices 9/17/03, 10/29/03—published 2/4/04, effective 3/10/04]</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8/12/04, Notice 6/23/04—published 9/1/04, effective 11/1/04]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7/15/05, Notice 5/25/05—published 8/3/05, effective 10/1/05]</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emergency 10/21/05—published 11/9/05, effective 11/1/05]</w:t>
      </w:r>
    </w:p>
    <w:p>
      <w:pPr>
        <w:spacing w:before="0" w:after="0"/>
        <w:ind w:left="120"/>
        <w:jc w:val="center"/>
      </w:pPr>
      <w:r>
        <w:rPr>
          <w:rFonts w:ascii="Times New Roman" w:hAnsi="Times New Roman"/>
          <w:b w:val="false"/>
          <w:i w:val="false"/>
          <w:color w:val="000000"/>
          <w:sz w:val="21"/>
        </w:rPr>
        <w:t>[Filed 10/21/05, Notices 5/11/05 and 7/6/05—published 11/9/05, effective 12/14/05]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1/12/06, Notice 11/9/05—published 2/1/06, effective 3/8/06]</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5/12/06, Notice 3/15/06—published 6/7/06, effective 8/1/06]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10/20/06, Notice 8/2/06—published 11/8/06, effective 1/1/07]</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emergency 3/14/07 after Notice 1/17/07—published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[Filed emergency 7/12/07 after Notice 5/23/07—published 8/1/07, effective 8/1/07]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without Notice 7/20/07—published 8/15/07, effective 10/1/07]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emergency 9/12/07 after Notice 7/18/07—published 10/10/07, effective 10/1/07]</w:t>
      </w:r>
    </w:p>
    <w:p>
      <w:pPr>
        <w:spacing w:before="0" w:after="0"/>
        <w:ind w:left="120"/>
        <w:jc w:val="center"/>
      </w:pPr>
      <w:r>
        <w:rPr>
          <w:rFonts w:ascii="Times New Roman" w:hAnsi="Times New Roman"/>
          <w:b w:val="false"/>
          <w:i w:val="false"/>
          <w:color w:val="000000"/>
          <w:sz w:val="21"/>
        </w:rPr>
        <w:t>[Filed emergency 1/9/08 after Notice 10/10/07—published 1/30/08, effective 2/1/08]</w:t>
      </w:r>
    </w:p>
    <w:p>
      <w:pPr>
        <w:spacing w:before="0" w:after="0"/>
        <w:ind w:left="120"/>
        <w:jc w:val="center"/>
      </w:pPr>
      <w:r>
        <w:rPr>
          <w:rFonts w:ascii="Times New Roman" w:hAnsi="Times New Roman"/>
          <w:b w:val="false"/>
          <w:i w:val="false"/>
          <w:color w:val="000000"/>
          <w:sz w:val="21"/>
        </w:rPr>
        <w:t>[Filed 1/9/08, Notice 11/7/07—published 1/30/08, effective 4/1/08]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7548B</w:t>
      </w:r>
      <w:r>
        <w:rPr>
          <w:rFonts w:ascii="Times New Roman" w:hAnsi="Times New Roman"/>
          <w:b w:val="false"/>
          <w:i w:val="false"/>
          <w:color w:val="000000"/>
          <w:sz w:val="21"/>
        </w:rPr>
        <w:t xml:space="preserve"> (Notice ARC 7369B,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r>
        <w:rPr>
          <w:rFonts w:ascii="Times New Roman" w:hAnsi="Times New Roman"/>
          <w:b w:val="false"/>
          <w:i w:val="false"/>
          <w:color w:val="000000"/>
          <w:sz w:val="10"/>
        </w:rPr>
        <w:t>7</w:t>
      </w:r>
    </w:p>
    <w:p>
      <w:pPr>
        <w:spacing w:before="0" w:after="0"/>
        <w:ind w:left="120"/>
        <w:jc w:val="center"/>
      </w:pPr>
      <w:r>
        <w:rPr>
          <w:rFonts w:ascii="Times New Roman" w:hAnsi="Times New Roman"/>
          <w:b w:val="false"/>
          <w:i w:val="false"/>
          <w:color w:val="000000"/>
          <w:sz w:val="21"/>
        </w:rPr>
        <w:t>[Filed Emergency After Notice ARC 8008B</w:t>
      </w:r>
      <w:r>
        <w:rPr>
          <w:rFonts w:ascii="Times New Roman" w:hAnsi="Times New Roman"/>
          <w:b w:val="false"/>
          <w:i w:val="false"/>
          <w:color w:val="000000"/>
          <w:sz w:val="21"/>
        </w:rPr>
        <w:t xml:space="preserve"> (Notice ARC 7771B, IAB 5/20/09)</w:t>
      </w:r>
      <w:r>
        <w:rPr>
          <w:rFonts w:ascii="Times New Roman" w:hAnsi="Times New Roman"/>
          <w:b w:val="false"/>
          <w:i w:val="false"/>
          <w:color w:val="000000"/>
          <w:sz w:val="21"/>
        </w:rPr>
        <w:t>, IAB 7/29/09, effective 8/1/09]</w:t>
      </w:r>
    </w:p>
    <w:p>
      <w:pPr>
        <w:spacing w:before="0" w:after="0"/>
        <w:ind w:left="120"/>
        <w:jc w:val="center"/>
      </w:pPr>
      <w:r>
        <w:rPr>
          <w:rFonts w:ascii="Times New Roman" w:hAnsi="Times New Roman"/>
          <w:b w:val="false"/>
          <w:i w:val="false"/>
          <w:color w:val="000000"/>
          <w:sz w:val="21"/>
        </w:rPr>
        <w:t>[Filed ARC 8097B</w:t>
      </w:r>
      <w:r>
        <w:rPr>
          <w:rFonts w:ascii="Times New Roman" w:hAnsi="Times New Roman"/>
          <w:b w:val="false"/>
          <w:i w:val="false"/>
          <w:color w:val="000000"/>
          <w:sz w:val="21"/>
        </w:rPr>
        <w:t xml:space="preserve"> (Notice ARC 7816B, IAB 6/3/09)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8205B</w:t>
      </w:r>
      <w:r>
        <w:rPr>
          <w:rFonts w:ascii="Times New Roman" w:hAnsi="Times New Roman"/>
          <w:b w:val="false"/>
          <w:i w:val="false"/>
          <w:color w:val="000000"/>
          <w:sz w:val="21"/>
        </w:rPr>
        <w:t xml:space="preserve"> (Notice ARC 7827B, IAB 6/3/09)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ARC 8504B</w:t>
      </w:r>
      <w:r>
        <w:rPr>
          <w:rFonts w:ascii="Times New Roman" w:hAnsi="Times New Roman"/>
          <w:b w:val="false"/>
          <w:i w:val="false"/>
          <w:color w:val="000000"/>
          <w:sz w:val="21"/>
        </w:rPr>
        <w:t xml:space="preserve"> (Notice ARC 8247B, IAB 10/21/09)</w:t>
      </w:r>
      <w:r>
        <w:rPr>
          <w:rFonts w:ascii="Times New Roman" w:hAnsi="Times New Roman"/>
          <w:b w:val="false"/>
          <w:i w:val="false"/>
          <w:color w:val="000000"/>
          <w:sz w:val="21"/>
        </w:rPr>
        <w:t>, IAB 2/10/10, effective 3/22/10]</w:t>
      </w:r>
    </w:p>
    <w:p>
      <w:pPr>
        <w:spacing w:before="0" w:after="0"/>
        <w:ind w:left="120"/>
        <w:jc w:val="center"/>
      </w:pP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Emergency After Notice ARC 8714B</w:t>
      </w:r>
      <w:r>
        <w:rPr>
          <w:rFonts w:ascii="Times New Roman" w:hAnsi="Times New Roman"/>
          <w:b w:val="false"/>
          <w:i w:val="false"/>
          <w:color w:val="000000"/>
          <w:sz w:val="21"/>
        </w:rPr>
        <w:t xml:space="preserve"> (Notice ARC 8538B, IAB 2/24/10)</w:t>
      </w:r>
      <w:r>
        <w:rPr>
          <w:rFonts w:ascii="Times New Roman" w:hAnsi="Times New Roman"/>
          <w:b w:val="false"/>
          <w:i w:val="false"/>
          <w:color w:val="000000"/>
          <w:sz w:val="21"/>
        </w:rPr>
        <w:t>, IAB 5/5/10, effective 5/1/10]</w:t>
      </w:r>
    </w:p>
    <w:p>
      <w:pPr>
        <w:spacing w:before="0" w:after="0"/>
        <w:ind w:left="120"/>
        <w:jc w:val="center"/>
      </w:pPr>
      <w:r>
        <w:rPr>
          <w:rFonts w:ascii="Times New Roman" w:hAnsi="Times New Roman"/>
          <w:b w:val="false"/>
          <w:i w:val="false"/>
          <w:color w:val="000000"/>
          <w:sz w:val="21"/>
        </w:rPr>
        <w:t>[Filed ARC 8993B</w:t>
      </w:r>
      <w:r>
        <w:rPr>
          <w:rFonts w:ascii="Times New Roman" w:hAnsi="Times New Roman"/>
          <w:b w:val="false"/>
          <w:i w:val="false"/>
          <w:color w:val="000000"/>
          <w:sz w:val="21"/>
        </w:rPr>
        <w:t xml:space="preserve"> (Notice ARC 8722B, IAB 5/5/10)</w:t>
      </w:r>
      <w:r>
        <w:rPr>
          <w:rFonts w:ascii="Times New Roman" w:hAnsi="Times New Roman"/>
          <w:b w:val="false"/>
          <w:i w:val="false"/>
          <w:color w:val="000000"/>
          <w:sz w:val="21"/>
        </w:rPr>
        <w:t>, IAB 8/11/10, effective 10/1/10]</w:t>
      </w:r>
      <w:r>
        <w:br/>
      </w: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p>
    <w:p>
      <w:pPr>
        <w:spacing w:before="0" w:after="0"/>
        <w:ind w:left="120"/>
        <w:jc w:val="center"/>
      </w:pPr>
      <w:r>
        <w:rPr>
          <w:rFonts w:ascii="Times New Roman" w:hAnsi="Times New Roman"/>
          <w:b w:val="false"/>
          <w:i w:val="false"/>
          <w:color w:val="000000"/>
          <w:sz w:val="21"/>
        </w:rPr>
        <w:t>[Filed ARC 9045B</w:t>
      </w:r>
      <w:r>
        <w:rPr>
          <w:rFonts w:ascii="Times New Roman" w:hAnsi="Times New Roman"/>
          <w:b w:val="false"/>
          <w:i w:val="false"/>
          <w:color w:val="000000"/>
          <w:sz w:val="21"/>
        </w:rPr>
        <w:t xml:space="preserve"> (Notice ARC 8832B, IAB 6/2/10)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Emergency ARC 9132B, IAB 10/6/10, effective 11/1/10]</w:t>
      </w:r>
    </w:p>
    <w:p>
      <w:pPr>
        <w:spacing w:before="0" w:after="0"/>
        <w:ind w:left="120"/>
        <w:jc w:val="center"/>
      </w:pPr>
      <w:r>
        <w:rPr>
          <w:rFonts w:ascii="Times New Roman" w:hAnsi="Times New Roman"/>
          <w:b w:val="false"/>
          <w:i w:val="false"/>
          <w:color w:val="000000"/>
          <w:sz w:val="21"/>
        </w:rPr>
        <w:t>[Filed ARC 9175B</w:t>
      </w:r>
      <w:r>
        <w:rPr>
          <w:rFonts w:ascii="Times New Roman" w:hAnsi="Times New Roman"/>
          <w:b w:val="false"/>
          <w:i w:val="false"/>
          <w:color w:val="000000"/>
          <w:sz w:val="21"/>
        </w:rPr>
        <w:t xml:space="preserve"> (Notice ARC 8975B, IAB 7/28/10)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Emergency ARC 9256B, IAB 12/1/10, effective 1/1/11]</w:t>
      </w:r>
    </w:p>
    <w:p>
      <w:pPr>
        <w:spacing w:before="0" w:after="0"/>
        <w:ind w:left="120"/>
        <w:jc w:val="center"/>
      </w:pPr>
      <w:r>
        <w:rPr>
          <w:rFonts w:ascii="Times New Roman" w:hAnsi="Times New Roman"/>
          <w:b w:val="false"/>
          <w:i w:val="false"/>
          <w:color w:val="000000"/>
          <w:sz w:val="21"/>
        </w:rPr>
        <w:t>[Filed Emergency ARC 9311B, IAB 12/29/10, effective 1/1/11]</w:t>
      </w:r>
      <w:r>
        <w:br/>
      </w:r>
      <w:r>
        <w:rPr>
          <w:rFonts w:ascii="Times New Roman" w:hAnsi="Times New Roman"/>
          <w:b w:val="false"/>
          <w:i w:val="false"/>
          <w:color w:val="000000"/>
          <w:sz w:val="21"/>
        </w:rPr>
        <w:t>[Filed ARC 9315B</w:t>
      </w:r>
      <w:r>
        <w:rPr>
          <w:rFonts w:ascii="Times New Roman" w:hAnsi="Times New Roman"/>
          <w:b w:val="false"/>
          <w:i w:val="false"/>
          <w:color w:val="000000"/>
          <w:sz w:val="21"/>
        </w:rPr>
        <w:t xml:space="preserve"> (Notice ARC 9111B, IAB 10/6/10)</w:t>
      </w:r>
      <w:r>
        <w:rPr>
          <w:rFonts w:ascii="Times New Roman" w:hAnsi="Times New Roman"/>
          <w:b w:val="false"/>
          <w:i w:val="false"/>
          <w:color w:val="000000"/>
          <w:sz w:val="21"/>
        </w:rPr>
        <w:t>, IAB 12/29/10, effective 2/2/11]</w:t>
      </w:r>
      <w:r>
        <w:br/>
      </w:r>
      <w:r>
        <w:rPr>
          <w:rFonts w:ascii="Times New Roman" w:hAnsi="Times New Roman"/>
          <w:b w:val="false"/>
          <w:i w:val="false"/>
          <w:color w:val="000000"/>
          <w:sz w:val="21"/>
        </w:rPr>
        <w:t>[Filed ARC 9316B</w:t>
      </w:r>
      <w:r>
        <w:rPr>
          <w:rFonts w:ascii="Times New Roman" w:hAnsi="Times New Roman"/>
          <w:b w:val="false"/>
          <w:i w:val="false"/>
          <w:color w:val="000000"/>
          <w:sz w:val="21"/>
        </w:rPr>
        <w:t xml:space="preserve"> (Notice ARC 9133B, IAB 10/6/10)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9403B</w:t>
      </w:r>
      <w:r>
        <w:rPr>
          <w:rFonts w:ascii="Times New Roman" w:hAnsi="Times New Roman"/>
          <w:b w:val="false"/>
          <w:i w:val="false"/>
          <w:color w:val="000000"/>
          <w:sz w:val="21"/>
        </w:rPr>
        <w:t xml:space="preserve"> (Notice ARC 9170B, IAB 10/20/10)</w:t>
      </w:r>
      <w:r>
        <w:rPr>
          <w:rFonts w:ascii="Times New Roman" w:hAnsi="Times New Roman"/>
          <w:b w:val="false"/>
          <w:i w:val="false"/>
          <w:color w:val="000000"/>
          <w:sz w:val="21"/>
        </w:rPr>
        <w:t>, IAB 3/9/11, effective 5/1/11]</w:t>
      </w:r>
      <w:r>
        <w:rPr>
          <w:rFonts w:ascii="Times New Roman" w:hAnsi="Times New Roman"/>
          <w:b w:val="false"/>
          <w:i w:val="false"/>
          <w:color w:val="000000"/>
          <w:sz w:val="10"/>
        </w:rPr>
        <w:t>8</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9588B</w:t>
      </w:r>
      <w:r>
        <w:rPr>
          <w:rFonts w:ascii="Times New Roman" w:hAnsi="Times New Roman"/>
          <w:b w:val="false"/>
          <w:i w:val="false"/>
          <w:color w:val="000000"/>
          <w:sz w:val="21"/>
        </w:rPr>
        <w:t xml:space="preserve"> (Notice ARC 9367B, IAB 2/9/11; </w:t>
      </w:r>
      <w:r>
        <w:rPr>
          <w:rFonts w:ascii="Times New Roman" w:hAnsi="Times New Roman"/>
          <w:b w:val="false"/>
          <w:i w:val="false"/>
          <w:color w:val="000000"/>
          <w:sz w:val="21"/>
        </w:rPr>
        <w:t>Amended Notice ARC 9448B, IAB 4/6/11)</w:t>
      </w:r>
      <w:r>
        <w:rPr>
          <w:rFonts w:ascii="Times New Roman" w:hAnsi="Times New Roman"/>
          <w:b w:val="false"/>
          <w:i w:val="false"/>
          <w:color w:val="000000"/>
          <w:sz w:val="21"/>
        </w:rPr>
        <w:t>, IAB 6/29/11, effective 9/1/11]</w:t>
      </w:r>
    </w:p>
    <w:p>
      <w:pPr>
        <w:spacing w:before="0" w:after="0"/>
        <w:ind w:left="120"/>
        <w:jc w:val="center"/>
      </w:pPr>
      <w:r>
        <w:rPr>
          <w:rFonts w:ascii="Times New Roman" w:hAnsi="Times New Roman"/>
          <w:b w:val="false"/>
          <w:i w:val="false"/>
          <w:color w:val="000000"/>
          <w:sz w:val="21"/>
        </w:rPr>
        <w:t>[Filed Emergency After Notice ARC 9649B</w:t>
      </w:r>
      <w:r>
        <w:rPr>
          <w:rFonts w:ascii="Times New Roman" w:hAnsi="Times New Roman"/>
          <w:b w:val="false"/>
          <w:i w:val="false"/>
          <w:color w:val="000000"/>
          <w:sz w:val="21"/>
        </w:rPr>
        <w:t xml:space="preserve"> (Notice ARC 9538B, IAB 6/1/11)</w:t>
      </w:r>
      <w:r>
        <w:rPr>
          <w:rFonts w:ascii="Times New Roman" w:hAnsi="Times New Roman"/>
          <w:b w:val="false"/>
          <w:i w:val="false"/>
          <w:color w:val="000000"/>
          <w:sz w:val="21"/>
        </w:rPr>
        <w:t>, IAB 8/10/11, effective 8/1/11]</w:t>
      </w:r>
      <w:r>
        <w:br/>
      </w:r>
      <w:r>
        <w:rPr>
          <w:rFonts w:ascii="Times New Roman" w:hAnsi="Times New Roman"/>
          <w:b w:val="false"/>
          <w:i w:val="false"/>
          <w:color w:val="000000"/>
          <w:sz w:val="21"/>
        </w:rPr>
        <w:t>[Filed ARC 9650B</w:t>
      </w:r>
      <w:r>
        <w:rPr>
          <w:rFonts w:ascii="Times New Roman" w:hAnsi="Times New Roman"/>
          <w:b w:val="false"/>
          <w:i w:val="false"/>
          <w:color w:val="000000"/>
          <w:sz w:val="21"/>
        </w:rPr>
        <w:t xml:space="preserve"> (Notice ARC 9497B, IAB 5/4/11)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Emergency ARC 9699B, IAB 9/7/11, effective 9/1/11]</w:t>
      </w:r>
      <w:r>
        <w:br/>
      </w:r>
      <w:r>
        <w:rPr>
          <w:rFonts w:ascii="Times New Roman" w:hAnsi="Times New Roman"/>
          <w:b w:val="false"/>
          <w:i w:val="false"/>
          <w:color w:val="000000"/>
          <w:sz w:val="21"/>
        </w:rPr>
        <w:t>[Filed Emergency ARC 9702B, IAB 9/7/11, effective 9/1/11]</w:t>
      </w:r>
      <w:r>
        <w:br/>
      </w:r>
      <w:r>
        <w:rPr>
          <w:rFonts w:ascii="Times New Roman" w:hAnsi="Times New Roman"/>
          <w:b w:val="false"/>
          <w:i w:val="false"/>
          <w:color w:val="000000"/>
          <w:sz w:val="21"/>
        </w:rPr>
        <w:t>[Filed Emergency ARC 9704B, IAB 9/7/11, effective 9/1/11]</w:t>
      </w:r>
    </w:p>
    <w:p>
      <w:pPr>
        <w:spacing w:before="0" w:after="0"/>
        <w:ind w:left="120"/>
        <w:jc w:val="center"/>
      </w:pPr>
      <w:r>
        <w:rPr>
          <w:rFonts w:ascii="Times New Roman" w:hAnsi="Times New Roman"/>
          <w:b w:val="false"/>
          <w:i w:val="false"/>
          <w:color w:val="000000"/>
          <w:sz w:val="21"/>
        </w:rPr>
        <w:t>[Filed Emergency ARC 9834B, IAB 11/2/11, effective 11/1/11]</w:t>
      </w:r>
    </w:p>
    <w:p>
      <w:pPr>
        <w:spacing w:before="0" w:after="0"/>
        <w:ind w:left="120"/>
        <w:jc w:val="center"/>
      </w:pPr>
      <w:r>
        <w:rPr>
          <w:rFonts w:ascii="Times New Roman" w:hAnsi="Times New Roman"/>
          <w:b w:val="false"/>
          <w:i w:val="false"/>
          <w:color w:val="000000"/>
          <w:sz w:val="21"/>
        </w:rPr>
        <w:t>[Filed ARC 9882B</w:t>
      </w:r>
      <w:r>
        <w:rPr>
          <w:rFonts w:ascii="Times New Roman" w:hAnsi="Times New Roman"/>
          <w:b w:val="false"/>
          <w:i w:val="false"/>
          <w:color w:val="000000"/>
          <w:sz w:val="21"/>
        </w:rPr>
        <w:t xml:space="preserve"> (Notice ARC 9700B,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9883B</w:t>
      </w:r>
      <w:r>
        <w:rPr>
          <w:rFonts w:ascii="Times New Roman" w:hAnsi="Times New Roman"/>
          <w:b w:val="false"/>
          <w:i w:val="false"/>
          <w:color w:val="000000"/>
          <w:sz w:val="21"/>
        </w:rPr>
        <w:t xml:space="preserve"> (Notice ARC 9703B,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9884B</w:t>
      </w:r>
      <w:r>
        <w:rPr>
          <w:rFonts w:ascii="Times New Roman" w:hAnsi="Times New Roman"/>
          <w:b w:val="false"/>
          <w:i w:val="false"/>
          <w:color w:val="000000"/>
          <w:sz w:val="21"/>
        </w:rPr>
        <w:t xml:space="preserve"> (Notice ARC 9705B,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9981B</w:t>
      </w:r>
      <w:r>
        <w:rPr>
          <w:rFonts w:ascii="Times New Roman" w:hAnsi="Times New Roman"/>
          <w:b w:val="false"/>
          <w:i w:val="false"/>
          <w:color w:val="000000"/>
          <w:sz w:val="21"/>
        </w:rPr>
        <w:t xml:space="preserve"> (Notice ARC 9835B, IAB 11/2/11)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0065C</w:t>
      </w:r>
      <w:r>
        <w:rPr>
          <w:rFonts w:ascii="Times New Roman" w:hAnsi="Times New Roman"/>
          <w:b w:val="false"/>
          <w:i w:val="false"/>
          <w:color w:val="000000"/>
          <w:sz w:val="21"/>
        </w:rPr>
        <w:t xml:space="preserve"> (Notice ARC 9940B, IAB 12/28/11)</w:t>
      </w:r>
      <w:r>
        <w:rPr>
          <w:rFonts w:ascii="Times New Roman" w:hAnsi="Times New Roman"/>
          <w:b w:val="false"/>
          <w:i w:val="false"/>
          <w:color w:val="000000"/>
          <w:sz w:val="21"/>
        </w:rPr>
        <w:t>, IAB 4/4/12, effective 6/1/12]</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ARC 0194C,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0305C</w:t>
      </w:r>
      <w:r>
        <w:rPr>
          <w:rFonts w:ascii="Times New Roman" w:hAnsi="Times New Roman"/>
          <w:b w:val="false"/>
          <w:i w:val="false"/>
          <w:color w:val="000000"/>
          <w:sz w:val="21"/>
        </w:rPr>
        <w:t xml:space="preserve"> (Notice ARC 0144C, IAB 5/30/12)</w:t>
      </w:r>
      <w:r>
        <w:rPr>
          <w:rFonts w:ascii="Times New Roman" w:hAnsi="Times New Roman"/>
          <w:b w:val="false"/>
          <w:i w:val="false"/>
          <w:color w:val="000000"/>
          <w:sz w:val="21"/>
        </w:rPr>
        <w:t>, IAB 9/5/12, effective 11/1/12]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0354C</w:t>
      </w:r>
      <w:r>
        <w:rPr>
          <w:rFonts w:ascii="Times New Roman" w:hAnsi="Times New Roman"/>
          <w:b w:val="false"/>
          <w:i w:val="false"/>
          <w:color w:val="000000"/>
          <w:sz w:val="21"/>
        </w:rPr>
        <w:t xml:space="preserve"> (Notice ARC 0195C,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0631C</w:t>
      </w:r>
      <w:r>
        <w:rPr>
          <w:rFonts w:ascii="Times New Roman" w:hAnsi="Times New Roman"/>
          <w:b w:val="false"/>
          <w:i w:val="false"/>
          <w:color w:val="000000"/>
          <w:sz w:val="21"/>
        </w:rPr>
        <w:t xml:space="preserve"> (Notice ARC 0497C, IAB 12/12/12)</w:t>
      </w:r>
      <w:r>
        <w:rPr>
          <w:rFonts w:ascii="Times New Roman" w:hAnsi="Times New Roman"/>
          <w:b w:val="false"/>
          <w:i w:val="false"/>
          <w:color w:val="000000"/>
          <w:sz w:val="21"/>
        </w:rPr>
        <w:t>, IAB 3/6/13, effective 5/1/13]</w:t>
      </w:r>
      <w:r>
        <w:br/>
      </w:r>
      <w:r>
        <w:rPr>
          <w:rFonts w:ascii="Times New Roman" w:hAnsi="Times New Roman"/>
          <w:b w:val="false"/>
          <w:i w:val="false"/>
          <w:color w:val="000000"/>
          <w:sz w:val="21"/>
        </w:rPr>
        <w:t>[Filed ARC 0632C</w:t>
      </w:r>
      <w:r>
        <w:rPr>
          <w:rFonts w:ascii="Times New Roman" w:hAnsi="Times New Roman"/>
          <w:b w:val="false"/>
          <w:i w:val="false"/>
          <w:color w:val="000000"/>
          <w:sz w:val="21"/>
        </w:rPr>
        <w:t xml:space="preserve"> (Notice ARC 0496C, IAB 12/12/12)</w:t>
      </w:r>
      <w:r>
        <w:rPr>
          <w:rFonts w:ascii="Times New Roman" w:hAnsi="Times New Roman"/>
          <w:b w:val="false"/>
          <w:i w:val="false"/>
          <w:color w:val="000000"/>
          <w:sz w:val="21"/>
        </w:rPr>
        <w:t>, IAB 3/6/13, effective 5/1/13]</w:t>
      </w:r>
    </w:p>
    <w:p>
      <w:pPr>
        <w:spacing w:before="0" w:after="0"/>
        <w:ind w:left="120"/>
        <w:jc w:val="center"/>
      </w:pPr>
      <w:r>
        <w:rPr>
          <w:rFonts w:ascii="Times New Roman" w:hAnsi="Times New Roman"/>
          <w:b w:val="false"/>
          <w:i w:val="false"/>
          <w:color w:val="000000"/>
          <w:sz w:val="21"/>
        </w:rPr>
        <w:t>[Filed ARC 0707C</w:t>
      </w:r>
      <w:r>
        <w:rPr>
          <w:rFonts w:ascii="Times New Roman" w:hAnsi="Times New Roman"/>
          <w:b w:val="false"/>
          <w:i w:val="false"/>
          <w:color w:val="000000"/>
          <w:sz w:val="21"/>
        </w:rPr>
        <w:t xml:space="preserve"> (Notice ARC 0567C,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0709C</w:t>
      </w:r>
      <w:r>
        <w:rPr>
          <w:rFonts w:ascii="Times New Roman" w:hAnsi="Times New Roman"/>
          <w:b w:val="false"/>
          <w:i w:val="false"/>
          <w:color w:val="000000"/>
          <w:sz w:val="21"/>
        </w:rPr>
        <w:t xml:space="preserve"> (Notice ARC 0589C,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ARC 0823C</w:t>
      </w:r>
      <w:r>
        <w:rPr>
          <w:rFonts w:ascii="Times New Roman" w:hAnsi="Times New Roman"/>
          <w:b w:val="false"/>
          <w:i w:val="false"/>
          <w:color w:val="000000"/>
          <w:sz w:val="21"/>
        </w:rPr>
        <w:t xml:space="preserve"> (Notice ARC 0649C, IAB 3/20/13)</w:t>
      </w:r>
      <w:r>
        <w:rPr>
          <w:rFonts w:ascii="Times New Roman" w:hAnsi="Times New Roman"/>
          <w:b w:val="false"/>
          <w:i w:val="false"/>
          <w:color w:val="000000"/>
          <w:sz w:val="21"/>
        </w:rPr>
        <w:t>, IAB 7/10/13, effective 9/1/13]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0842C, IAB 7/24/13, effective 7/1/13]</w:t>
      </w:r>
      <w:r>
        <w:br/>
      </w:r>
      <w:r>
        <w:rPr>
          <w:rFonts w:ascii="Times New Roman" w:hAnsi="Times New Roman"/>
          <w:b w:val="false"/>
          <w:i w:val="false"/>
          <w:color w:val="000000"/>
          <w:sz w:val="21"/>
        </w:rPr>
        <w:t>[Filed Emergency ARC 0844C, IAB 7/24/13, effective 7/1/13]</w:t>
      </w:r>
      <w:r>
        <w:br/>
      </w:r>
      <w:r>
        <w:rPr>
          <w:rFonts w:ascii="Times New Roman" w:hAnsi="Times New Roman"/>
          <w:b w:val="false"/>
          <w:i w:val="false"/>
          <w:color w:val="000000"/>
          <w:sz w:val="21"/>
        </w:rPr>
        <w:t>[Filed Emergency ARC 0846C, IAB 7/24/13, effective 7/1/13]</w:t>
      </w:r>
      <w:r>
        <w:br/>
      </w:r>
      <w:r>
        <w:rPr>
          <w:rFonts w:ascii="Times New Roman" w:hAnsi="Times New Roman"/>
          <w:b w:val="false"/>
          <w:i w:val="false"/>
          <w:color w:val="000000"/>
          <w:sz w:val="21"/>
        </w:rPr>
        <w:t>[Filed Emergency ARC 0848C, IAB 7/24/13,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1052C</w:t>
      </w:r>
      <w:r>
        <w:rPr>
          <w:rFonts w:ascii="Times New Roman" w:hAnsi="Times New Roman"/>
          <w:b w:val="false"/>
          <w:i w:val="false"/>
          <w:color w:val="000000"/>
          <w:sz w:val="21"/>
        </w:rPr>
        <w:t xml:space="preserve"> (Notice ARC 0845C,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1056C</w:t>
      </w:r>
      <w:r>
        <w:rPr>
          <w:rFonts w:ascii="Times New Roman" w:hAnsi="Times New Roman"/>
          <w:b w:val="false"/>
          <w:i w:val="false"/>
          <w:color w:val="000000"/>
          <w:sz w:val="21"/>
        </w:rPr>
        <w:t xml:space="preserve"> (Notice ARC 0841C,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1054C</w:t>
      </w:r>
      <w:r>
        <w:rPr>
          <w:rFonts w:ascii="Times New Roman" w:hAnsi="Times New Roman"/>
          <w:b w:val="false"/>
          <w:i w:val="false"/>
          <w:color w:val="000000"/>
          <w:sz w:val="21"/>
        </w:rPr>
        <w:t xml:space="preserve"> (Notice ARC 0843C,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1151C</w:t>
      </w:r>
      <w:r>
        <w:rPr>
          <w:rFonts w:ascii="Times New Roman" w:hAnsi="Times New Roman"/>
          <w:b w:val="false"/>
          <w:i w:val="false"/>
          <w:color w:val="000000"/>
          <w:sz w:val="21"/>
        </w:rPr>
        <w:t xml:space="preserve"> (Notice ARC 0920C,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1264C</w:t>
      </w:r>
      <w:r>
        <w:rPr>
          <w:rFonts w:ascii="Times New Roman" w:hAnsi="Times New Roman"/>
          <w:b w:val="false"/>
          <w:i w:val="false"/>
          <w:color w:val="000000"/>
          <w:sz w:val="21"/>
        </w:rPr>
        <w:t xml:space="preserve"> (Notice ARC 1161C, IAB 10/30/13)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1297C</w:t>
      </w:r>
      <w:r>
        <w:rPr>
          <w:rFonts w:ascii="Times New Roman" w:hAnsi="Times New Roman"/>
          <w:b w:val="false"/>
          <w:i w:val="false"/>
          <w:color w:val="000000"/>
          <w:sz w:val="21"/>
        </w:rPr>
        <w:t xml:space="preserve"> (Notice ARC 1185C, IAB 11/13/13)</w:t>
      </w:r>
      <w:r>
        <w:rPr>
          <w:rFonts w:ascii="Times New Roman" w:hAnsi="Times New Roman"/>
          <w:b w:val="false"/>
          <w:i w:val="false"/>
          <w:color w:val="000000"/>
          <w:sz w:val="21"/>
        </w:rPr>
        <w:t>, IAB 2/5/14, effective 4/1/14]</w:t>
      </w:r>
    </w:p>
    <w:p>
      <w:pPr>
        <w:spacing w:before="0" w:after="0"/>
        <w:ind w:left="120"/>
        <w:jc w:val="center"/>
      </w:pPr>
      <w:r>
        <w:rPr>
          <w:rFonts w:ascii="Times New Roman" w:hAnsi="Times New Roman"/>
          <w:b w:val="false"/>
          <w:i w:val="false"/>
          <w:color w:val="000000"/>
          <w:sz w:val="21"/>
        </w:rPr>
        <w:t>[Filed Emergency After Notice ARC 1610C</w:t>
      </w:r>
      <w:r>
        <w:rPr>
          <w:rFonts w:ascii="Times New Roman" w:hAnsi="Times New Roman"/>
          <w:b w:val="false"/>
          <w:i w:val="false"/>
          <w:color w:val="000000"/>
          <w:sz w:val="21"/>
        </w:rPr>
        <w:t xml:space="preserve"> (Notice ARC 1510C, IAB 6/25/14)</w:t>
      </w:r>
      <w:r>
        <w:rPr>
          <w:rFonts w:ascii="Times New Roman" w:hAnsi="Times New Roman"/>
          <w:b w:val="false"/>
          <w:i w:val="false"/>
          <w:color w:val="000000"/>
          <w:sz w:val="21"/>
        </w:rPr>
        <w:t>, IAB 9/3/14, effective 8/13/14]</w:t>
      </w:r>
    </w:p>
    <w:p>
      <w:pPr>
        <w:spacing w:before="0" w:after="0"/>
        <w:ind w:left="120"/>
        <w:jc w:val="center"/>
      </w:pPr>
      <w:r>
        <w:rPr>
          <w:rFonts w:ascii="Times New Roman" w:hAnsi="Times New Roman"/>
          <w:b w:val="false"/>
          <w:i w:val="false"/>
          <w:color w:val="000000"/>
          <w:sz w:val="21"/>
        </w:rPr>
        <w:t>[Filed ARC 1696C</w:t>
      </w:r>
      <w:r>
        <w:rPr>
          <w:rFonts w:ascii="Times New Roman" w:hAnsi="Times New Roman"/>
          <w:b w:val="false"/>
          <w:i w:val="false"/>
          <w:color w:val="000000"/>
          <w:sz w:val="21"/>
        </w:rPr>
        <w:t xml:space="preserve"> (Notice ARC 1620C,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1850C</w:t>
      </w:r>
      <w:r>
        <w:rPr>
          <w:rFonts w:ascii="Times New Roman" w:hAnsi="Times New Roman"/>
          <w:b w:val="false"/>
          <w:i w:val="false"/>
          <w:color w:val="000000"/>
          <w:sz w:val="21"/>
        </w:rPr>
        <w:t xml:space="preserve"> (Notice ARC 1729C, IAB 11/12/14)</w:t>
      </w:r>
      <w:r>
        <w:rPr>
          <w:rFonts w:ascii="Times New Roman" w:hAnsi="Times New Roman"/>
          <w:b w:val="false"/>
          <w:i w:val="false"/>
          <w:color w:val="000000"/>
          <w:sz w:val="21"/>
        </w:rPr>
        <w:t>, IAB 2/4/15, effective 4/1/15]</w:t>
      </w:r>
    </w:p>
    <w:p>
      <w:pPr>
        <w:spacing w:before="0" w:after="0"/>
        <w:ind w:left="120"/>
        <w:jc w:val="center"/>
      </w:pPr>
      <w:r>
        <w:rPr>
          <w:rFonts w:ascii="Times New Roman" w:hAnsi="Times New Roman"/>
          <w:b w:val="false"/>
          <w:i w:val="false"/>
          <w:color w:val="000000"/>
          <w:sz w:val="21"/>
        </w:rPr>
        <w:t>[Filed ARC 1976C</w:t>
      </w:r>
      <w:r>
        <w:rPr>
          <w:rFonts w:ascii="Times New Roman" w:hAnsi="Times New Roman"/>
          <w:b w:val="false"/>
          <w:i w:val="false"/>
          <w:color w:val="000000"/>
          <w:sz w:val="21"/>
        </w:rPr>
        <w:t xml:space="preserve"> (Notice ARC 1901C, IAB 3/4/15)</w:t>
      </w:r>
      <w:r>
        <w:rPr>
          <w:rFonts w:ascii="Times New Roman" w:hAnsi="Times New Roman"/>
          <w:b w:val="false"/>
          <w:i w:val="false"/>
          <w:color w:val="000000"/>
          <w:sz w:val="21"/>
        </w:rPr>
        <w:t>, IAB 4/29/15, effective 7/1/15]</w:t>
      </w:r>
    </w:p>
    <w:p>
      <w:pPr>
        <w:spacing w:before="0" w:after="0"/>
        <w:ind w:left="120"/>
        <w:jc w:val="center"/>
      </w:pPr>
      <w:r>
        <w:rPr>
          <w:rFonts w:ascii="Times New Roman" w:hAnsi="Times New Roman"/>
          <w:b w:val="false"/>
          <w:i w:val="false"/>
          <w:color w:val="000000"/>
          <w:sz w:val="21"/>
        </w:rPr>
        <w:t>[Filed Emergency After Notice ARC 2050C</w:t>
      </w:r>
      <w:r>
        <w:rPr>
          <w:rFonts w:ascii="Times New Roman" w:hAnsi="Times New Roman"/>
          <w:b w:val="false"/>
          <w:i w:val="false"/>
          <w:color w:val="000000"/>
          <w:sz w:val="21"/>
        </w:rPr>
        <w:t xml:space="preserve"> (Notice ARC 1982C, IAB 4/29/15)</w:t>
      </w:r>
      <w:r>
        <w:rPr>
          <w:rFonts w:ascii="Times New Roman" w:hAnsi="Times New Roman"/>
          <w:b w:val="false"/>
          <w:i w:val="false"/>
          <w:color w:val="000000"/>
          <w:sz w:val="21"/>
        </w:rPr>
        <w:t>, IAB 7/8/15, effective 7/1/15]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r>
        <w:br/>
      </w:r>
      <w:r>
        <w:rPr>
          <w:rFonts w:ascii="Times New Roman" w:hAnsi="Times New Roman"/>
          <w:b w:val="false"/>
          <w:i w:val="false"/>
          <w:color w:val="000000"/>
          <w:sz w:val="21"/>
        </w:rPr>
        <w:t>[Filed ARC 2166C</w:t>
      </w:r>
      <w:r>
        <w:rPr>
          <w:rFonts w:ascii="Times New Roman" w:hAnsi="Times New Roman"/>
          <w:b w:val="false"/>
          <w:i w:val="false"/>
          <w:color w:val="000000"/>
          <w:sz w:val="21"/>
        </w:rPr>
        <w:t xml:space="preserve"> (Notice ARC 2096C,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2340C</w:t>
      </w:r>
      <w:r>
        <w:rPr>
          <w:rFonts w:ascii="Times New Roman" w:hAnsi="Times New Roman"/>
          <w:b w:val="false"/>
          <w:i w:val="false"/>
          <w:color w:val="000000"/>
          <w:sz w:val="21"/>
        </w:rPr>
        <w:t xml:space="preserve"> (Notice ARC 2115C, IAB 8/19/15)</w:t>
      </w:r>
      <w:r>
        <w:rPr>
          <w:rFonts w:ascii="Times New Roman" w:hAnsi="Times New Roman"/>
          <w:b w:val="false"/>
          <w:i w:val="false"/>
          <w:color w:val="000000"/>
          <w:sz w:val="21"/>
        </w:rPr>
        <w:t>, IAB 1/6/16, effective 2/10/16]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Emergency ARC 2848C, IAB 12/7/16, effective 11/15/16]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r>
        <w:br/>
      </w:r>
      <w:r>
        <w:rPr>
          <w:rFonts w:ascii="Times New Roman" w:hAnsi="Times New Roman"/>
          <w:b w:val="false"/>
          <w:i w:val="false"/>
          <w:color w:val="000000"/>
          <w:sz w:val="21"/>
        </w:rPr>
        <w:t>[Filed ARC 2936C</w:t>
      </w:r>
      <w:r>
        <w:rPr>
          <w:rFonts w:ascii="Times New Roman" w:hAnsi="Times New Roman"/>
          <w:b w:val="false"/>
          <w:i w:val="false"/>
          <w:color w:val="000000"/>
          <w:sz w:val="21"/>
        </w:rPr>
        <w:t xml:space="preserve"> (Notice ARC 2849C,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3005C</w:t>
      </w:r>
      <w:r>
        <w:rPr>
          <w:rFonts w:ascii="Times New Roman" w:hAnsi="Times New Roman"/>
          <w:b w:val="false"/>
          <w:i w:val="false"/>
          <w:color w:val="000000"/>
          <w:sz w:val="21"/>
        </w:rPr>
        <w:t xml:space="preserve"> (Notice ARC 2897C, IAB 1/18/17)</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3184C</w:t>
      </w:r>
      <w:r>
        <w:rPr>
          <w:rFonts w:ascii="Times New Roman" w:hAnsi="Times New Roman"/>
          <w:b w:val="false"/>
          <w:i w:val="false"/>
          <w:color w:val="000000"/>
          <w:sz w:val="21"/>
        </w:rPr>
        <w:t xml:space="preserve"> (Notice ARC 2920C, IAB 2/1/17)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Emergency ARC 3481C, IAB 12/6/17, effective 12/1/17]</w:t>
      </w:r>
      <w:r>
        <w:br/>
      </w: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3552C</w:t>
      </w:r>
      <w:r>
        <w:rPr>
          <w:rFonts w:ascii="Times New Roman" w:hAnsi="Times New Roman"/>
          <w:b w:val="false"/>
          <w:i w:val="false"/>
          <w:color w:val="000000"/>
          <w:sz w:val="21"/>
        </w:rPr>
        <w:t xml:space="preserve"> (Notice ARC 3374C,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3553C</w:t>
      </w:r>
      <w:r>
        <w:rPr>
          <w:rFonts w:ascii="Times New Roman" w:hAnsi="Times New Roman"/>
          <w:b w:val="false"/>
          <w:i w:val="false"/>
          <w:color w:val="000000"/>
          <w:sz w:val="21"/>
        </w:rPr>
        <w:t xml:space="preserve"> (Notice ARC 3419C,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3790C</w:t>
      </w:r>
      <w:r>
        <w:rPr>
          <w:rFonts w:ascii="Times New Roman" w:hAnsi="Times New Roman"/>
          <w:b w:val="false"/>
          <w:i w:val="false"/>
          <w:color w:val="000000"/>
          <w:sz w:val="21"/>
        </w:rPr>
        <w:t xml:space="preserve"> (Notice ARC 3476C, IAB 12/6/17; </w:t>
      </w:r>
      <w:r>
        <w:rPr>
          <w:rFonts w:ascii="Times New Roman" w:hAnsi="Times New Roman"/>
          <w:b w:val="false"/>
          <w:i w:val="false"/>
          <w:color w:val="000000"/>
          <w:sz w:val="21"/>
        </w:rPr>
        <w:t>Amended Notice ARC 3602C, IAB 1/31/18)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3874C</w:t>
      </w:r>
      <w:r>
        <w:rPr>
          <w:rFonts w:ascii="Times New Roman" w:hAnsi="Times New Roman"/>
          <w:b w:val="false"/>
          <w:i w:val="false"/>
          <w:color w:val="000000"/>
          <w:sz w:val="21"/>
        </w:rPr>
        <w:t xml:space="preserve"> (Notice ARC 3784C,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4430C</w:t>
      </w:r>
      <w:r>
        <w:rPr>
          <w:rFonts w:ascii="Times New Roman" w:hAnsi="Times New Roman"/>
          <w:b w:val="false"/>
          <w:i w:val="false"/>
          <w:color w:val="000000"/>
          <w:sz w:val="21"/>
        </w:rPr>
        <w:t xml:space="preserve"> (Notice ARC 4288C, IAB 2/13/19)</w:t>
      </w:r>
      <w:r>
        <w:rPr>
          <w:rFonts w:ascii="Times New Roman" w:hAnsi="Times New Roman"/>
          <w:b w:val="false"/>
          <w:i w:val="false"/>
          <w:color w:val="000000"/>
          <w:sz w:val="21"/>
        </w:rPr>
        <w:t>, IAB 5/8/19, effective 7/1/19]</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4575C</w:t>
      </w:r>
      <w:r>
        <w:rPr>
          <w:rFonts w:ascii="Times New Roman" w:hAnsi="Times New Roman"/>
          <w:b w:val="false"/>
          <w:i w:val="false"/>
          <w:color w:val="000000"/>
          <w:sz w:val="21"/>
        </w:rPr>
        <w:t xml:space="preserve"> (Notice ARC 4444C,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4792C</w:t>
      </w:r>
      <w:r>
        <w:rPr>
          <w:rFonts w:ascii="Times New Roman" w:hAnsi="Times New Roman"/>
          <w:b w:val="false"/>
          <w:i w:val="false"/>
          <w:color w:val="000000"/>
          <w:sz w:val="21"/>
        </w:rPr>
        <w:t xml:space="preserve"> (Notice ARC 4628C,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4899C</w:t>
      </w:r>
      <w:r>
        <w:rPr>
          <w:rFonts w:ascii="Times New Roman" w:hAnsi="Times New Roman"/>
          <w:b w:val="false"/>
          <w:i w:val="false"/>
          <w:color w:val="000000"/>
          <w:sz w:val="21"/>
        </w:rPr>
        <w:t xml:space="preserve"> (Notice ARC 4763C, IAB 11/20/19)</w:t>
      </w:r>
      <w:r>
        <w:rPr>
          <w:rFonts w:ascii="Times New Roman" w:hAnsi="Times New Roman"/>
          <w:b w:val="false"/>
          <w:i w:val="false"/>
          <w:color w:val="000000"/>
          <w:sz w:val="21"/>
        </w:rPr>
        <w:t>, IAB 2/12/20, effective 3/18/20]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r>
        <w:br/>
      </w:r>
      <w:r>
        <w:rPr>
          <w:rFonts w:ascii="Times New Roman" w:hAnsi="Times New Roman"/>
          <w:b w:val="false"/>
          <w:i w:val="false"/>
          <w:color w:val="000000"/>
          <w:sz w:val="21"/>
        </w:rPr>
        <w:t>[Filed ARC 5307C</w:t>
      </w:r>
      <w:r>
        <w:rPr>
          <w:rFonts w:ascii="Times New Roman" w:hAnsi="Times New Roman"/>
          <w:b w:val="false"/>
          <w:i w:val="false"/>
          <w:color w:val="000000"/>
          <w:sz w:val="21"/>
        </w:rPr>
        <w:t xml:space="preserve"> (Notice ARC 5166C,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5362C</w:t>
      </w:r>
      <w:r>
        <w:rPr>
          <w:rFonts w:ascii="Times New Roman" w:hAnsi="Times New Roman"/>
          <w:b w:val="false"/>
          <w:i w:val="false"/>
          <w:color w:val="000000"/>
          <w:sz w:val="21"/>
        </w:rPr>
        <w:t xml:space="preserve"> (Notice ARC 5229C, IAB 10/21/20)</w:t>
      </w:r>
      <w:r>
        <w:rPr>
          <w:rFonts w:ascii="Times New Roman" w:hAnsi="Times New Roman"/>
          <w:b w:val="false"/>
          <w:i w:val="false"/>
          <w:color w:val="000000"/>
          <w:sz w:val="21"/>
        </w:rPr>
        <w:t>, IAB 12/30/20, effective 3/1/21]</w:t>
      </w:r>
      <w:r>
        <w:br/>
      </w:r>
      <w:r>
        <w:rPr>
          <w:rFonts w:ascii="Times New Roman" w:hAnsi="Times New Roman"/>
          <w:b w:val="false"/>
          <w:i w:val="false"/>
          <w:color w:val="000000"/>
          <w:sz w:val="21"/>
        </w:rPr>
        <w:t>[Filed ARC 5364C</w:t>
      </w:r>
      <w:r>
        <w:rPr>
          <w:rFonts w:ascii="Times New Roman" w:hAnsi="Times New Roman"/>
          <w:b w:val="false"/>
          <w:i w:val="false"/>
          <w:color w:val="000000"/>
          <w:sz w:val="21"/>
        </w:rPr>
        <w:t xml:space="preserve"> (Notice ARC 5228C,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5418C</w:t>
      </w:r>
      <w:r>
        <w:rPr>
          <w:rFonts w:ascii="Times New Roman" w:hAnsi="Times New Roman"/>
          <w:b w:val="false"/>
          <w:i w:val="false"/>
          <w:color w:val="000000"/>
          <w:sz w:val="21"/>
        </w:rPr>
        <w:t xml:space="preserve"> (Notice ARC 5276C,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5487C</w:t>
      </w:r>
      <w:r>
        <w:rPr>
          <w:rFonts w:ascii="Times New Roman" w:hAnsi="Times New Roman"/>
          <w:b w:val="false"/>
          <w:i w:val="false"/>
          <w:color w:val="000000"/>
          <w:sz w:val="21"/>
        </w:rPr>
        <w:t xml:space="preserve"> (Notice ARC 5336C,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5597C</w:t>
      </w:r>
      <w:r>
        <w:rPr>
          <w:rFonts w:ascii="Times New Roman" w:hAnsi="Times New Roman"/>
          <w:b w:val="false"/>
          <w:i w:val="false"/>
          <w:color w:val="000000"/>
          <w:sz w:val="21"/>
        </w:rPr>
        <w:t xml:space="preserve"> (Notice ARC 5437C, IAB 2/10/21)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r>
        <w:br/>
      </w: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Emergency ARC 5896C, IAB 9/8/21, effective 8/17/21]</w:t>
      </w:r>
      <w:r>
        <w:br/>
      </w:r>
      <w:r>
        <w:rPr>
          <w:rFonts w:ascii="Times New Roman" w:hAnsi="Times New Roman"/>
          <w:b w:val="false"/>
          <w:i w:val="false"/>
          <w:color w:val="000000"/>
          <w:sz w:val="21"/>
        </w:rPr>
        <w:t>[Filed ARC 5889C</w:t>
      </w:r>
      <w:r>
        <w:rPr>
          <w:rFonts w:ascii="Times New Roman" w:hAnsi="Times New Roman"/>
          <w:b w:val="false"/>
          <w:i w:val="false"/>
          <w:color w:val="000000"/>
          <w:sz w:val="21"/>
        </w:rPr>
        <w:t xml:space="preserve"> (Notice ARC 5706C, IAB 6/16/21)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6122C</w:t>
      </w:r>
      <w:r>
        <w:rPr>
          <w:rFonts w:ascii="Times New Roman" w:hAnsi="Times New Roman"/>
          <w:b w:val="false"/>
          <w:i w:val="false"/>
          <w:color w:val="000000"/>
          <w:sz w:val="21"/>
        </w:rPr>
        <w:t xml:space="preserve"> (Notice ARC 5903C, IAB 9/8/21)</w:t>
      </w:r>
      <w:r>
        <w:rPr>
          <w:rFonts w:ascii="Times New Roman" w:hAnsi="Times New Roman"/>
          <w:b w:val="false"/>
          <w:i w:val="false"/>
          <w:color w:val="000000"/>
          <w:sz w:val="21"/>
        </w:rPr>
        <w:t>, IAB 12/29/21, effective 3/1/22]</w:t>
      </w:r>
    </w:p>
    <w:p>
      <w:pPr>
        <w:spacing w:before="0" w:after="0"/>
        <w:ind w:left="120"/>
        <w:jc w:val="center"/>
      </w:pPr>
      <w:r>
        <w:rPr>
          <w:rFonts w:ascii="Times New Roman" w:hAnsi="Times New Roman"/>
          <w:b w:val="false"/>
          <w:i w:val="false"/>
          <w:color w:val="000000"/>
          <w:sz w:val="21"/>
        </w:rPr>
        <w:t>[Filed ARC 6222C</w:t>
      </w:r>
      <w:r>
        <w:rPr>
          <w:rFonts w:ascii="Times New Roman" w:hAnsi="Times New Roman"/>
          <w:b w:val="false"/>
          <w:i w:val="false"/>
          <w:color w:val="000000"/>
          <w:sz w:val="21"/>
        </w:rPr>
        <w:t xml:space="preserve"> (Notice ARC 6081C, IAB 12/15/21)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ARC 6389C</w:t>
      </w:r>
      <w:r>
        <w:rPr>
          <w:rFonts w:ascii="Times New Roman" w:hAnsi="Times New Roman"/>
          <w:b w:val="false"/>
          <w:i w:val="false"/>
          <w:color w:val="000000"/>
          <w:sz w:val="21"/>
        </w:rPr>
        <w:t xml:space="preserve"> (Notice ARC 6313C, IAB 5/4/22)</w:t>
      </w:r>
      <w:r>
        <w:rPr>
          <w:rFonts w:ascii="Times New Roman" w:hAnsi="Times New Roman"/>
          <w:b w:val="false"/>
          <w:i w:val="false"/>
          <w:color w:val="000000"/>
          <w:sz w:val="21"/>
        </w:rPr>
        <w:t>, IAB 6/29/22, effective 9/1/22]</w:t>
      </w:r>
      <w:r>
        <w:br/>
      </w:r>
      <w:r>
        <w:rPr>
          <w:rFonts w:ascii="Times New Roman" w:hAnsi="Times New Roman"/>
          <w:b w:val="false"/>
          <w:i w:val="false"/>
          <w:color w:val="000000"/>
          <w:sz w:val="21"/>
        </w:rPr>
        <w:t>[Filed ARC 6390C</w:t>
      </w:r>
      <w:r>
        <w:rPr>
          <w:rFonts w:ascii="Times New Roman" w:hAnsi="Times New Roman"/>
          <w:b w:val="false"/>
          <w:i w:val="false"/>
          <w:color w:val="000000"/>
          <w:sz w:val="21"/>
        </w:rPr>
        <w:t xml:space="preserve"> (Notice ARC 6286C, IAB 4/6/22)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6624C</w:t>
      </w:r>
      <w:r>
        <w:rPr>
          <w:rFonts w:ascii="Times New Roman" w:hAnsi="Times New Roman"/>
          <w:b w:val="false"/>
          <w:i w:val="false"/>
          <w:color w:val="000000"/>
          <w:sz w:val="21"/>
        </w:rPr>
        <w:t xml:space="preserve"> (Notice ARC 6474C,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Emergency ARC 6735C, IAB 12/14/22, effective 11/15/22]</w:t>
      </w:r>
    </w:p>
    <w:p>
      <w:pPr>
        <w:spacing w:before="0" w:after="0"/>
        <w:ind w:left="120"/>
        <w:jc w:val="center"/>
      </w:pPr>
      <w:r>
        <w:rPr>
          <w:rFonts w:ascii="Times New Roman" w:hAnsi="Times New Roman"/>
          <w:b w:val="false"/>
          <w:i w:val="false"/>
          <w:color w:val="000000"/>
          <w:sz w:val="21"/>
        </w:rPr>
        <w:t>[Filed Emergency After Notice ARC 6781C</w:t>
      </w:r>
      <w:r>
        <w:rPr>
          <w:rFonts w:ascii="Times New Roman" w:hAnsi="Times New Roman"/>
          <w:b w:val="false"/>
          <w:i w:val="false"/>
          <w:color w:val="000000"/>
          <w:sz w:val="21"/>
        </w:rPr>
        <w:t xml:space="preserve"> (Notice ARC 6619C, IAB 11/2/22)</w:t>
      </w:r>
      <w:r>
        <w:rPr>
          <w:rFonts w:ascii="Times New Roman" w:hAnsi="Times New Roman"/>
          <w:b w:val="false"/>
          <w:i w:val="false"/>
          <w:color w:val="000000"/>
          <w:sz w:val="21"/>
        </w:rPr>
        <w:t>, IAB 12/28/22, effective 1/1/23]</w:t>
      </w:r>
    </w:p>
    <w:p>
      <w:pPr>
        <w:spacing w:before="0" w:after="0"/>
        <w:ind w:left="120"/>
        <w:jc w:val="center"/>
      </w:pPr>
      <w:r>
        <w:rPr>
          <w:rFonts w:ascii="Times New Roman" w:hAnsi="Times New Roman"/>
          <w:b w:val="false"/>
          <w:i w:val="false"/>
          <w:color w:val="000000"/>
          <w:sz w:val="21"/>
        </w:rPr>
        <w:t>[Filed ARC 6937C</w:t>
      </w:r>
      <w:r>
        <w:rPr>
          <w:rFonts w:ascii="Times New Roman" w:hAnsi="Times New Roman"/>
          <w:b w:val="false"/>
          <w:i w:val="false"/>
          <w:color w:val="000000"/>
          <w:sz w:val="21"/>
        </w:rPr>
        <w:t xml:space="preserve"> (Notice ARC 6736C, IAB 12/14/22)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8204C</w:t>
      </w:r>
      <w:r>
        <w:rPr>
          <w:rFonts w:ascii="Times New Roman" w:hAnsi="Times New Roman"/>
          <w:b w:val="false"/>
          <w:i w:val="false"/>
          <w:color w:val="000000"/>
          <w:sz w:val="21"/>
        </w:rPr>
        <w:t xml:space="preserve"> (Notice ARC 8084C, IAB 6/26/24)</w:t>
      </w:r>
      <w:r>
        <w:rPr>
          <w:rFonts w:ascii="Times New Roman" w:hAnsi="Times New Roman"/>
          <w:b w:val="false"/>
          <w:i w:val="false"/>
          <w:color w:val="000000"/>
          <w:sz w:val="21"/>
        </w:rPr>
        <w:t>, IAB 8/21/24, effective 9/25/24]</w:t>
      </w:r>
    </w:p>
    <w:p>
      <w:pPr>
        <w:spacing w:before="0" w:after="0"/>
        <w:ind w:left="120"/>
        <w:jc w:val="center"/>
      </w:pPr>
      <w:r>
        <w:rPr>
          <w:rFonts w:ascii="Times New Roman" w:hAnsi="Times New Roman"/>
          <w:b w:val="false"/>
          <w:i w:val="false"/>
          <w:color w:val="000000"/>
          <w:sz w:val="21"/>
        </w:rPr>
        <w:t>[Filed ARC 8958C</w:t>
      </w:r>
      <w:r>
        <w:rPr>
          <w:rFonts w:ascii="Times New Roman" w:hAnsi="Times New Roman"/>
          <w:b w:val="false"/>
          <w:i w:val="false"/>
          <w:color w:val="000000"/>
          <w:sz w:val="21"/>
        </w:rPr>
        <w:t xml:space="preserve"> (Notice ARC 8575C, IAB 12/25/24)</w:t>
      </w:r>
      <w:r>
        <w:rPr>
          <w:rFonts w:ascii="Times New Roman" w:hAnsi="Times New Roman"/>
          <w:b w:val="false"/>
          <w:i w:val="false"/>
          <w:color w:val="000000"/>
          <w:sz w:val="21"/>
        </w:rPr>
        <w:t>, IAB 2/19/25, effective 4/1/25]</w:t>
      </w:r>
      <w:r>
        <w:br/>
      </w:r>
      <w:r>
        <w:rPr>
          <w:rFonts w:ascii="Times New Roman" w:hAnsi="Times New Roman"/>
          <w:b w:val="false"/>
          <w:i w:val="false"/>
          <w:color w:val="000000"/>
          <w:sz w:val="21"/>
        </w:rPr>
        <w:t>[Filed ARC 8959C</w:t>
      </w:r>
      <w:r>
        <w:rPr>
          <w:rFonts w:ascii="Times New Roman" w:hAnsi="Times New Roman"/>
          <w:b w:val="false"/>
          <w:i w:val="false"/>
          <w:color w:val="000000"/>
          <w:sz w:val="21"/>
        </w:rPr>
        <w:t xml:space="preserve"> (Notice ARC 8570C, IAB 12/25/24)</w:t>
      </w:r>
      <w:r>
        <w:rPr>
          <w:rFonts w:ascii="Times New Roman" w:hAnsi="Times New Roman"/>
          <w:b w:val="false"/>
          <w:i w:val="false"/>
          <w:color w:val="000000"/>
          <w:sz w:val="21"/>
        </w:rPr>
        <w:t>, IAB 2/19/25, effective 4/1/25]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501">
        <w:r>
          <w:rPr>
            <w:rStyle w:val="Hyperlink"/>
            <w:rFonts w:ascii="Times New Roman" w:hAnsi="Times New Roman"/>
            <w:b w:val="false"/>
            <w:i w:val="false"/>
            <w:color w:val="000000"/>
            <w:sz w:val="22"/>
          </w:rPr>
          <w:t>78.3</w:t>
        </w:r>
      </w:hyperlink>
      <w:r>
        <w:rPr>
          <w:rFonts w:ascii="Times New Roman" w:hAnsi="Times New Roman"/>
          <w:b w:val="false"/>
          <w:i w:val="false"/>
          <w:color w:val="000000"/>
          <w:sz w:val="22"/>
        </w:rPr>
        <w:t xml:space="preserve"> and </w:t>
      </w:r>
      <w:hyperlink r:id="rId502">
        <w:r>
          <w:rPr>
            <w:rStyle w:val="Hyperlink"/>
            <w:rFonts w:ascii="Times New Roman" w:hAnsi="Times New Roman"/>
            <w:b w:val="false"/>
            <w:i w:val="false"/>
            <w:color w:val="000000"/>
            <w:sz w:val="22"/>
          </w:rPr>
          <w:t>78.31</w:t>
        </w:r>
      </w:hyperlink>
      <w:r>
        <w:rPr>
          <w:rFonts w:ascii="Times New Roman" w:hAnsi="Times New Roman"/>
          <w:b w:val="false"/>
          <w:i w:val="false"/>
          <w:color w:val="000000"/>
          <w:sz w:val="22"/>
        </w:rPr>
        <w:t xml:space="preserve"> delayed 70 days by the Administrative Rules Review Committee at its January 1, 1988 meeting.</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w:t>
      </w:r>
    </w:p>
    <w:p>
      <w:pPr>
        <w:pBdr>
          <w:bottom w:space="2"/>
        </w:pBdr>
        <w:spacing w:before="0" w:after="0"/>
        <w:ind w:left="120"/>
        <w:jc w:val="both"/>
      </w:pPr>
      <w:r>
        <w:rPr>
          <w:rFonts w:ascii="Times New Roman" w:hAnsi="Times New Roman"/>
          <w:b w:val="false"/>
          <w:i w:val="false"/>
          <w:color w:val="000000"/>
          <w:sz w:val="22"/>
        </w:rPr>
        <w:t>Effective date of 4/1/91 delayed until adjournment of the 1991 session of the General Assembly by the Administrative Rules Review Committee at its meeting held February 12, 1991.</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p>
      <w:pPr>
        <w:pBdr>
          <w:bottom w:space="2"/>
        </w:pBdr>
        <w:spacing w:before="0" w:after="0"/>
        <w:ind w:left="120"/>
        <w:jc w:val="both"/>
      </w:pPr>
      <w:r>
        <w:rPr>
          <w:rFonts w:ascii="Times New Roman" w:hAnsi="Times New Roman"/>
          <w:b w:val="false"/>
          <w:i w:val="false"/>
          <w:color w:val="000000"/>
          <w:sz w:val="22"/>
        </w:rPr>
        <w:t>Effective date of 12/15/02 delayed 70 days by the Administrative Rules Review Committee at its December 10, 2002, meeting.</w:t>
      </w:r>
    </w:p>
    <w:p>
      <w:pPr>
        <w:pBdr>
          <w:bottom w:space="2"/>
        </w:pBdr>
        <w:spacing w:before="0" w:after="0"/>
        <w:ind w:left="120"/>
        <w:jc w:val="both"/>
      </w:pPr>
      <w:r>
        <w:rPr>
          <w:rFonts w:ascii="Times New Roman" w:hAnsi="Times New Roman"/>
          <w:b w:val="false"/>
          <w:i w:val="false"/>
          <w:color w:val="000000"/>
          <w:sz w:val="22"/>
        </w:rPr>
        <w:t xml:space="preserve">July 1, 2009, effective date of amendments to </w:t>
      </w:r>
      <w:hyperlink r:id="rId503">
        <w:r>
          <w:rPr>
            <w:rStyle w:val="Hyperlink"/>
            <w:rFonts w:ascii="Times New Roman" w:hAnsi="Times New Roman"/>
            <w:b w:val="false"/>
            <w:i w:val="false"/>
            <w:color w:val="000000"/>
            <w:sz w:val="22"/>
          </w:rPr>
          <w:t>78.27(2)</w:t>
        </w:r>
      </w:hyperlink>
      <w:r>
        <w:rPr>
          <w:rFonts w:ascii="Times New Roman" w:hAnsi="Times New Roman"/>
          <w:b w:val="false"/>
          <w:i w:val="false"/>
          <w:color w:val="000000"/>
          <w:sz w:val="22"/>
        </w:rPr>
        <w:t>“d” delayed 70 days by the Administrative Rules Review Committee at a special meeting held June 25, 2009.</w:t>
      </w:r>
    </w:p>
    <w:p>
      <w:pPr>
        <w:pBdr>
          <w:bottom w:space="2"/>
        </w:pBdr>
        <w:spacing w:before="0" w:after="0"/>
        <w:ind w:left="120"/>
        <w:jc w:val="both"/>
      </w:pPr>
      <w:r>
        <w:rPr>
          <w:rFonts w:ascii="Times New Roman" w:hAnsi="Times New Roman"/>
          <w:b w:val="false"/>
          <w:i w:val="false"/>
          <w:color w:val="000000"/>
          <w:sz w:val="22"/>
        </w:rPr>
        <w:t xml:space="preserve">May 11, 2011, effective date of </w:t>
      </w:r>
      <w:hyperlink r:id="rId504">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 xml:space="preserve">“d,” 78.38(5)“h,” 78.41(2)“g,” 78.43(3)“d,” and </w:t>
      </w:r>
      <w:hyperlink r:id="rId505">
        <w:r>
          <w:rPr>
            <w:rStyle w:val="Hyperlink"/>
            <w:rFonts w:ascii="Times New Roman" w:hAnsi="Times New Roman"/>
            <w:b w:val="false"/>
            <w:i w:val="false"/>
            <w:color w:val="000000"/>
            <w:sz w:val="22"/>
          </w:rPr>
          <w:t>78.52(5)</w:t>
        </w:r>
      </w:hyperlink>
      <w:r>
        <w:rPr>
          <w:rFonts w:ascii="Times New Roman" w:hAnsi="Times New Roman"/>
          <w:b w:val="false"/>
          <w:i w:val="false"/>
          <w:color w:val="000000"/>
          <w:sz w:val="22"/>
        </w:rPr>
        <w:t>“a” delayed 70 days by the Administrative Rules Review Committee at its meeting held April 11, 2011.</w:t>
      </w:r>
    </w:p>
    <w:p>
      <w:pPr>
        <w:pBdr>
          <w:bottom w:space="2"/>
        </w:pBdr>
        <w:spacing w:before="0" w:after="0"/>
        <w:ind w:left="120"/>
        <w:jc w:val="both"/>
      </w:pPr>
      <w:r>
        <w:rPr>
          <w:rFonts w:ascii="Times New Roman" w:hAnsi="Times New Roman"/>
          <w:b w:val="false"/>
          <w:i w:val="false"/>
          <w:color w:val="000000"/>
          <w:sz w:val="22"/>
        </w:rPr>
        <w:t xml:space="preserve">July 1, 2019, effective date of </w:t>
      </w:r>
      <w:r>
        <w:rPr>
          <w:rFonts w:ascii="Times New Roman" w:hAnsi="Times New Roman"/>
          <w:b/>
          <w:i w:val="false"/>
          <w:color w:val="000000"/>
          <w:sz w:val="22"/>
        </w:rPr>
        <w:t>ARC 4430C</w:t>
      </w:r>
      <w:r>
        <w:rPr>
          <w:rFonts w:ascii="Times New Roman" w:hAnsi="Times New Roman"/>
          <w:b w:val="false"/>
          <w:i w:val="false"/>
          <w:color w:val="000000"/>
          <w:sz w:val="22"/>
        </w:rPr>
        <w:t xml:space="preserve"> [amendments to chs 78, 79] delayed until the adjournment of the 2020 session of the General Assembly by the Administrative Rules Review Committee at its meeting held June 11, 2019; delay lifted at the meeting held September 10, 2019.</w:t>
      </w:r>
    </w:p>
    <w:p>
      <w:pPr>
        <w:pBdr>
          <w:bottom w:space="2"/>
        </w:pBdr>
        <w:spacing w:before="0" w:after="0"/>
        <w:ind w:left="120"/>
        <w:jc w:val="both"/>
      </w:pPr>
      <w:r>
        <w:rPr>
          <w:rFonts w:ascii="Times New Roman" w:hAnsi="Times New Roman"/>
          <w:b w:val="false"/>
          <w:i w:val="false"/>
          <w:color w:val="000000"/>
          <w:sz w:val="22"/>
        </w:rPr>
        <w:t xml:space="preserve">March 18, 2020, effective date of </w:t>
      </w:r>
      <w:r>
        <w:rPr>
          <w:rFonts w:ascii="Times New Roman" w:hAnsi="Times New Roman"/>
          <w:b/>
          <w:i w:val="false"/>
          <w:color w:val="000000"/>
          <w:sz w:val="22"/>
        </w:rPr>
        <w:t>ARC 4899C</w:t>
      </w:r>
      <w:r>
        <w:rPr>
          <w:rFonts w:ascii="Times New Roman" w:hAnsi="Times New Roman"/>
          <w:b w:val="false"/>
          <w:i w:val="false"/>
          <w:color w:val="000000"/>
          <w:sz w:val="22"/>
        </w:rPr>
        <w:t xml:space="preserve"> [amendments to chs 78, 79] delayed until the adjournment of the 2021 session of the General Assembly by the Administrative Rules Review Committee at its meeting held March 6, 2020; delay lifted at the meeting held August 11, 2020, except with respect to amendments to 78.2(6). Effective date of amendments to 78.2(6) remains delayed until the adjournment of the 2021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8.2.pdf" Type="http://schemas.openxmlformats.org/officeDocument/2006/relationships/hyperlink" Id="rId5"/>
    <Relationship TargetMode="External" Target="https://www.legis.iowa.gov/docs/iac/rule/441.78.5.pdf" Type="http://schemas.openxmlformats.org/officeDocument/2006/relationships/hyperlink" Id="rId6"/>
    <Relationship TargetMode="External" Target="https://www.legis.iowa.gov/docs/iac/rule/441.78.2.pdf" Type="http://schemas.openxmlformats.org/officeDocument/2006/relationships/hyperlink" Id="rId7"/>
    <Relationship TargetMode="External" Target="https://www.legis.iowa.gov/docs/iac/rule/441.78.10.pdf" Type="http://schemas.openxmlformats.org/officeDocument/2006/relationships/hyperlink" Id="rId8"/>
    <Relationship TargetMode="External" Target="https://www.legis.iowa.gov/docs/ico/chapter/124.308.pdf" Type="http://schemas.openxmlformats.org/officeDocument/2006/relationships/hyperlink" Id="rId9"/>
    <Relationship TargetMode="External" Target="https://www.legis.iowa.gov/docs/ico/chapter/155A.27.pdf" Type="http://schemas.openxmlformats.org/officeDocument/2006/relationships/hyperlink" Id="rId10"/>
    <Relationship TargetMode="External" Target="https://www.legis.iowa.gov/docs/ico/chapter/155A.29.pdf" Type="http://schemas.openxmlformats.org/officeDocument/2006/relationships/hyperlink" Id="rId11"/>
    <Relationship TargetMode="External" Target="https://www.legis.iowa.gov/docs/iac/rule/441.78.1.pdf" Type="http://schemas.openxmlformats.org/officeDocument/2006/relationships/hyperlink" Id="rId12"/>
    <Relationship TargetMode="External" Target="https://www.legis.iowa.gov/docs/iac/rule/441.78.10.pdf" Type="http://schemas.openxmlformats.org/officeDocument/2006/relationships/hyperlink" Id="rId13"/>
    <Relationship TargetMode="External" Target="https://www.legis.iowa.gov/docs/iac/rule/441.78.15.pdf" Type="http://schemas.openxmlformats.org/officeDocument/2006/relationships/hyperlink" Id="rId14"/>
    <Relationship TargetMode="External" Target="https://www.legis.iowa.gov/docs/iac/rule/441.81.13.pdf" Type="http://schemas.openxmlformats.org/officeDocument/2006/relationships/hyperlink" Id="rId15"/>
    <Relationship TargetMode="External" Target="https://www.legis.iowa.gov/docs/iac/chapter/655.7.pdf" Type="http://schemas.openxmlformats.org/officeDocument/2006/relationships/hyperlink" Id="rId16"/>
    <Relationship TargetMode="External" Target="https://www.legis.iowa.gov/docs/iac/rule/441.78.1.pdf" Type="http://schemas.openxmlformats.org/officeDocument/2006/relationships/hyperlink" Id="rId17"/>
    <Relationship TargetMode="External" Target="https://www.legis.iowa.gov/docs/iac/chapter/645.325.pdf" Type="http://schemas.openxmlformats.org/officeDocument/2006/relationships/hyperlink" Id="rId18"/>
    <Relationship TargetMode="External" Target="https://www.legis.iowa.gov/docs/iac/chapter/645.326&#8211;329.pdf" Type="http://schemas.openxmlformats.org/officeDocument/2006/relationships/hyperlink" Id="rId19"/>
    <Relationship TargetMode="External" Target="https://www.legis.iowa.gov/docs/ico/chapter/148C.pdf" Type="http://schemas.openxmlformats.org/officeDocument/2006/relationships/hyperlink" Id="rId20"/>
    <Relationship TargetMode="External" Target="https://www.legis.iowa.gov/docs/iac/chapter/645.326&#8211;329.pdf" Type="http://schemas.openxmlformats.org/officeDocument/2006/relationships/hyperlink" Id="rId21"/>
    <Relationship TargetMode="External" Target="https://www.legis.iowa.gov/docs/iac/rule/441.327.1.pdf" Type="http://schemas.openxmlformats.org/officeDocument/2006/relationships/hyperlink" Id="rId22"/>
    <Relationship TargetMode="External" Target="https://www.legis.iowa.gov/docs/iac/rule/441.78.1.pdf" Type="http://schemas.openxmlformats.org/officeDocument/2006/relationships/hyperlink" Id="rId23"/>
    <Relationship TargetMode="External" Target="https://www.legis.iowa.gov/docs/iac/rule/441.78.1.pdf" Type="http://schemas.openxmlformats.org/officeDocument/2006/relationships/hyperlink" Id="rId24"/>
    <Relationship TargetMode="External" Target="https://www.legis.iowa.gov/docs/iac/rule/441.78.6.pdf" Type="http://schemas.openxmlformats.org/officeDocument/2006/relationships/hyperlink" Id="rId25"/>
    <Relationship TargetMode="External" Target="https://www.legis.iowa.gov/docs/iac/rule/441.78.28.pdf" Type="http://schemas.openxmlformats.org/officeDocument/2006/relationships/hyperlink" Id="rId26"/>
    <Relationship TargetMode="External" Target="https://www.legis.iowa.gov/docs/iac/rule/441.78.28.pdf" Type="http://schemas.openxmlformats.org/officeDocument/2006/relationships/hyperlink" Id="rId27"/>
    <Relationship TargetMode="External" Target="https://www.legis.iowa.gov/docs/iac/rule/441.78.3.pdf" Type="http://schemas.openxmlformats.org/officeDocument/2006/relationships/hyperlink" Id="rId28"/>
    <Relationship TargetMode="External" Target="https://www.legis.iowa.gov/docs/iac/rule/441.78.28.pdf" Type="http://schemas.openxmlformats.org/officeDocument/2006/relationships/hyperlink" Id="rId29"/>
    <Relationship TargetMode="External" Target="https://www.legis.iowa.gov/docs/iac/rule/441.78.3.pdf" Type="http://schemas.openxmlformats.org/officeDocument/2006/relationships/hyperlink" Id="rId30"/>
    <Relationship TargetMode="External" Target="https://www.legis.iowa.gov/docs/iac/rule/441.78.28.pdf" Type="http://schemas.openxmlformats.org/officeDocument/2006/relationships/hyperlink" Id="rId31"/>
    <Relationship TargetMode="External" Target="https://www.legis.iowa.gov/docs/iac/rule/441.78.3.pdf" Type="http://schemas.openxmlformats.org/officeDocument/2006/relationships/hyperlink" Id="rId32"/>
    <Relationship TargetMode="External" Target="https://www.legis.iowa.gov/docs/iac/rule/441.78.28.pdf" Type="http://schemas.openxmlformats.org/officeDocument/2006/relationships/hyperlink" Id="rId33"/>
    <Relationship TargetMode="External" Target="https://www.legis.iowa.gov/docs/iac/rule/441.78.3.pdf" Type="http://schemas.openxmlformats.org/officeDocument/2006/relationships/hyperlink" Id="rId34"/>
    <Relationship TargetMode="External" Target="https://www.legis.iowa.gov/docs/iac/rule/441.76.9.pdf" Type="http://schemas.openxmlformats.org/officeDocument/2006/relationships/hyperlink" Id="rId35"/>
    <Relationship TargetMode="External" Target="https://www.legis.iowa.gov/docs/iac/rule/441.78.25.pdf" Type="http://schemas.openxmlformats.org/officeDocument/2006/relationships/hyperlink" Id="rId36"/>
    <Relationship TargetMode="External" Target="https://www.legis.iowa.gov/docs/iac/rule/441.78.28.pdf" Type="http://schemas.openxmlformats.org/officeDocument/2006/relationships/hyperlink" Id="rId37"/>
    <Relationship TargetMode="External" Target="https://www.legis.iowa.gov/docs/ico/chapter/249A.4.pdf" Type="http://schemas.openxmlformats.org/officeDocument/2006/relationships/hyperlink" Id="rId38"/>
    <Relationship TargetMode="External" Target="https://www.legis.iowa.gov/docs/ico/chapter/155A.3.pdf" Type="http://schemas.openxmlformats.org/officeDocument/2006/relationships/hyperlink" Id="rId39"/>
    <Relationship TargetMode="External" Target="https://www.legis.iowa.gov/docs/ico/chapter/124.308.pdf" Type="http://schemas.openxmlformats.org/officeDocument/2006/relationships/hyperlink" Id="rId40"/>
    <Relationship TargetMode="External" Target="https://www.legis.iowa.gov/docs/ico/chapter/155A.3.pdf" Type="http://schemas.openxmlformats.org/officeDocument/2006/relationships/hyperlink" Id="rId41"/>
    <Relationship TargetMode="External" Target="https://www.legis.iowa.gov/docs/ico/chapter/155A.27.pdf" Type="http://schemas.openxmlformats.org/officeDocument/2006/relationships/hyperlink" Id="rId42"/>
    <Relationship TargetMode="External" Target="https://www.legis.iowa.gov/docs/ico/chapter/155A.29.pdf" Type="http://schemas.openxmlformats.org/officeDocument/2006/relationships/hyperlink" Id="rId43"/>
    <Relationship TargetMode="External" Target="https://www.legis.iowa.gov/docs/ico/chapter/249A.20A.pdf" Type="http://schemas.openxmlformats.org/officeDocument/2006/relationships/hyperlink" Id="rId44"/>
    <Relationship TargetMode="External" Target="https://www.legis.iowa.gov/docs/iac/rule/441.78.28.pdf" Type="http://schemas.openxmlformats.org/officeDocument/2006/relationships/hyperlink" Id="rId45"/>
    <Relationship TargetMode="External" Target="https://www.legis.iowa.gov/docs/iac/rule/441.78.2.pdf" Type="http://schemas.openxmlformats.org/officeDocument/2006/relationships/hyperlink" Id="rId46"/>
    <Relationship TargetMode="External" Target="https://www.legis.iowa.gov/docs/ico/chapter/249A.20A.pdf" Type="http://schemas.openxmlformats.org/officeDocument/2006/relationships/hyperlink" Id="rId47"/>
    <Relationship TargetMode="External" Target="https://www.legis.iowa.gov/docs/ico/chapter/249A.20A.pdf" Type="http://schemas.openxmlformats.org/officeDocument/2006/relationships/hyperlink" Id="rId48"/>
    <Relationship TargetMode="External" Target="https://www.legis.iowa.gov/docs/ico/chapter/155A.27.pdf" Type="http://schemas.openxmlformats.org/officeDocument/2006/relationships/hyperlink" Id="rId49"/>
    <Relationship TargetMode="External" Target="https://www.legis.iowa.gov/docs/ico/chapter/249A.4.pdf" Type="http://schemas.openxmlformats.org/officeDocument/2006/relationships/hyperlink" Id="rId50"/>
    <Relationship TargetMode="External" Target="https://www.legis.iowa.gov/docs/iac/rule/441.78.28.pdf" Type="http://schemas.openxmlformats.org/officeDocument/2006/relationships/hyperlink" Id="rId51"/>
    <Relationship TargetMode="External" Target="https://www.legis.iowa.gov/docs/iac/rule/441.78.31.pdf" Type="http://schemas.openxmlformats.org/officeDocument/2006/relationships/hyperlink" Id="rId52"/>
    <Relationship TargetMode="External" Target="https://www.legis.iowa.gov/docs/iac/rule/441.79.1.pdf" Type="http://schemas.openxmlformats.org/officeDocument/2006/relationships/hyperlink" Id="rId53"/>
    <Relationship TargetMode="External" Target="https://www.legis.iowa.gov/docs/iac/rule/441.78.2.pdf" Type="http://schemas.openxmlformats.org/officeDocument/2006/relationships/hyperlink" Id="rId54"/>
    <Relationship TargetMode="External" Target="https://www.legis.iowa.gov/docs/iac/rule/441.78.2.pdf" Type="http://schemas.openxmlformats.org/officeDocument/2006/relationships/hyperlink" Id="rId55"/>
    <Relationship TargetMode="External" Target="https://www.legis.iowa.gov/docs/iac/rule/441.78.2.pdf" Type="http://schemas.openxmlformats.org/officeDocument/2006/relationships/hyperlink" Id="rId56"/>
    <Relationship TargetMode="External" Target="https://www.legis.iowa.gov/docs/iac/rule/441.78.2.pdf" Type="http://schemas.openxmlformats.org/officeDocument/2006/relationships/hyperlink" Id="rId57"/>
    <Relationship TargetMode="External" Target="https://www.legis.iowa.gov/docs/iac/rule/441.78.2.pdf" Type="http://schemas.openxmlformats.org/officeDocument/2006/relationships/hyperlink" Id="rId58"/>
    <Relationship TargetMode="External" Target="https://www.legis.iowa.gov/docs/iac/rule/441.78.2.pdf" Type="http://schemas.openxmlformats.org/officeDocument/2006/relationships/hyperlink" Id="rId59"/>
    <Relationship TargetMode="External" Target="https://www.legis.iowa.gov/docs/iac/rule/441.79.1.pdf" Type="http://schemas.openxmlformats.org/officeDocument/2006/relationships/hyperlink" Id="rId60"/>
    <Relationship TargetMode="External" Target="https://www.legis.iowa.gov/docs/iac/rule/441.79.1.pdf" Type="http://schemas.openxmlformats.org/officeDocument/2006/relationships/hyperlink" Id="rId61"/>
    <Relationship TargetMode="External" Target="https://www.legis.iowa.gov/docs/iac/rule/441.77.47.pdf" Type="http://schemas.openxmlformats.org/officeDocument/2006/relationships/hyperlink" Id="rId62"/>
    <Relationship TargetMode="External" Target="https://www.legis.iowa.gov/docs/iac/rule/441.78.1.pdf" Type="http://schemas.openxmlformats.org/officeDocument/2006/relationships/hyperlink" Id="rId63"/>
    <Relationship TargetMode="External" Target="https://www.legis.iowa.gov/docs/iac/rule/441.78.1.pdf" Type="http://schemas.openxmlformats.org/officeDocument/2006/relationships/hyperlink" Id="rId64"/>
    <Relationship TargetMode="External" Target="https://www.legis.iowa.gov/docs/iac/rule/441.78.1.pdf" Type="http://schemas.openxmlformats.org/officeDocument/2006/relationships/hyperlink" Id="rId65"/>
    <Relationship TargetMode="External" Target="https://www.legis.iowa.gov/docs/iac/rule/441.79.1.pdf" Type="http://schemas.openxmlformats.org/officeDocument/2006/relationships/hyperlink" Id="rId66"/>
    <Relationship TargetMode="External" Target="https://www.legis.iowa.gov/docs/iac/rule/441.79.1.pdf" Type="http://schemas.openxmlformats.org/officeDocument/2006/relationships/hyperlink" Id="rId67"/>
    <Relationship TargetMode="External" Target="https://www.legis.iowa.gov/docs/iac/rule/441.81.6.pdf" Type="http://schemas.openxmlformats.org/officeDocument/2006/relationships/hyperlink" Id="rId68"/>
    <Relationship TargetMode="External" Target="https://www.legis.iowa.gov/docs/iac/rule/441.81.6.pdf" Type="http://schemas.openxmlformats.org/officeDocument/2006/relationships/hyperlink" Id="rId69"/>
    <Relationship TargetMode="External" Target="https://www.legis.iowa.gov/docs/iac/rule/441.81.6.pdf" Type="http://schemas.openxmlformats.org/officeDocument/2006/relationships/hyperlink" Id="rId70"/>
    <Relationship TargetMode="External" Target="https://www.legis.iowa.gov/docs/iac/rule/441.81.6.pdf" Type="http://schemas.openxmlformats.org/officeDocument/2006/relationships/hyperlink" Id="rId71"/>
    <Relationship TargetMode="External" Target="https://www.legis.iowa.gov/docs/iac/rule/441.81.6.pdf" Type="http://schemas.openxmlformats.org/officeDocument/2006/relationships/hyperlink" Id="rId72"/>
    <Relationship TargetMode="External" Target="https://www.legis.iowa.gov/docs/iac/rule/441.81.6.pdf" Type="http://schemas.openxmlformats.org/officeDocument/2006/relationships/hyperlink" Id="rId73"/>
    <Relationship TargetMode="External" Target="https://www.legis.iowa.gov/docs/iac/rule/441.78.3.pdf" Type="http://schemas.openxmlformats.org/officeDocument/2006/relationships/hyperlink" Id="rId74"/>
    <Relationship TargetMode="External" Target="https://www.legis.iowa.gov/docs/iac/rule/441.78.1.pdf" Type="http://schemas.openxmlformats.org/officeDocument/2006/relationships/hyperlink" Id="rId75"/>
    <Relationship TargetMode="External" Target="https://www.legis.iowa.gov/docs/iac/rule/441.78.28.pdf" Type="http://schemas.openxmlformats.org/officeDocument/2006/relationships/hyperlink" Id="rId76"/>
    <Relationship TargetMode="External" Target="https://www.legis.iowa.gov/docs/ico/chapter/249A.4.pdf" Type="http://schemas.openxmlformats.org/officeDocument/2006/relationships/hyperlink" Id="rId77"/>
    <Relationship TargetMode="External" Target="https://www.legis.iowa.gov/docs/iac/rule/441.78.28.pdf" Type="http://schemas.openxmlformats.org/officeDocument/2006/relationships/hyperlink" Id="rId78"/>
    <Relationship TargetMode="External" Target="https://www.legis.iowa.gov/docs/iac/rule/441.78.28.pdf" Type="http://schemas.openxmlformats.org/officeDocument/2006/relationships/hyperlink" Id="rId79"/>
    <Relationship TargetMode="External" Target="https://www.legis.iowa.gov/docs/iac/rule/441.78.28.pdf" Type="http://schemas.openxmlformats.org/officeDocument/2006/relationships/hyperlink" Id="rId80"/>
    <Relationship TargetMode="External" Target="https://www.legis.iowa.gov/docs/iac/rule/441.78.28.pdf" Type="http://schemas.openxmlformats.org/officeDocument/2006/relationships/hyperlink" Id="rId81"/>
    <Relationship TargetMode="External" Target="https://www.legis.iowa.gov/docs/iac/rule/441.78.1.pdf" Type="http://schemas.openxmlformats.org/officeDocument/2006/relationships/hyperlink" Id="rId82"/>
    <Relationship TargetMode="External" Target="https://www.legis.iowa.gov/docs/iac/rule/441.78.28.pdf" Type="http://schemas.openxmlformats.org/officeDocument/2006/relationships/hyperlink" Id="rId83"/>
    <Relationship TargetMode="External" Target="https://www.legis.iowa.gov/docs/iac/rule/441.78.28.pdf" Type="http://schemas.openxmlformats.org/officeDocument/2006/relationships/hyperlink" Id="rId84"/>
    <Relationship TargetMode="External" Target="https://www.legis.iowa.gov/docs/iac/rule/441.78.28.pdf" Type="http://schemas.openxmlformats.org/officeDocument/2006/relationships/hyperlink" Id="rId85"/>
    <Relationship TargetMode="External" Target="https://www.legis.iowa.gov/docs/iac/rule/441.78.4.pdf" Type="http://schemas.openxmlformats.org/officeDocument/2006/relationships/hyperlink" Id="rId86"/>
    <Relationship TargetMode="External" Target="https://www.legis.iowa.gov/docs/iac/rule/441.78.4.pdf" Type="http://schemas.openxmlformats.org/officeDocument/2006/relationships/hyperlink" Id="rId87"/>
    <Relationship TargetMode="External" Target="https://www.legis.iowa.gov/docs/iac/rule/441.78.4.pdf" Type="http://schemas.openxmlformats.org/officeDocument/2006/relationships/hyperlink" Id="rId88"/>
    <Relationship TargetMode="External" Target="https://www.legis.iowa.gov/docs/iac/rule/441.78.4.pdf" Type="http://schemas.openxmlformats.org/officeDocument/2006/relationships/hyperlink" Id="rId89"/>
    <Relationship TargetMode="External" Target="https://www.legis.iowa.gov/docs/iac/rule/441.78.4.pdf" Type="http://schemas.openxmlformats.org/officeDocument/2006/relationships/hyperlink" Id="rId90"/>
    <Relationship TargetMode="External" Target="https://www.legis.iowa.gov/docs/iac/rule/441.78.4.pdf" Type="http://schemas.openxmlformats.org/officeDocument/2006/relationships/hyperlink" Id="rId91"/>
    <Relationship TargetMode="External" Target="https://www.legis.iowa.gov/docs/ico/chapter/249A.4.pdf" Type="http://schemas.openxmlformats.org/officeDocument/2006/relationships/hyperlink" Id="rId92"/>
    <Relationship TargetMode="External" Target="https://www.legis.iowa.gov/docs/iac/rule/441.78.1.pdf" Type="http://schemas.openxmlformats.org/officeDocument/2006/relationships/hyperlink" Id="rId93"/>
    <Relationship TargetMode="External" Target="https://www.legis.iowa.gov/docs/ico/chapter/249A.4.pdf" Type="http://schemas.openxmlformats.org/officeDocument/2006/relationships/hyperlink" Id="rId94"/>
    <Relationship TargetMode="External" Target="https://www.legis.iowa.gov/docs/iac/rule/441.78.28.pdf" Type="http://schemas.openxmlformats.org/officeDocument/2006/relationships/hyperlink" Id="rId95"/>
    <Relationship TargetMode="External" Target="https://www.legis.iowa.gov/docs/ico/chapter/249A.4.pdf" Type="http://schemas.openxmlformats.org/officeDocument/2006/relationships/hyperlink" Id="rId96"/>
    <Relationship TargetMode="External" Target="https://www.legis.iowa.gov/docs/iac/rule/441.78.6.pdf" Type="http://schemas.openxmlformats.org/officeDocument/2006/relationships/hyperlink" Id="rId97"/>
    <Relationship TargetMode="External" Target="https://www.legis.iowa.gov/docs/iac/rule/441.78.28.pdf" Type="http://schemas.openxmlformats.org/officeDocument/2006/relationships/hyperlink" Id="rId98"/>
    <Relationship TargetMode="External" Target="https://www.legis.iowa.gov/docs/ico/chapter/249A.4.pdf" Type="http://schemas.openxmlformats.org/officeDocument/2006/relationships/hyperlink" Id="rId99"/>
    <Relationship TargetMode="External" Target="https://www.legis.iowa.gov/docs/ico/chapter/249A.4.pdf" Type="http://schemas.openxmlformats.org/officeDocument/2006/relationships/hyperlink" Id="rId100"/>
    <Relationship TargetMode="External" Target="https://www.legis.iowa.gov/docs/iac/rule/441.78.9.pdf" Type="http://schemas.openxmlformats.org/officeDocument/2006/relationships/hyperlink" Id="rId101"/>
    <Relationship TargetMode="External" Target="https://www.legis.iowa.gov/docs/iac/rule/441.78.9.pdf" Type="http://schemas.openxmlformats.org/officeDocument/2006/relationships/hyperlink" Id="rId102"/>
    <Relationship TargetMode="External" Target="https://www.legis.iowa.gov/docs/iac/rule/441.78.9.pdf" Type="http://schemas.openxmlformats.org/officeDocument/2006/relationships/hyperlink" Id="rId103"/>
    <Relationship TargetMode="External" Target="https://www.legis.iowa.gov/docs/iac/chapter/441.177.pdf" Type="http://schemas.openxmlformats.org/officeDocument/2006/relationships/hyperlink" Id="rId104"/>
    <Relationship TargetMode="External" Target="https://www.legis.iowa.gov/docs/iac/rule/441.78.9.pdf" Type="http://schemas.openxmlformats.org/officeDocument/2006/relationships/hyperlink" Id="rId105"/>
    <Relationship TargetMode="External" Target="https://www.legis.iowa.gov/docs/iac/rule/441.78.19.pdf" Type="http://schemas.openxmlformats.org/officeDocument/2006/relationships/hyperlink" Id="rId106"/>
    <Relationship TargetMode="External" Target="https://www.legis.iowa.gov/docs/iac/rule/441.78.19.pdf" Type="http://schemas.openxmlformats.org/officeDocument/2006/relationships/hyperlink" Id="rId107"/>
    <Relationship TargetMode="External" Target="https://www.legis.iowa.gov/docs/iac/rule/441.78.19.pdf" Type="http://schemas.openxmlformats.org/officeDocument/2006/relationships/hyperlink" Id="rId108"/>
    <Relationship TargetMode="External" Target="https://www.legis.iowa.gov/docs/iac/rule/441.78.9.pdf" Type="http://schemas.openxmlformats.org/officeDocument/2006/relationships/hyperlink" Id="rId109"/>
    <Relationship TargetMode="External" Target="https://www.legis.iowa.gov/docs/iac/rule/441.78.9.pdf" Type="http://schemas.openxmlformats.org/officeDocument/2006/relationships/hyperlink" Id="rId110"/>
    <Relationship TargetMode="External" Target="https://www.legis.iowa.gov/docs/iac/rule/441.78.28.pdf" Type="http://schemas.openxmlformats.org/officeDocument/2006/relationships/hyperlink" Id="rId111"/>
    <Relationship TargetMode="External" Target="https://www.legis.iowa.gov/docs/ico/chapter/249A.4.pdf" Type="http://schemas.openxmlformats.org/officeDocument/2006/relationships/hyperlink" Id="rId112"/>
    <Relationship TargetMode="External" Target="https://www.legis.iowa.gov/docs/iac/rule/441.78.10.pdf" Type="http://schemas.openxmlformats.org/officeDocument/2006/relationships/hyperlink" Id="rId113"/>
    <Relationship TargetMode="External" Target="https://www.legis.iowa.gov/docs/iac/rule/441.78.10.pdf" Type="http://schemas.openxmlformats.org/officeDocument/2006/relationships/hyperlink" Id="rId114"/>
    <Relationship TargetMode="External" Target="https://www.legis.iowa.gov/docs/iac/rule/441.78.10.pdf" Type="http://schemas.openxmlformats.org/officeDocument/2006/relationships/hyperlink" Id="rId115"/>
    <Relationship TargetMode="External" Target="https://www.legis.iowa.gov/docs/iac/rule/441.78.28.pdf" Type="http://schemas.openxmlformats.org/officeDocument/2006/relationships/hyperlink" Id="rId116"/>
    <Relationship TargetMode="External" Target="https://www.legis.iowa.gov/docs/iac/rule/441.78.10.pdf" Type="http://schemas.openxmlformats.org/officeDocument/2006/relationships/hyperlink" Id="rId117"/>
    <Relationship TargetMode="External" Target="https://www.legis.iowa.gov/docs/iac/rule/441.78.10.pdf" Type="http://schemas.openxmlformats.org/officeDocument/2006/relationships/hyperlink" Id="rId118"/>
    <Relationship TargetMode="External" Target="https://www.legis.iowa.gov/docs/iac/rule/481.58.21.pdf" Type="http://schemas.openxmlformats.org/officeDocument/2006/relationships/hyperlink" Id="rId119"/>
    <Relationship TargetMode="External" Target="https://www.legis.iowa.gov/docs/iac/rule/441.78.10.pdf" Type="http://schemas.openxmlformats.org/officeDocument/2006/relationships/hyperlink" Id="rId120"/>
    <Relationship TargetMode="External" Target="https://www.legis.iowa.gov/docs/iac/rule/441.78.10.pdf" Type="http://schemas.openxmlformats.org/officeDocument/2006/relationships/hyperlink" Id="rId121"/>
    <Relationship TargetMode="External" Target="https://www.legis.iowa.gov/docs/iac/rule/441.78.10.pdf" Type="http://schemas.openxmlformats.org/officeDocument/2006/relationships/hyperlink" Id="rId122"/>
    <Relationship TargetMode="External" Target="https://www.legis.iowa.gov/docs/iac/rule/441.78.10.pdf" Type="http://schemas.openxmlformats.org/officeDocument/2006/relationships/hyperlink" Id="rId123"/>
    <Relationship TargetMode="External" Target="https://www.legis.iowa.gov/docs/iac/rule/441.78.10.pdf" Type="http://schemas.openxmlformats.org/officeDocument/2006/relationships/hyperlink" Id="rId124"/>
    <Relationship TargetMode="External" Target="https://www.legis.iowa.gov/docs/iac/rule/441.78.10.pdf" Type="http://schemas.openxmlformats.org/officeDocument/2006/relationships/hyperlink" Id="rId125"/>
    <Relationship TargetMode="External" Target="https://www.legis.iowa.gov/docs/iac/rule/441.78.10.pdf" Type="http://schemas.openxmlformats.org/officeDocument/2006/relationships/hyperlink" Id="rId126"/>
    <Relationship TargetMode="External" Target="https://www.legis.iowa.gov/docs/iac/rule/441.78.10.pdf" Type="http://schemas.openxmlformats.org/officeDocument/2006/relationships/hyperlink" Id="rId127"/>
    <Relationship TargetMode="External" Target="https://www.legis.iowa.gov/docs/iac/rule/441.78.10.pdf" Type="http://schemas.openxmlformats.org/officeDocument/2006/relationships/hyperlink" Id="rId128"/>
    <Relationship TargetMode="External" Target="https://www.legis.iowa.gov/docs/iac/rule/441.78.10.pdf" Type="http://schemas.openxmlformats.org/officeDocument/2006/relationships/hyperlink" Id="rId129"/>
    <Relationship TargetMode="External" Target="https://www.legis.iowa.gov/docs/iac/rule/441.78.10.pdf" Type="http://schemas.openxmlformats.org/officeDocument/2006/relationships/hyperlink" Id="rId130"/>
    <Relationship TargetMode="External" Target="https://www.legis.iowa.gov/docs/iac/rule/441.78.10.pdf" Type="http://schemas.openxmlformats.org/officeDocument/2006/relationships/hyperlink" Id="rId131"/>
    <Relationship TargetMode="External" Target="https://www.legis.iowa.gov/docs/iac/rule/441.78.10.pdf" Type="http://schemas.openxmlformats.org/officeDocument/2006/relationships/hyperlink" Id="rId132"/>
    <Relationship TargetMode="External" Target="https://www.legis.iowa.gov/docs/iac/rule/441.78.10.pdf" Type="http://schemas.openxmlformats.org/officeDocument/2006/relationships/hyperlink" Id="rId133"/>
    <Relationship TargetMode="External" Target="https://www.legis.iowa.gov/docs/iac/rule/441.78.14.pdf" Type="http://schemas.openxmlformats.org/officeDocument/2006/relationships/hyperlink" Id="rId134"/>
    <Relationship TargetMode="External" Target="https://www.legis.iowa.gov/docs/iac/rule/441.78.10.pdf" Type="http://schemas.openxmlformats.org/officeDocument/2006/relationships/hyperlink" Id="rId135"/>
    <Relationship TargetMode="External" Target="https://www.legis.iowa.gov/docs/iac/rule/441.78.15.pdf" Type="http://schemas.openxmlformats.org/officeDocument/2006/relationships/hyperlink" Id="rId136"/>
    <Relationship TargetMode="External" Target="https://www.legis.iowa.gov/docs/iac/rule/441.78.28.pdf" Type="http://schemas.openxmlformats.org/officeDocument/2006/relationships/hyperlink" Id="rId137"/>
    <Relationship TargetMode="External" Target="https://www.legis.iowa.gov/docs/ico/chapter/249A.20A.pdf" Type="http://schemas.openxmlformats.org/officeDocument/2006/relationships/hyperlink" Id="rId138"/>
    <Relationship TargetMode="External" Target="https://www.legis.iowa.gov/docs/ico/chapter/249A.20A.pdf" Type="http://schemas.openxmlformats.org/officeDocument/2006/relationships/hyperlink" Id="rId139"/>
    <Relationship TargetMode="External" Target="https://www.legis.iowa.gov/docs/iac/rule/441.78.10.pdf" Type="http://schemas.openxmlformats.org/officeDocument/2006/relationships/hyperlink" Id="rId140"/>
    <Relationship TargetMode="External" Target="https://www.legis.iowa.gov/docs/iac/rule/441.78.10.pdf" Type="http://schemas.openxmlformats.org/officeDocument/2006/relationships/hyperlink" Id="rId141"/>
    <Relationship TargetMode="External" Target="https://www.legis.iowa.gov/docs/iac/rule/441.79.8.pdf" Type="http://schemas.openxmlformats.org/officeDocument/2006/relationships/hyperlink" Id="rId142"/>
    <Relationship TargetMode="External" Target="https://www.legis.iowa.gov/docs/ico/chapter/249A.3.pdf" Type="http://schemas.openxmlformats.org/officeDocument/2006/relationships/hyperlink" Id="rId143"/>
    <Relationship TargetMode="External" Target="https://www.legis.iowa.gov/docs/ico/chapter/249A.4.pdf" Type="http://schemas.openxmlformats.org/officeDocument/2006/relationships/hyperlink" Id="rId144"/>
    <Relationship TargetMode="External" Target="https://www.legis.iowa.gov/docs/ico/chapter/249A.12.pdf" Type="http://schemas.openxmlformats.org/officeDocument/2006/relationships/hyperlink" Id="rId145"/>
    <Relationship TargetMode="External" Target="https://www.legis.iowa.gov/docs/iac/rule/441.79.1.pdf" Type="http://schemas.openxmlformats.org/officeDocument/2006/relationships/hyperlink" Id="rId146"/>
    <Relationship TargetMode="External" Target="https://www.legis.iowa.gov/docs/ico/chapter/249A.4.pdf" Type="http://schemas.openxmlformats.org/officeDocument/2006/relationships/hyperlink" Id="rId147"/>
    <Relationship TargetMode="External" Target="https://www.legis.iowa.gov/docs/ico/chapter/514B.1.pdf" Type="http://schemas.openxmlformats.org/officeDocument/2006/relationships/hyperlink" Id="rId148"/>
    <Relationship TargetMode="External" Target="https://www.legis.iowa.gov/docs/iac/rule/441.156.20.pdf" Type="http://schemas.openxmlformats.org/officeDocument/2006/relationships/hyperlink" Id="rId149"/>
    <Relationship TargetMode="External" Target="https://www.legis.iowa.gov/docs/iac/rule/441.78.12.pdf" Type="http://schemas.openxmlformats.org/officeDocument/2006/relationships/hyperlink" Id="rId150"/>
    <Relationship TargetMode="External" Target="https://www.legis.iowa.gov/docs/iac/rule/441.78.12.pdf" Type="http://schemas.openxmlformats.org/officeDocument/2006/relationships/hyperlink" Id="rId151"/>
    <Relationship TargetMode="External" Target="https://www.legis.iowa.gov/docs/iac/rule/441.77.12.pdf" Type="http://schemas.openxmlformats.org/officeDocument/2006/relationships/hyperlink" Id="rId152"/>
    <Relationship TargetMode="External" Target="https://www.legis.iowa.gov/docs/iac/rule/441.78.12.pdf" Type="http://schemas.openxmlformats.org/officeDocument/2006/relationships/hyperlink" Id="rId153"/>
    <Relationship TargetMode="External" Target="https://www.legis.iowa.gov/docs/iac/rule/441.78.12.pdf" Type="http://schemas.openxmlformats.org/officeDocument/2006/relationships/hyperlink" Id="rId154"/>
    <Relationship TargetMode="External" Target="https://www.legis.iowa.gov/docs/ico/chapter/249A.4.pdf" Type="http://schemas.openxmlformats.org/officeDocument/2006/relationships/hyperlink" Id="rId155"/>
    <Relationship TargetMode="External" Target="https://www.legis.iowa.gov/docs/iac/rule/441.78.13.pdf" Type="http://schemas.openxmlformats.org/officeDocument/2006/relationships/hyperlink" Id="rId156"/>
    <Relationship TargetMode="External" Target="https://www.legis.iowa.gov/docs/iac/rule/11.41.6.pdf" Type="http://schemas.openxmlformats.org/officeDocument/2006/relationships/hyperlink" Id="rId157"/>
    <Relationship TargetMode="External" Target="https://www.legis.iowa.gov/docs/iac/chapter/441.7.pdf" Type="http://schemas.openxmlformats.org/officeDocument/2006/relationships/hyperlink" Id="rId158"/>
    <Relationship TargetMode="External" Target="https://www.legis.iowa.gov/docs/iac/chapter/441.7.pdf" Type="http://schemas.openxmlformats.org/officeDocument/2006/relationships/hyperlink" Id="rId159"/>
    <Relationship TargetMode="External" Target="https://www.legis.iowa.gov/docs/iac/rule/441.78.13.pdf" Type="http://schemas.openxmlformats.org/officeDocument/2006/relationships/hyperlink" Id="rId160"/>
    <Relationship TargetMode="External" Target="https://www.legis.iowa.gov/docs/ico/chapter/249A.4.pdf" Type="http://schemas.openxmlformats.org/officeDocument/2006/relationships/hyperlink" Id="rId161"/>
    <Relationship TargetMode="External" Target="https://www.legis.iowa.gov/docs/iac/rule/441.78.1.pdf" Type="http://schemas.openxmlformats.org/officeDocument/2006/relationships/hyperlink" Id="rId162"/>
    <Relationship TargetMode="External" Target="https://www.legis.iowa.gov/docs/iac/rule/441.77.13.pdf" Type="http://schemas.openxmlformats.org/officeDocument/2006/relationships/hyperlink" Id="rId163"/>
    <Relationship TargetMode="External" Target="https://www.legis.iowa.gov/docs/iac/rule/441.79.8.pdf" Type="http://schemas.openxmlformats.org/officeDocument/2006/relationships/hyperlink" Id="rId164"/>
    <Relationship TargetMode="External" Target="https://www.legis.iowa.gov/docs/iac/rule/441.78.28.pdf" Type="http://schemas.openxmlformats.org/officeDocument/2006/relationships/hyperlink" Id="rId165"/>
    <Relationship TargetMode="External" Target="https://www.legis.iowa.gov/docs/iac/rule/441.78.28.pdf" Type="http://schemas.openxmlformats.org/officeDocument/2006/relationships/hyperlink" Id="rId166"/>
    <Relationship TargetMode="External" Target="https://www.legis.iowa.gov/docs/ico/chapter/249A.4.pdf" Type="http://schemas.openxmlformats.org/officeDocument/2006/relationships/hyperlink" Id="rId167"/>
    <Relationship TargetMode="External" Target="https://www.legis.iowa.gov/docs/ico/chapter/249A.4.pdf" Type="http://schemas.openxmlformats.org/officeDocument/2006/relationships/hyperlink" Id="rId168"/>
    <Relationship TargetMode="External" Target="https://www.legis.iowa.gov/docs/iac/rule/441.78.16.pdf" Type="http://schemas.openxmlformats.org/officeDocument/2006/relationships/hyperlink" Id="rId169"/>
    <Relationship TargetMode="External" Target="https://www.legis.iowa.gov/docs/ico/chapter/228.1.pdf" Type="http://schemas.openxmlformats.org/officeDocument/2006/relationships/hyperlink" Id="rId170"/>
    <Relationship TargetMode="External" Target="https://www.legis.iowa.gov/docs/iac/rule/441.78.16.pdf" Type="http://schemas.openxmlformats.org/officeDocument/2006/relationships/hyperlink" Id="rId171"/>
    <Relationship TargetMode="External" Target="https://www.legis.iowa.gov/docs/iac/rule/441.78.16.pdf" Type="http://schemas.openxmlformats.org/officeDocument/2006/relationships/hyperlink" Id="rId172"/>
    <Relationship TargetMode="External" Target="https://www.legis.iowa.gov/docs/iac/rule/441.78.16.pdf" Type="http://schemas.openxmlformats.org/officeDocument/2006/relationships/hyperlink" Id="rId173"/>
    <Relationship TargetMode="External" Target="https://www.legis.iowa.gov/docs/iac/rule/441.33.1.pdf" Type="http://schemas.openxmlformats.org/officeDocument/2006/relationships/hyperlink" Id="rId174"/>
    <Relationship TargetMode="External" Target="https://www.legis.iowa.gov/docs/iac/rule/441.24.1.pdf" Type="http://schemas.openxmlformats.org/officeDocument/2006/relationships/hyperlink" Id="rId175"/>
    <Relationship TargetMode="External" Target="https://www.legis.iowa.gov/docs/iac/rule/441.78.16.pdf" Type="http://schemas.openxmlformats.org/officeDocument/2006/relationships/hyperlink" Id="rId176"/>
    <Relationship TargetMode="External" Target="https://www.legis.iowa.gov/docs/iac/chapter/441.114.pdf" Type="http://schemas.openxmlformats.org/officeDocument/2006/relationships/hyperlink" Id="rId177"/>
    <Relationship TargetMode="External" Target="https://www.legis.iowa.gov/docs/iac/rule/441.33.1.pdf" Type="http://schemas.openxmlformats.org/officeDocument/2006/relationships/hyperlink" Id="rId178"/>
    <Relationship TargetMode="External" Target="https://www.legis.iowa.gov/docs/iac/rule/441.33.1.pdf" Type="http://schemas.openxmlformats.org/officeDocument/2006/relationships/hyperlink" Id="rId179"/>
    <Relationship TargetMode="External" Target="https://www.legis.iowa.gov/docs/iac/rule/441.33.1.pdf" Type="http://schemas.openxmlformats.org/officeDocument/2006/relationships/hyperlink" Id="rId180"/>
    <Relationship TargetMode="External" Target="https://www.legis.iowa.gov/docs/iac/rule/441.24.1.pdf" Type="http://schemas.openxmlformats.org/officeDocument/2006/relationships/hyperlink" Id="rId181"/>
    <Relationship TargetMode="External" Target="https://www.legis.iowa.gov/docs/iac/rule/441.78.16.pdf" Type="http://schemas.openxmlformats.org/officeDocument/2006/relationships/hyperlink" Id="rId182"/>
    <Relationship TargetMode="External" Target="https://www.legis.iowa.gov/docs/ico/chapter/249A.4.pdf" Type="http://schemas.openxmlformats.org/officeDocument/2006/relationships/hyperlink" Id="rId183"/>
    <Relationship TargetMode="External" Target="https://www.legis.iowa.gov/docs/ico/chapter/249A.4.pdf" Type="http://schemas.openxmlformats.org/officeDocument/2006/relationships/hyperlink" Id="rId184"/>
    <Relationship TargetMode="External" Target="https://www.legis.iowa.gov/docs/iac/rule/441.84.1.pdf" Type="http://schemas.openxmlformats.org/officeDocument/2006/relationships/hyperlink" Id="rId185"/>
    <Relationship TargetMode="External" Target="https://www.legis.iowa.gov/docs/iac/rule/441.78.18.pdf" Type="http://schemas.openxmlformats.org/officeDocument/2006/relationships/hyperlink" Id="rId186"/>
    <Relationship TargetMode="External" Target="https://www.legis.iowa.gov/docs/ico/chapter/249A.4.pdf" Type="http://schemas.openxmlformats.org/officeDocument/2006/relationships/hyperlink" Id="rId187"/>
    <Relationship TargetMode="External" Target="https://www.legis.iowa.gov/docs/ico/chapter/135C.4.pdf" Type="http://schemas.openxmlformats.org/officeDocument/2006/relationships/hyperlink" Id="rId188"/>
    <Relationship TargetMode="External" Target="https://www.legis.iowa.gov/docs/iac/rule/441.78.19.pdf" Type="http://schemas.openxmlformats.org/officeDocument/2006/relationships/hyperlink" Id="rId189"/>
    <Relationship TargetMode="External" Target="https://www.legis.iowa.gov/docs/iac/rule/441.78.19.pdf" Type="http://schemas.openxmlformats.org/officeDocument/2006/relationships/hyperlink" Id="rId190"/>
    <Relationship TargetMode="External" Target="https://www.legis.iowa.gov/docs/iac/rule/441.78.19.pdf" Type="http://schemas.openxmlformats.org/officeDocument/2006/relationships/hyperlink" Id="rId191"/>
    <Relationship TargetMode="External" Target="https://www.legis.iowa.gov/docs/iac/rule/441.78.19.pdf" Type="http://schemas.openxmlformats.org/officeDocument/2006/relationships/hyperlink" Id="rId192"/>
    <Relationship TargetMode="External" Target="https://www.legis.iowa.gov/docs/iac/rule/645.200.20.pdf" Type="http://schemas.openxmlformats.org/officeDocument/2006/relationships/hyperlink" Id="rId193"/>
    <Relationship TargetMode="External" Target="https://www.legis.iowa.gov/docs/iac/rule/645.201.9.pdf" Type="http://schemas.openxmlformats.org/officeDocument/2006/relationships/hyperlink" Id="rId194"/>
    <Relationship TargetMode="External" Target="https://www.legis.iowa.gov/docs/iac/rule/441.78.19.pdf" Type="http://schemas.openxmlformats.org/officeDocument/2006/relationships/hyperlink" Id="rId195"/>
    <Relationship TargetMode="External" Target="https://www.legis.iowa.gov/docs/iac/rule/441.78.19.pdf" Type="http://schemas.openxmlformats.org/officeDocument/2006/relationships/hyperlink" Id="rId196"/>
    <Relationship TargetMode="External" Target="https://www.legis.iowa.gov/docs/iac/rule/441.78.19.pdf" Type="http://schemas.openxmlformats.org/officeDocument/2006/relationships/hyperlink" Id="rId197"/>
    <Relationship TargetMode="External" Target="https://www.legis.iowa.gov/docs/iac/rule/441.78.19.pdf" Type="http://schemas.openxmlformats.org/officeDocument/2006/relationships/hyperlink" Id="rId198"/>
    <Relationship TargetMode="External" Target="https://www.legis.iowa.gov/docs/iac/rule/441.78.19.pdf" Type="http://schemas.openxmlformats.org/officeDocument/2006/relationships/hyperlink" Id="rId199"/>
    <Relationship TargetMode="External" Target="https://www.legis.iowa.gov/docs/iac/rule/441.78.19.pdf" Type="http://schemas.openxmlformats.org/officeDocument/2006/relationships/hyperlink" Id="rId200"/>
    <Relationship TargetMode="External" Target="https://www.legis.iowa.gov/docs/iac/rule/441.78.19.pdf" Type="http://schemas.openxmlformats.org/officeDocument/2006/relationships/hyperlink" Id="rId201"/>
    <Relationship TargetMode="External" Target="https://www.legis.iowa.gov/docs/iac/rule/441.78.19.pdf" Type="http://schemas.openxmlformats.org/officeDocument/2006/relationships/hyperlink" Id="rId202"/>
    <Relationship TargetMode="External" Target="https://www.legis.iowa.gov/docs/iac/rule/441.78.19.pdf" Type="http://schemas.openxmlformats.org/officeDocument/2006/relationships/hyperlink" Id="rId203"/>
    <Relationship TargetMode="External" Target="https://www.legis.iowa.gov/docs/ico/chapter/249A.4.pdf" Type="http://schemas.openxmlformats.org/officeDocument/2006/relationships/hyperlink" Id="rId204"/>
    <Relationship TargetMode="External" Target="https://www.legis.iowa.gov/docs/ico/chapter/249A.4.pdf" Type="http://schemas.openxmlformats.org/officeDocument/2006/relationships/hyperlink" Id="rId205"/>
    <Relationship TargetMode="External" Target="https://www.legis.iowa.gov/docs/iac/rule/441.78.1.pdf" Type="http://schemas.openxmlformats.org/officeDocument/2006/relationships/hyperlink" Id="rId206"/>
    <Relationship TargetMode="External" Target="https://www.legis.iowa.gov/docs/iac/rule/441.76.9.pdf" Type="http://schemas.openxmlformats.org/officeDocument/2006/relationships/hyperlink" Id="rId207"/>
    <Relationship TargetMode="External" Target="https://www.legis.iowa.gov/docs/iac/rule/441.78.25.pdf" Type="http://schemas.openxmlformats.org/officeDocument/2006/relationships/hyperlink" Id="rId208"/>
    <Relationship TargetMode="External" Target="https://www.legis.iowa.gov/docs/ico/chapter/249A.4.pdf" Type="http://schemas.openxmlformats.org/officeDocument/2006/relationships/hyperlink" Id="rId209"/>
    <Relationship TargetMode="External" Target="https://www.legis.iowa.gov/docs/iac/rule/441.78.1.pdf" Type="http://schemas.openxmlformats.org/officeDocument/2006/relationships/hyperlink" Id="rId210"/>
    <Relationship TargetMode="External" Target="https://www.legis.iowa.gov/docs/ico/chapter/249A.4.pdf" Type="http://schemas.openxmlformats.org/officeDocument/2006/relationships/hyperlink" Id="rId211"/>
    <Relationship TargetMode="External" Target="https://www.legis.iowa.gov/docs/iac/rule/441.78.1.pdf" Type="http://schemas.openxmlformats.org/officeDocument/2006/relationships/hyperlink" Id="rId212"/>
    <Relationship TargetMode="External" Target="https://www.legis.iowa.gov/docs/iac/rule/441.76.9.pdf" Type="http://schemas.openxmlformats.org/officeDocument/2006/relationships/hyperlink" Id="rId213"/>
    <Relationship TargetMode="External" Target="https://www.legis.iowa.gov/docs/iac/rule/441.78.25.pdf" Type="http://schemas.openxmlformats.org/officeDocument/2006/relationships/hyperlink" Id="rId214"/>
    <Relationship TargetMode="External" Target="https://www.legis.iowa.gov/docs/ico/chapter/249A.4.pdf" Type="http://schemas.openxmlformats.org/officeDocument/2006/relationships/hyperlink" Id="rId215"/>
    <Relationship TargetMode="External" Target="https://www.legis.iowa.gov/docs/iac/rule/441.78.1.pdf" Type="http://schemas.openxmlformats.org/officeDocument/2006/relationships/hyperlink" Id="rId216"/>
    <Relationship TargetMode="External" Target="https://www.legis.iowa.gov/docs/ico/chapter/249A.4.pdf" Type="http://schemas.openxmlformats.org/officeDocument/2006/relationships/hyperlink" Id="rId217"/>
    <Relationship TargetMode="External" Target="https://www.legis.iowa.gov/docs/ico/chapter/249A.15.pdf" Type="http://schemas.openxmlformats.org/officeDocument/2006/relationships/hyperlink" Id="rId218"/>
    <Relationship TargetMode="External" Target="https://www.legis.iowa.gov/docs/iac/rule/441.78.25.pdf" Type="http://schemas.openxmlformats.org/officeDocument/2006/relationships/hyperlink" Id="rId219"/>
    <Relationship TargetMode="External" Target="https://www.legis.iowa.gov/docs/ico/chapter/152.pdf" Type="http://schemas.openxmlformats.org/officeDocument/2006/relationships/hyperlink" Id="rId220"/>
    <Relationship TargetMode="External" Target="https://www.legis.iowa.gov/docs/ico/chapter/148C.pdf" Type="http://schemas.openxmlformats.org/officeDocument/2006/relationships/hyperlink" Id="rId221"/>
    <Relationship TargetMode="External" Target="https://www.legis.iowa.gov/docs/iac/rule/441.78.11.pdf" Type="http://schemas.openxmlformats.org/officeDocument/2006/relationships/hyperlink" Id="rId222"/>
    <Relationship TargetMode="External" Target="https://www.legis.iowa.gov/docs/iac/rule/441.78.13.pdf" Type="http://schemas.openxmlformats.org/officeDocument/2006/relationships/hyperlink" Id="rId223"/>
    <Relationship TargetMode="External" Target="https://www.legis.iowa.gov/docs/iac/rule/650.10.5.pdf" Type="http://schemas.openxmlformats.org/officeDocument/2006/relationships/hyperlink" Id="rId224"/>
    <Relationship TargetMode="External" Target="https://www.legis.iowa.gov/docs/ico/chapter/249A.4.pdf" Type="http://schemas.openxmlformats.org/officeDocument/2006/relationships/hyperlink" Id="rId225"/>
    <Relationship TargetMode="External" Target="https://www.legis.iowa.gov/docs/iac/rule/441.78.1.pdf" Type="http://schemas.openxmlformats.org/officeDocument/2006/relationships/hyperlink" Id="rId226"/>
    <Relationship TargetMode="External" Target="https://www.legis.iowa.gov/docs/iac/rule/441.78.4.pdf" Type="http://schemas.openxmlformats.org/officeDocument/2006/relationships/hyperlink" Id="rId227"/>
    <Relationship TargetMode="External" Target="https://www.legis.iowa.gov/docs/iac/rule/441.78.1.pdf" Type="http://schemas.openxmlformats.org/officeDocument/2006/relationships/hyperlink" Id="rId228"/>
    <Relationship TargetMode="External" Target="https://www.legis.iowa.gov/docs/iac/rule/441.78.4.pdf" Type="http://schemas.openxmlformats.org/officeDocument/2006/relationships/hyperlink" Id="rId229"/>
    <Relationship TargetMode="External" Target="https://www.legis.iowa.gov/docs/iac/rule/441.78.1.pdf" Type="http://schemas.openxmlformats.org/officeDocument/2006/relationships/hyperlink" Id="rId230"/>
    <Relationship TargetMode="External" Target="https://www.legis.iowa.gov/docs/iac/rule/441.78.1.pdf" Type="http://schemas.openxmlformats.org/officeDocument/2006/relationships/hyperlink" Id="rId231"/>
    <Relationship TargetMode="External" Target="https://www.legis.iowa.gov/docs/iac/rule/441.78.1.pdf" Type="http://schemas.openxmlformats.org/officeDocument/2006/relationships/hyperlink" Id="rId232"/>
    <Relationship TargetMode="External" Target="https://www.legis.iowa.gov/docs/iac/rule/441.78.28.pdf" Type="http://schemas.openxmlformats.org/officeDocument/2006/relationships/hyperlink" Id="rId233"/>
    <Relationship TargetMode="External" Target="https://www.legis.iowa.gov/docs/ico/chapter/249A.4.pdf" Type="http://schemas.openxmlformats.org/officeDocument/2006/relationships/hyperlink" Id="rId234"/>
    <Relationship TargetMode="External" Target="https://www.legis.iowa.gov/docs/iac/rule/441.78.53.pdf" Type="http://schemas.openxmlformats.org/officeDocument/2006/relationships/hyperlink" Id="rId235"/>
    <Relationship TargetMode="External" Target="https://www.legis.iowa.gov/docs/iac/chapter/441.24.pdf" Type="http://schemas.openxmlformats.org/officeDocument/2006/relationships/hyperlink" Id="rId236"/>
    <Relationship TargetMode="External" Target="https://www.legis.iowa.gov/docs/iac/chapter/441.90.pdf" Type="http://schemas.openxmlformats.org/officeDocument/2006/relationships/hyperlink" Id="rId237"/>
    <Relationship TargetMode="External" Target="http://ipsworks.org/wp-content/uploads/2017/08/ips-fidelity-manual-3rd-edition_2-4-16.pdf" Type="http://schemas.openxmlformats.org/officeDocument/2006/relationships/hyperlink" Id="rId238"/>
    <Relationship TargetMode="External" Target="https://www.legis.iowa.gov/docs/iac/rule/441.78.53.pdf" Type="http://schemas.openxmlformats.org/officeDocument/2006/relationships/hyperlink" Id="rId239"/>
    <Relationship TargetMode="External" Target="https://www.legis.iowa.gov/docs/iac/rule/441.25.6.pdf" Type="http://schemas.openxmlformats.org/officeDocument/2006/relationships/hyperlink" Id="rId240"/>
    <Relationship TargetMode="External" Target="https://www.legis.iowa.gov/docs/ico/chapter/514B.1.pdf" Type="http://schemas.openxmlformats.org/officeDocument/2006/relationships/hyperlink" Id="rId241"/>
    <Relationship TargetMode="External" Target="https://www.legis.iowa.gov/docs/iac/chapter/441.75.pdf" Type="http://schemas.openxmlformats.org/officeDocument/2006/relationships/hyperlink" Id="rId242"/>
    <Relationship TargetMode="External" Target="https://www.legis.iowa.gov/docs/iac/rule/441.25.1.pdf" Type="http://schemas.openxmlformats.org/officeDocument/2006/relationships/hyperlink" Id="rId243"/>
    <Relationship TargetMode="External" Target="https://www.legis.iowa.gov/docs/iac/rule/441.78.27.pdf" Type="http://schemas.openxmlformats.org/officeDocument/2006/relationships/hyperlink" Id="rId244"/>
    <Relationship TargetMode="External" Target="https://www.legis.iowa.gov/docs/iac/rule/441.90.4.pdf" Type="http://schemas.openxmlformats.org/officeDocument/2006/relationships/hyperlink" Id="rId245"/>
    <Relationship TargetMode="External" Target="https://www.legis.iowa.gov/docs/iac/rule/441.78.27.pdf" Type="http://schemas.openxmlformats.org/officeDocument/2006/relationships/hyperlink" Id="rId246"/>
    <Relationship TargetMode="External" Target="https://www.legis.iowa.gov/docs/iac/rule/441.90.4.pdf" Type="http://schemas.openxmlformats.org/officeDocument/2006/relationships/hyperlink" Id="rId247"/>
    <Relationship TargetMode="External" Target="https://www.legis.iowa.gov/docs/iac/rule/441.79.1.pdf" Type="http://schemas.openxmlformats.org/officeDocument/2006/relationships/hyperlink" Id="rId248"/>
    <Relationship TargetMode="External" Target="https://www.legis.iowa.gov/docs/iac/rule/441.79.1.pdf" Type="http://schemas.openxmlformats.org/officeDocument/2006/relationships/hyperlink" Id="rId249"/>
    <Relationship TargetMode="External" Target="https://www.legis.iowa.gov/docs/iac/rule/441.77.25.pdf" Type="http://schemas.openxmlformats.org/officeDocument/2006/relationships/hyperlink" Id="rId250"/>
    <Relationship TargetMode="External" Target="https://www.legis.iowa.gov/docs/iac/rule/441.78.27.pdf" Type="http://schemas.openxmlformats.org/officeDocument/2006/relationships/hyperlink" Id="rId251"/>
    <Relationship TargetMode="External" Target="https://www.legis.iowa.gov/docs/iac/rule/441.79.3.pdf" Type="http://schemas.openxmlformats.org/officeDocument/2006/relationships/hyperlink" Id="rId252"/>
    <Relationship TargetMode="External" Target="https://www.legis.iowa.gov/docs/iac/rule/441.90.4.pdf" Type="http://schemas.openxmlformats.org/officeDocument/2006/relationships/hyperlink" Id="rId253"/>
    <Relationship TargetMode="External" Target="https://www.legis.iowa.gov/docs/iac/rule/441.90.7.pdf" Type="http://schemas.openxmlformats.org/officeDocument/2006/relationships/hyperlink" Id="rId254"/>
    <Relationship TargetMode="External" Target="https://www.legis.iowa.gov/docs/iac/rule/441.78.53.pdf" Type="http://schemas.openxmlformats.org/officeDocument/2006/relationships/hyperlink" Id="rId255"/>
    <Relationship TargetMode="External" Target="https://www.legis.iowa.gov/docs/iac/chapter/441.90.pdf" Type="http://schemas.openxmlformats.org/officeDocument/2006/relationships/hyperlink" Id="rId256"/>
    <Relationship TargetMode="External" Target="https://www.legis.iowa.gov/docs/iac/rule/441.77.25.pdf" Type="http://schemas.openxmlformats.org/officeDocument/2006/relationships/hyperlink" Id="rId257"/>
    <Relationship TargetMode="External" Target="https://www.legis.iowa.gov/docs/iac/rule/441.77.25.pdf" Type="http://schemas.openxmlformats.org/officeDocument/2006/relationships/hyperlink" Id="rId258"/>
    <Relationship TargetMode="External" Target="https://www.legis.iowa.gov/docs/iac/rule/441.77.25.pdf" Type="http://schemas.openxmlformats.org/officeDocument/2006/relationships/hyperlink" Id="rId259"/>
    <Relationship TargetMode="External" Target="https://www.legis.iowa.gov/docs/iac/rule/441.25.6.pdf" Type="http://schemas.openxmlformats.org/officeDocument/2006/relationships/hyperlink" Id="rId260"/>
    <Relationship TargetMode="External" Target="https://www.legis.iowa.gov/docs/iac/rule/441.77.25.pdf" Type="http://schemas.openxmlformats.org/officeDocument/2006/relationships/hyperlink" Id="rId261"/>
    <Relationship TargetMode="External" Target="https://www.legis.iowa.gov/docs/iac/rule/441.77.25.pdf" Type="http://schemas.openxmlformats.org/officeDocument/2006/relationships/hyperlink" Id="rId262"/>
    <Relationship TargetMode="External" Target="https://www.legis.iowa.gov/docs/iac/rule/441.78.27.pdf" Type="http://schemas.openxmlformats.org/officeDocument/2006/relationships/hyperlink" Id="rId263"/>
    <Relationship TargetMode="External" Target="https://www.legis.iowa.gov/docs/iac/rule/441.78.27.pdf" Type="http://schemas.openxmlformats.org/officeDocument/2006/relationships/hyperlink" Id="rId264"/>
    <Relationship TargetMode="External" Target="https://www.legis.iowa.gov/docs/iac/rule/441.78.27.pdf" Type="http://schemas.openxmlformats.org/officeDocument/2006/relationships/hyperlink" Id="rId265"/>
    <Relationship TargetMode="External" Target="https://www.legis.iowa.gov/docs/iac/rule/441.78.27.pdf" Type="http://schemas.openxmlformats.org/officeDocument/2006/relationships/hyperlink" Id="rId266"/>
    <Relationship TargetMode="External" Target="https://www.legis.iowa.gov/docs/iac/rule/441.78.27.pdf" Type="http://schemas.openxmlformats.org/officeDocument/2006/relationships/hyperlink" Id="rId267"/>
    <Relationship TargetMode="External" Target="https://www.legis.iowa.gov/docs/iac/rule/441.78.27.pdf" Type="http://schemas.openxmlformats.org/officeDocument/2006/relationships/hyperlink" Id="rId268"/>
    <Relationship TargetMode="External" Target="https://www.legis.iowa.gov/docs/iac/rule/441.79.1.pdf" Type="http://schemas.openxmlformats.org/officeDocument/2006/relationships/hyperlink" Id="rId269"/>
    <Relationship TargetMode="External" Target="https://www.legis.iowa.gov/docs/iac/rule/441.79.1.pdf" Type="http://schemas.openxmlformats.org/officeDocument/2006/relationships/hyperlink" Id="rId270"/>
    <Relationship TargetMode="External" Target="https://www.legis.iowa.gov/docs/iac/chapter/441.7.pdf" Type="http://schemas.openxmlformats.org/officeDocument/2006/relationships/hyperlink" Id="rId271"/>
    <Relationship TargetMode="External" Target="https://www.legis.iowa.gov/docs/ico/chapter/249A.4.pdf" Type="http://schemas.openxmlformats.org/officeDocument/2006/relationships/hyperlink" Id="rId272"/>
    <Relationship TargetMode="External" Target="https://www.legis.iowa.gov/docs/ico/chapter/249A.20A.pdf" Type="http://schemas.openxmlformats.org/officeDocument/2006/relationships/hyperlink" Id="rId273"/>
    <Relationship TargetMode="External" Target="https://www.legis.iowa.gov/docs/ico/chapter/249A.20A.pdf" Type="http://schemas.openxmlformats.org/officeDocument/2006/relationships/hyperlink" Id="rId274"/>
    <Relationship TargetMode="External" Target="https://www.legis.iowa.gov/docs/iac/rule/441.78.10.pdf" Type="http://schemas.openxmlformats.org/officeDocument/2006/relationships/hyperlink" Id="rId275"/>
    <Relationship TargetMode="External" Target="https://www.legis.iowa.gov/docs/iac/rule/441.78.10.pdf" Type="http://schemas.openxmlformats.org/officeDocument/2006/relationships/hyperlink" Id="rId276"/>
    <Relationship TargetMode="External" Target="https://www.legis.iowa.gov/docs/iac/rule/441.78.10.pdf" Type="http://schemas.openxmlformats.org/officeDocument/2006/relationships/hyperlink" Id="rId277"/>
    <Relationship TargetMode="External" Target="https://www.legis.iowa.gov/docs/iac/rule/441.78.10.pdf" Type="http://schemas.openxmlformats.org/officeDocument/2006/relationships/hyperlink" Id="rId278"/>
    <Relationship TargetMode="External" Target="https://www.legis.iowa.gov/docs/iac/rule/441.78.10.pdf" Type="http://schemas.openxmlformats.org/officeDocument/2006/relationships/hyperlink" Id="rId279"/>
    <Relationship TargetMode="External" Target="https://www.legis.iowa.gov/docs/iac/rule/441.78.10.pdf" Type="http://schemas.openxmlformats.org/officeDocument/2006/relationships/hyperlink" Id="rId280"/>
    <Relationship TargetMode="External" Target="https://www.legis.iowa.gov/docs/iac/rule/441.78.10.pdf" Type="http://schemas.openxmlformats.org/officeDocument/2006/relationships/hyperlink" Id="rId281"/>
    <Relationship TargetMode="External" Target="https://www.legis.iowa.gov/docs/iac/rule/441.78.10.pdf" Type="http://schemas.openxmlformats.org/officeDocument/2006/relationships/hyperlink" Id="rId282"/>
    <Relationship TargetMode="External" Target="https://www.legis.iowa.gov/docs/iac/rule/441.78.10.pdf" Type="http://schemas.openxmlformats.org/officeDocument/2006/relationships/hyperlink" Id="rId283"/>
    <Relationship TargetMode="External" Target="https://www.legis.iowa.gov/docs/iac/rule/441.78.10.pdf" Type="http://schemas.openxmlformats.org/officeDocument/2006/relationships/hyperlink" Id="rId284"/>
    <Relationship TargetMode="External" Target="https://www.legis.iowa.gov/docs/iac/rule/441.78.10.pdf" Type="http://schemas.openxmlformats.org/officeDocument/2006/relationships/hyperlink" Id="rId285"/>
    <Relationship TargetMode="External" Target="https://www.legis.iowa.gov/docs/iac/rule/441.78.28.pdf" Type="http://schemas.openxmlformats.org/officeDocument/2006/relationships/hyperlink" Id="rId286"/>
    <Relationship TargetMode="External" Target="https://www.legis.iowa.gov/docs/iac/rule/441.78.4.pdf" Type="http://schemas.openxmlformats.org/officeDocument/2006/relationships/hyperlink" Id="rId287"/>
    <Relationship TargetMode="External" Target="https://www.legis.iowa.gov/docs/iac/rule/441.78.4.pdf" Type="http://schemas.openxmlformats.org/officeDocument/2006/relationships/hyperlink" Id="rId288"/>
    <Relationship TargetMode="External" Target="https://www.legis.iowa.gov/docs/iac/rule/441.78.4.pdf" Type="http://schemas.openxmlformats.org/officeDocument/2006/relationships/hyperlink" Id="rId289"/>
    <Relationship TargetMode="External" Target="https://www.legis.iowa.gov/docs/iac/rule/441.78.4.pdf" Type="http://schemas.openxmlformats.org/officeDocument/2006/relationships/hyperlink" Id="rId290"/>
    <Relationship TargetMode="External" Target="https://www.legis.iowa.gov/docs/iac/rule/441.78.4.pdf" Type="http://schemas.openxmlformats.org/officeDocument/2006/relationships/hyperlink" Id="rId291"/>
    <Relationship TargetMode="External" Target="https://www.legis.iowa.gov/docs/iac/rule/441.78.4.pdf" Type="http://schemas.openxmlformats.org/officeDocument/2006/relationships/hyperlink" Id="rId292"/>
    <Relationship TargetMode="External" Target="https://www.legis.iowa.gov/docs/iac/rule/441.78.4.pdf" Type="http://schemas.openxmlformats.org/officeDocument/2006/relationships/hyperlink" Id="rId293"/>
    <Relationship TargetMode="External" Target="https://www.legis.iowa.gov/docs/iac/rule/441.78.4.pdf" Type="http://schemas.openxmlformats.org/officeDocument/2006/relationships/hyperlink" Id="rId294"/>
    <Relationship TargetMode="External" Target="https://www.legis.iowa.gov/docs/iac/rule/441.78.4.pdf" Type="http://schemas.openxmlformats.org/officeDocument/2006/relationships/hyperlink" Id="rId295"/>
    <Relationship TargetMode="External" Target="https://www.legis.iowa.gov/docs/iac/rule/441.78.4.pdf" Type="http://schemas.openxmlformats.org/officeDocument/2006/relationships/hyperlink" Id="rId296"/>
    <Relationship TargetMode="External" Target="https://www.legis.iowa.gov/docs/iac/rule/441.78.4.pdf" Type="http://schemas.openxmlformats.org/officeDocument/2006/relationships/hyperlink" Id="rId297"/>
    <Relationship TargetMode="External" Target="https://www.legis.iowa.gov/docs/iac/rule/441.78.4.pdf" Type="http://schemas.openxmlformats.org/officeDocument/2006/relationships/hyperlink" Id="rId298"/>
    <Relationship TargetMode="External" Target="https://www.legis.iowa.gov/docs/iac/rule/441.78.4.pdf" Type="http://schemas.openxmlformats.org/officeDocument/2006/relationships/hyperlink" Id="rId299"/>
    <Relationship TargetMode="External" Target="https://www.legis.iowa.gov/docs/iac/rule/441.78.4.pdf" Type="http://schemas.openxmlformats.org/officeDocument/2006/relationships/hyperlink" Id="rId300"/>
    <Relationship TargetMode="External" Target="https://www.legis.iowa.gov/docs/iac/rule/441.78.4.pdf" Type="http://schemas.openxmlformats.org/officeDocument/2006/relationships/hyperlink" Id="rId301"/>
    <Relationship TargetMode="External" Target="https://www.legis.iowa.gov/docs/iac/rule/441.78.4.pdf" Type="http://schemas.openxmlformats.org/officeDocument/2006/relationships/hyperlink" Id="rId302"/>
    <Relationship TargetMode="External" Target="https://www.legis.iowa.gov/docs/iac/rule/441.78.4.pdf" Type="http://schemas.openxmlformats.org/officeDocument/2006/relationships/hyperlink" Id="rId303"/>
    <Relationship TargetMode="External" Target="https://www.legis.iowa.gov/docs/iac/rule/441.78.4.pdf" Type="http://schemas.openxmlformats.org/officeDocument/2006/relationships/hyperlink" Id="rId304"/>
    <Relationship TargetMode="External" Target="https://www.legis.iowa.gov/docs/iac/rule/441.78.4.pdf" Type="http://schemas.openxmlformats.org/officeDocument/2006/relationships/hyperlink" Id="rId305"/>
    <Relationship TargetMode="External" Target="https://www.legis.iowa.gov/docs/iac/rule/441.78.4.pdf" Type="http://schemas.openxmlformats.org/officeDocument/2006/relationships/hyperlink" Id="rId306"/>
    <Relationship TargetMode="External" Target="https://www.legis.iowa.gov/docs/iac/rule/441.78.7.pdf" Type="http://schemas.openxmlformats.org/officeDocument/2006/relationships/hyperlink" Id="rId307"/>
    <Relationship TargetMode="External" Target="https://www.legis.iowa.gov/docs/iac/rule/441.78.1.pdf" Type="http://schemas.openxmlformats.org/officeDocument/2006/relationships/hyperlink" Id="rId308"/>
    <Relationship TargetMode="External" Target="https://www.legis.iowa.gov/docs/iac/rule/441.78.1.pdf" Type="http://schemas.openxmlformats.org/officeDocument/2006/relationships/hyperlink" Id="rId309"/>
    <Relationship TargetMode="External" Target="https://www.legis.iowa.gov/docs/iac/rule/441.78.1.pdf" Type="http://schemas.openxmlformats.org/officeDocument/2006/relationships/hyperlink" Id="rId310"/>
    <Relationship TargetMode="External" Target="https://www.legis.iowa.gov/docs/iac/rule/441.78.9.pdf" Type="http://schemas.openxmlformats.org/officeDocument/2006/relationships/hyperlink" Id="rId311"/>
    <Relationship TargetMode="External" Target="https://www.legis.iowa.gov/docs/iac/rule/441.78.9.pdf" Type="http://schemas.openxmlformats.org/officeDocument/2006/relationships/hyperlink" Id="rId312"/>
    <Relationship TargetMode="External" Target="https://www.legis.iowa.gov/docs/iac/rule/441.78.28.pdf" Type="http://schemas.openxmlformats.org/officeDocument/2006/relationships/hyperlink" Id="rId313"/>
    <Relationship TargetMode="External" Target="https://www.legis.iowa.gov/docs/iac/rule/441.78.28.pdf" Type="http://schemas.openxmlformats.org/officeDocument/2006/relationships/hyperlink" Id="rId314"/>
    <Relationship TargetMode="External" Target="https://www.legis.iowa.gov/docs/iac/rule/441.79.9.pdf" Type="http://schemas.openxmlformats.org/officeDocument/2006/relationships/hyperlink" Id="rId315"/>
    <Relationship TargetMode="External" Target="https://www.legis.iowa.gov/docs/ico/chapter/249A.4.pdf" Type="http://schemas.openxmlformats.org/officeDocument/2006/relationships/hyperlink" Id="rId316"/>
    <Relationship TargetMode="External" Target="https://www.legis.iowa.gov/docs/ico/chapter/249A.4.pdf" Type="http://schemas.openxmlformats.org/officeDocument/2006/relationships/hyperlink" Id="rId317"/>
    <Relationship TargetMode="External" Target="https://www.legis.iowa.gov/docs/iac/rule/441.78.25.pdf" Type="http://schemas.openxmlformats.org/officeDocument/2006/relationships/hyperlink" Id="rId318"/>
    <Relationship TargetMode="External" Target="https://www.legis.iowa.gov/docs/ico/chapter/249A.4.pdf" Type="http://schemas.openxmlformats.org/officeDocument/2006/relationships/hyperlink" Id="rId319"/>
    <Relationship TargetMode="External" Target="https://www.legis.iowa.gov/docs/iac/rule/441.78.31.pdf" Type="http://schemas.openxmlformats.org/officeDocument/2006/relationships/hyperlink" Id="rId320"/>
    <Relationship TargetMode="External" Target="https://www.legis.iowa.gov/docs/iac/rule/441.78.31.pdf" Type="http://schemas.openxmlformats.org/officeDocument/2006/relationships/hyperlink" Id="rId321"/>
    <Relationship TargetMode="External" Target="https://www.legis.iowa.gov/docs/iac/rule/441.78.31.pdf" Type="http://schemas.openxmlformats.org/officeDocument/2006/relationships/hyperlink" Id="rId322"/>
    <Relationship TargetMode="External" Target="https://www.legis.iowa.gov/docs/iac/rule/441.33.1.pdf" Type="http://schemas.openxmlformats.org/officeDocument/2006/relationships/hyperlink" Id="rId323"/>
    <Relationship TargetMode="External" Target="https://www.legis.iowa.gov/docs/iac/rule/441.78.16.pdf" Type="http://schemas.openxmlformats.org/officeDocument/2006/relationships/hyperlink" Id="rId324"/>
    <Relationship TargetMode="External" Target="https://www.legis.iowa.gov/docs/iac/rule/441.78.16.pdf" Type="http://schemas.openxmlformats.org/officeDocument/2006/relationships/hyperlink" Id="rId325"/>
    <Relationship TargetMode="External" Target="https://www.legis.iowa.gov/docs/iac/chapter/641.9.pdf" Type="http://schemas.openxmlformats.org/officeDocument/2006/relationships/hyperlink" Id="rId326"/>
    <Relationship TargetMode="External" Target="https://www.legis.iowa.gov/docs/ico/chapter/249A.4.pdf" Type="http://schemas.openxmlformats.org/officeDocument/2006/relationships/hyperlink" Id="rId327"/>
    <Relationship TargetMode="External" Target="https://www.legis.iowa.gov/docs/ico/chapter/249A.4.pdf" Type="http://schemas.openxmlformats.org/officeDocument/2006/relationships/hyperlink" Id="rId328"/>
    <Relationship TargetMode="External" Target="https://www.legis.iowa.gov/docs/iac/chapter/441.90.pdf" Type="http://schemas.openxmlformats.org/officeDocument/2006/relationships/hyperlink" Id="rId329"/>
    <Relationship TargetMode="External" Target="https://www.legis.iowa.gov/docs/iac/rule/441.90.1.pdf" Type="http://schemas.openxmlformats.org/officeDocument/2006/relationships/hyperlink" Id="rId330"/>
    <Relationship TargetMode="External" Target="https://www.legis.iowa.gov/docs/ico/chapter/249A.4.pdf" Type="http://schemas.openxmlformats.org/officeDocument/2006/relationships/hyperlink" Id="rId331"/>
    <Relationship TargetMode="External" Target="https://www.legis.iowa.gov/docs/iac/chapter/441.83.pdf" Type="http://schemas.openxmlformats.org/officeDocument/2006/relationships/hyperlink" Id="rId332"/>
    <Relationship TargetMode="External" Target="https://www.legis.iowa.gov/docs/iac/rule/441.78.9.pdf" Type="http://schemas.openxmlformats.org/officeDocument/2006/relationships/hyperlink" Id="rId333"/>
    <Relationship TargetMode="External" Target="https://www.legis.iowa.gov/docs/iac/chapter/441.83.pdf" Type="http://schemas.openxmlformats.org/officeDocument/2006/relationships/hyperlink" Id="rId334"/>
    <Relationship TargetMode="External" Target="https://www.legis.iowa.gov/docs/ico/chapter/135C.pdf" Type="http://schemas.openxmlformats.org/officeDocument/2006/relationships/hyperlink" Id="rId335"/>
    <Relationship TargetMode="External" Target="https://www.legis.iowa.gov/docs/iac/rule/441.24.1.pdf" Type="http://schemas.openxmlformats.org/officeDocument/2006/relationships/hyperlink" Id="rId336"/>
    <Relationship TargetMode="External" Target="https://www.legis.iowa.gov/docs/iac/rule/441.78.34.pdf" Type="http://schemas.openxmlformats.org/officeDocument/2006/relationships/hyperlink" Id="rId337"/>
    <Relationship TargetMode="External" Target="https://www.legis.iowa.gov/docs/iac/rule/441.78.34.pdf" Type="http://schemas.openxmlformats.org/officeDocument/2006/relationships/hyperlink" Id="rId338"/>
    <Relationship TargetMode="External" Target="https://www.legis.iowa.gov/docs/iac/rule/441.79.9.pdf" Type="http://schemas.openxmlformats.org/officeDocument/2006/relationships/hyperlink" Id="rId339"/>
    <Relationship TargetMode="External" Target="https://www.legis.iowa.gov/docs/iac/rule/441.79.3.pdf" Type="http://schemas.openxmlformats.org/officeDocument/2006/relationships/hyperlink" Id="rId340"/>
    <Relationship TargetMode="External" Target="https://www.legis.iowa.gov/docs/iac/rule/441.79.3.pdf" Type="http://schemas.openxmlformats.org/officeDocument/2006/relationships/hyperlink" Id="rId341"/>
    <Relationship TargetMode="External" Target="https://www.legis.iowa.gov/docs/iac/rule/441.78.9.pdf" Type="http://schemas.openxmlformats.org/officeDocument/2006/relationships/hyperlink" Id="rId342"/>
    <Relationship TargetMode="External" Target="https://www.legis.iowa.gov/docs/iac/rule/441.78.9.pdf" Type="http://schemas.openxmlformats.org/officeDocument/2006/relationships/hyperlink" Id="rId343"/>
    <Relationship TargetMode="External" Target="https://www.legis.iowa.gov/docs/iac/rule/441.79.1.pdf" Type="http://schemas.openxmlformats.org/officeDocument/2006/relationships/hyperlink" Id="rId344"/>
    <Relationship TargetMode="External" Target="https://www.legis.iowa.gov/docs/iac/chapter/441.119.pdf" Type="http://schemas.openxmlformats.org/officeDocument/2006/relationships/hyperlink" Id="rId345"/>
    <Relationship TargetMode="External" Target="https://www.legis.iowa.gov/docs/iac/rule/441.78.34.pdf" Type="http://schemas.openxmlformats.org/officeDocument/2006/relationships/hyperlink" Id="rId346"/>
    <Relationship TargetMode="External" Target="https://www.legis.iowa.gov/docs/iac/rule/441.78.34.pdf" Type="http://schemas.openxmlformats.org/officeDocument/2006/relationships/hyperlink" Id="rId347"/>
    <Relationship TargetMode="External" Target="https://www.legis.iowa.gov/docs/iac/rule/441.78.34.pdf" Type="http://schemas.openxmlformats.org/officeDocument/2006/relationships/hyperlink" Id="rId348"/>
    <Relationship TargetMode="External" Target="https://www.legis.iowa.gov/docs/iac/rule/441.79.1.pdf" Type="http://schemas.openxmlformats.org/officeDocument/2006/relationships/hyperlink" Id="rId349"/>
    <Relationship TargetMode="External" Target="https://www.legis.iowa.gov/docs/iac/chapter/441.119.pdf" Type="http://schemas.openxmlformats.org/officeDocument/2006/relationships/hyperlink" Id="rId350"/>
    <Relationship TargetMode="External" Target="https://www.legis.iowa.gov/docs/iac/rule/441.79.3.pdf" Type="http://schemas.openxmlformats.org/officeDocument/2006/relationships/hyperlink" Id="rId351"/>
    <Relationship TargetMode="External" Target="https://www.legis.iowa.gov/docs/ico/chapter/249A.4.pdf" Type="http://schemas.openxmlformats.org/officeDocument/2006/relationships/hyperlink" Id="rId352"/>
    <Relationship TargetMode="External" Target="https://www.legis.iowa.gov/docs/ico/chapter/249A.4.pdf" Type="http://schemas.openxmlformats.org/officeDocument/2006/relationships/hyperlink" Id="rId353"/>
    <Relationship TargetMode="External" Target="https://www.legis.iowa.gov/docs/ico/chapter/249A.4.pdf" Type="http://schemas.openxmlformats.org/officeDocument/2006/relationships/hyperlink" Id="rId354"/>
    <Relationship TargetMode="External" Target="https://www.legis.iowa.gov/docs/iac/chapter/441.83.pdf" Type="http://schemas.openxmlformats.org/officeDocument/2006/relationships/hyperlink" Id="rId355"/>
    <Relationship TargetMode="External" Target="https://www.legis.iowa.gov/docs/iac/rule/441.78.9.pdf" Type="http://schemas.openxmlformats.org/officeDocument/2006/relationships/hyperlink" Id="rId356"/>
    <Relationship TargetMode="External" Target="https://www.legis.iowa.gov/docs/iac/chapter/441.83.pdf" Type="http://schemas.openxmlformats.org/officeDocument/2006/relationships/hyperlink" Id="rId357"/>
    <Relationship TargetMode="External" Target="https://www.legis.iowa.gov/docs/ico/chapter/135C.pdf" Type="http://schemas.openxmlformats.org/officeDocument/2006/relationships/hyperlink" Id="rId358"/>
    <Relationship TargetMode="External" Target="https://www.legis.iowa.gov/docs/iac/rule/441.78.37.pdf" Type="http://schemas.openxmlformats.org/officeDocument/2006/relationships/hyperlink" Id="rId359"/>
    <Relationship TargetMode="External" Target="https://www.legis.iowa.gov/docs/iac/rule/441.79.1.pdf" Type="http://schemas.openxmlformats.org/officeDocument/2006/relationships/hyperlink" Id="rId360"/>
    <Relationship TargetMode="External" Target="https://www.legis.iowa.gov/docs/iac/rule/441.83.22.pdf" Type="http://schemas.openxmlformats.org/officeDocument/2006/relationships/hyperlink" Id="rId361"/>
    <Relationship TargetMode="External" Target="https://www.legis.iowa.gov/docs/iac/rule/441.79.1.pdf" Type="http://schemas.openxmlformats.org/officeDocument/2006/relationships/hyperlink" Id="rId362"/>
    <Relationship TargetMode="External" Target="https://www.legis.iowa.gov/docs/iac/rule/441.78.37.pdf" Type="http://schemas.openxmlformats.org/officeDocument/2006/relationships/hyperlink" Id="rId363"/>
    <Relationship TargetMode="External" Target="https://www.legis.iowa.gov/docs/iac/rule/441.78.37.pdf" Type="http://schemas.openxmlformats.org/officeDocument/2006/relationships/hyperlink" Id="rId364"/>
    <Relationship TargetMode="External" Target="https://www.legis.iowa.gov/docs/iac/rule/441.79.9.pdf" Type="http://schemas.openxmlformats.org/officeDocument/2006/relationships/hyperlink" Id="rId365"/>
    <Relationship TargetMode="External" Target="https://www.legis.iowa.gov/docs/iac/rule/441.79.3.pdf" Type="http://schemas.openxmlformats.org/officeDocument/2006/relationships/hyperlink" Id="rId366"/>
    <Relationship TargetMode="External" Target="https://www.legis.iowa.gov/docs/iac/rule/441.79.3.pdf" Type="http://schemas.openxmlformats.org/officeDocument/2006/relationships/hyperlink" Id="rId367"/>
    <Relationship TargetMode="External" Target="https://www.legis.iowa.gov/docs/iac/rule/441.83.22.pdf" Type="http://schemas.openxmlformats.org/officeDocument/2006/relationships/hyperlink" Id="rId368"/>
    <Relationship TargetMode="External" Target="https://www.legis.iowa.gov/docs/iac/rule/441.90.4.pdf" Type="http://schemas.openxmlformats.org/officeDocument/2006/relationships/hyperlink" Id="rId369"/>
    <Relationship TargetMode="External" Target="https://www.legis.iowa.gov/docs/iac/rule/441.90.7.pdf" Type="http://schemas.openxmlformats.org/officeDocument/2006/relationships/hyperlink" Id="rId370"/>
    <Relationship TargetMode="External" Target="https://www.legis.iowa.gov/docs/iac/rule/441.79.3.pdf" Type="http://schemas.openxmlformats.org/officeDocument/2006/relationships/hyperlink" Id="rId371"/>
    <Relationship TargetMode="External" Target="https://www.legis.iowa.gov/docs/ico/chapter/249A.4.pdf" Type="http://schemas.openxmlformats.org/officeDocument/2006/relationships/hyperlink" Id="rId372"/>
    <Relationship TargetMode="External" Target="https://www.legis.iowa.gov/docs/iac/chapter/441.83.pdf" Type="http://schemas.openxmlformats.org/officeDocument/2006/relationships/hyperlink" Id="rId373"/>
    <Relationship TargetMode="External" Target="https://www.legis.iowa.gov/docs/iac/rule/441.24.1.pdf" Type="http://schemas.openxmlformats.org/officeDocument/2006/relationships/hyperlink" Id="rId374"/>
    <Relationship TargetMode="External" Target="https://www.legis.iowa.gov/docs/iac/rule/441.78.9.pdf" Type="http://schemas.openxmlformats.org/officeDocument/2006/relationships/hyperlink" Id="rId375"/>
    <Relationship TargetMode="External" Target="https://www.legis.iowa.gov/docs/iac/chapter/441.83.pdf" Type="http://schemas.openxmlformats.org/officeDocument/2006/relationships/hyperlink" Id="rId376"/>
    <Relationship TargetMode="External" Target="https://www.legis.iowa.gov/docs/ico/chapter/135C.pdf" Type="http://schemas.openxmlformats.org/officeDocument/2006/relationships/hyperlink" Id="rId377"/>
    <Relationship TargetMode="External" Target="https://www.legis.iowa.gov/docs/iac/rule/441.78.38.pdf" Type="http://schemas.openxmlformats.org/officeDocument/2006/relationships/hyperlink" Id="rId378"/>
    <Relationship TargetMode="External" Target="https://www.legis.iowa.gov/docs/iac/rule/441.78.38.pdf" Type="http://schemas.openxmlformats.org/officeDocument/2006/relationships/hyperlink" Id="rId379"/>
    <Relationship TargetMode="External" Target="https://www.legis.iowa.gov/docs/iac/rule/441.79.9.pdf" Type="http://schemas.openxmlformats.org/officeDocument/2006/relationships/hyperlink" Id="rId380"/>
    <Relationship TargetMode="External" Target="https://www.legis.iowa.gov/docs/iac/rule/441.79.3.pdf" Type="http://schemas.openxmlformats.org/officeDocument/2006/relationships/hyperlink" Id="rId381"/>
    <Relationship TargetMode="External" Target="https://www.legis.iowa.gov/docs/iac/rule/441.79.3.pdf" Type="http://schemas.openxmlformats.org/officeDocument/2006/relationships/hyperlink" Id="rId382"/>
    <Relationship TargetMode="External" Target="https://www.legis.iowa.gov/docs/ico/chapter/249A.4.pdf" Type="http://schemas.openxmlformats.org/officeDocument/2006/relationships/hyperlink" Id="rId383"/>
    <Relationship TargetMode="External" Target="https://www.legis.iowa.gov/docs/iac/rule/441.76.9.pdf" Type="http://schemas.openxmlformats.org/officeDocument/2006/relationships/hyperlink" Id="rId384"/>
    <Relationship TargetMode="External" Target="https://www.legis.iowa.gov/docs/iac/rule/441.78.25.pdf" Type="http://schemas.openxmlformats.org/officeDocument/2006/relationships/hyperlink" Id="rId385"/>
    <Relationship TargetMode="External" Target="https://www.legis.iowa.gov/docs/ico/chapter/249A.4.pdf" Type="http://schemas.openxmlformats.org/officeDocument/2006/relationships/hyperlink" Id="rId386"/>
    <Relationship TargetMode="External" Target="https://www.legis.iowa.gov/docs/iac/rule/441.78.1.pdf" Type="http://schemas.openxmlformats.org/officeDocument/2006/relationships/hyperlink" Id="rId387"/>
    <Relationship TargetMode="External" Target="https://www.legis.iowa.gov/docs/iac/rule/441.76.9.pdf" Type="http://schemas.openxmlformats.org/officeDocument/2006/relationships/hyperlink" Id="rId388"/>
    <Relationship TargetMode="External" Target="https://www.legis.iowa.gov/docs/iac/rule/441.78.25.pdf" Type="http://schemas.openxmlformats.org/officeDocument/2006/relationships/hyperlink" Id="rId389"/>
    <Relationship TargetMode="External" Target="https://www.legis.iowa.gov/docs/ico/chapter/249A.4.pdf" Type="http://schemas.openxmlformats.org/officeDocument/2006/relationships/hyperlink" Id="rId390"/>
    <Relationship TargetMode="External" Target="https://www.legis.iowa.gov/docs/iac/chapter/441.83.pdf" Type="http://schemas.openxmlformats.org/officeDocument/2006/relationships/hyperlink" Id="rId391"/>
    <Relationship TargetMode="External" Target="https://www.legis.iowa.gov/docs/iac/rule/441.78.13.pdf" Type="http://schemas.openxmlformats.org/officeDocument/2006/relationships/hyperlink" Id="rId392"/>
    <Relationship TargetMode="External" Target="https://www.legis.iowa.gov/docs/iac/rule/441.78.41.pdf" Type="http://schemas.openxmlformats.org/officeDocument/2006/relationships/hyperlink" Id="rId393"/>
    <Relationship TargetMode="External" Target="https://www.legis.iowa.gov/docs/iac/chapter/441.83.pdf" Type="http://schemas.openxmlformats.org/officeDocument/2006/relationships/hyperlink" Id="rId394"/>
    <Relationship TargetMode="External" Target="https://www.legis.iowa.gov/docs/ico/chapter/135C.pdf" Type="http://schemas.openxmlformats.org/officeDocument/2006/relationships/hyperlink" Id="rId395"/>
    <Relationship TargetMode="External" Target="https://www.legis.iowa.gov/docs/iac/rule/441.79.1.pdf" Type="http://schemas.openxmlformats.org/officeDocument/2006/relationships/hyperlink" Id="rId396"/>
    <Relationship TargetMode="External" Target="https://www.legis.iowa.gov/docs/iac/rule/441.78.9.pdf" Type="http://schemas.openxmlformats.org/officeDocument/2006/relationships/hyperlink" Id="rId397"/>
    <Relationship TargetMode="External" Target="https://www.legis.iowa.gov/docs/iac/rule/441.78.27.pdf" Type="http://schemas.openxmlformats.org/officeDocument/2006/relationships/hyperlink" Id="rId398"/>
    <Relationship TargetMode="External" Target="https://www.legis.iowa.gov/docs/iac/rule/441.78.41.pdf" Type="http://schemas.openxmlformats.org/officeDocument/2006/relationships/hyperlink" Id="rId399"/>
    <Relationship TargetMode="External" Target="https://www.legis.iowa.gov/docs/iac/rule/441.78.41.pdf" Type="http://schemas.openxmlformats.org/officeDocument/2006/relationships/hyperlink" Id="rId400"/>
    <Relationship TargetMode="External" Target="https://www.legis.iowa.gov/docs/iac/rule/441.79.9.pdf" Type="http://schemas.openxmlformats.org/officeDocument/2006/relationships/hyperlink" Id="rId401"/>
    <Relationship TargetMode="External" Target="https://www.legis.iowa.gov/docs/iac/rule/441.79.3.pdf" Type="http://schemas.openxmlformats.org/officeDocument/2006/relationships/hyperlink" Id="rId402"/>
    <Relationship TargetMode="External" Target="https://www.legis.iowa.gov/docs/iac/rule/441.79.3.pdf" Type="http://schemas.openxmlformats.org/officeDocument/2006/relationships/hyperlink" Id="rId403"/>
    <Relationship TargetMode="External" Target="https://www.legis.iowa.gov/docs/iac/rule/441.78.9.pdf" Type="http://schemas.openxmlformats.org/officeDocument/2006/relationships/hyperlink" Id="rId404"/>
    <Relationship TargetMode="External" Target="https://www.legis.iowa.gov/docs/iac/rule/441.78.9.pdf" Type="http://schemas.openxmlformats.org/officeDocument/2006/relationships/hyperlink" Id="rId405"/>
    <Relationship TargetMode="External" Target="https://www.legis.iowa.gov/docs/iac/rule/441.77.37.pdf" Type="http://schemas.openxmlformats.org/officeDocument/2006/relationships/hyperlink" Id="rId406"/>
    <Relationship TargetMode="External" Target="https://www.legis.iowa.gov/docs/iac/rule/441.78.27.pdf" Type="http://schemas.openxmlformats.org/officeDocument/2006/relationships/hyperlink" Id="rId407"/>
    <Relationship TargetMode="External" Target="https://www.legis.iowa.gov/docs/iac/rule/441.78.27.pdf" Type="http://schemas.openxmlformats.org/officeDocument/2006/relationships/hyperlink" Id="rId408"/>
    <Relationship TargetMode="External" Target="https://www.legis.iowa.gov/docs/ico/chapter/249A.4.pdf" Type="http://schemas.openxmlformats.org/officeDocument/2006/relationships/hyperlink" Id="rId409"/>
    <Relationship TargetMode="External" Target="https://www.legis.iowa.gov/docs/ico/chapter/249A.4.pdf" Type="http://schemas.openxmlformats.org/officeDocument/2006/relationships/hyperlink" Id="rId410"/>
    <Relationship TargetMode="External" Target="https://www.legis.iowa.gov/docs/iac/chapter/441.83.pdf" Type="http://schemas.openxmlformats.org/officeDocument/2006/relationships/hyperlink" Id="rId411"/>
    <Relationship TargetMode="External" Target="https://www.legis.iowa.gov/docs/iac/rule/441.90.4.pdf" Type="http://schemas.openxmlformats.org/officeDocument/2006/relationships/hyperlink" Id="rId412"/>
    <Relationship TargetMode="External" Target="https://www.legis.iowa.gov/docs/iac/rule/441.90.7.pdf" Type="http://schemas.openxmlformats.org/officeDocument/2006/relationships/hyperlink" Id="rId413"/>
    <Relationship TargetMode="External" Target="https://www.legis.iowa.gov/docs/iac/rule/441.78.13.pdf" Type="http://schemas.openxmlformats.org/officeDocument/2006/relationships/hyperlink" Id="rId414"/>
    <Relationship TargetMode="External" Target="https://www.legis.iowa.gov/docs/iac/rule/441.78.43.pdf" Type="http://schemas.openxmlformats.org/officeDocument/2006/relationships/hyperlink" Id="rId415"/>
    <Relationship TargetMode="External" Target="https://www.legis.iowa.gov/docs/iac/chapter/441.83.pdf" Type="http://schemas.openxmlformats.org/officeDocument/2006/relationships/hyperlink" Id="rId416"/>
    <Relationship TargetMode="External" Target="https://www.legis.iowa.gov/docs/ico/chapter/135C.pdf" Type="http://schemas.openxmlformats.org/officeDocument/2006/relationships/hyperlink" Id="rId417"/>
    <Relationship TargetMode="External" Target="https://www.legis.iowa.gov/docs/iac/rule/441.78.27.pdf" Type="http://schemas.openxmlformats.org/officeDocument/2006/relationships/hyperlink" Id="rId418"/>
    <Relationship TargetMode="External" Target="https://www.legis.iowa.gov/docs/iac/rule/441.79.1.pdf" Type="http://schemas.openxmlformats.org/officeDocument/2006/relationships/hyperlink" Id="rId419"/>
    <Relationship TargetMode="External" Target="https://www.legis.iowa.gov/docs/iac/rule/441.79.1.pdf" Type="http://schemas.openxmlformats.org/officeDocument/2006/relationships/hyperlink" Id="rId420"/>
    <Relationship TargetMode="External" Target="https://www.legis.iowa.gov/docs/iac/rule/441.78.27.pdf" Type="http://schemas.openxmlformats.org/officeDocument/2006/relationships/hyperlink" Id="rId421"/>
    <Relationship TargetMode="External" Target="https://www.legis.iowa.gov/docs/iac/rule/441.78.43.pdf" Type="http://schemas.openxmlformats.org/officeDocument/2006/relationships/hyperlink" Id="rId422"/>
    <Relationship TargetMode="External" Target="https://www.legis.iowa.gov/docs/iac/rule/441.78.43.pdf" Type="http://schemas.openxmlformats.org/officeDocument/2006/relationships/hyperlink" Id="rId423"/>
    <Relationship TargetMode="External" Target="https://www.legis.iowa.gov/docs/iac/rule/441.79.9.pdf" Type="http://schemas.openxmlformats.org/officeDocument/2006/relationships/hyperlink" Id="rId424"/>
    <Relationship TargetMode="External" Target="https://www.legis.iowa.gov/docs/iac/rule/441.79.3.pdf" Type="http://schemas.openxmlformats.org/officeDocument/2006/relationships/hyperlink" Id="rId425"/>
    <Relationship TargetMode="External" Target="https://www.legis.iowa.gov/docs/iac/rule/441.79.3.pdf" Type="http://schemas.openxmlformats.org/officeDocument/2006/relationships/hyperlink" Id="rId426"/>
    <Relationship TargetMode="External" Target="https://www.legis.iowa.gov/docs/iac/rule/441.78.9.pdf" Type="http://schemas.openxmlformats.org/officeDocument/2006/relationships/hyperlink" Id="rId427"/>
    <Relationship TargetMode="External" Target="https://www.legis.iowa.gov/docs/iac/rule/441.78.9.pdf" Type="http://schemas.openxmlformats.org/officeDocument/2006/relationships/hyperlink" Id="rId428"/>
    <Relationship TargetMode="External" Target="https://www.legis.iowa.gov/docs/ico/chapter/249A.4.pdf" Type="http://schemas.openxmlformats.org/officeDocument/2006/relationships/hyperlink" Id="rId429"/>
    <Relationship TargetMode="External" Target="https://www.legis.iowa.gov/docs/ico/chapter/249A.4.pdf" Type="http://schemas.openxmlformats.org/officeDocument/2006/relationships/hyperlink" Id="rId430"/>
    <Relationship TargetMode="External" Target="https://www.legis.iowa.gov/docs/ico/chapter/249A.4.pdf" Type="http://schemas.openxmlformats.org/officeDocument/2006/relationships/hyperlink" Id="rId431"/>
    <Relationship TargetMode="External" Target="https://www.legis.iowa.gov/docs/iac/chapter/441.83.pdf" Type="http://schemas.openxmlformats.org/officeDocument/2006/relationships/hyperlink" Id="rId432"/>
    <Relationship TargetMode="External" Target="https://www.legis.iowa.gov/docs/iac/rule/441.78.46.pdf" Type="http://schemas.openxmlformats.org/officeDocument/2006/relationships/hyperlink" Id="rId433"/>
    <Relationship TargetMode="External" Target="https://www.legis.iowa.gov/docs/iac/rule/441.78.46.pdf" Type="http://schemas.openxmlformats.org/officeDocument/2006/relationships/hyperlink" Id="rId434"/>
    <Relationship TargetMode="External" Target="https://www.legis.iowa.gov/docs/iac/rule/441.79.9.pdf" Type="http://schemas.openxmlformats.org/officeDocument/2006/relationships/hyperlink" Id="rId435"/>
    <Relationship TargetMode="External" Target="https://www.legis.iowa.gov/docs/iac/rule/441.79.3.pdf" Type="http://schemas.openxmlformats.org/officeDocument/2006/relationships/hyperlink" Id="rId436"/>
    <Relationship TargetMode="External" Target="https://www.legis.iowa.gov/docs/iac/rule/441.79.3.pdf" Type="http://schemas.openxmlformats.org/officeDocument/2006/relationships/hyperlink" Id="rId437"/>
    <Relationship TargetMode="External" Target="https://www.legis.iowa.gov/docs/iac/rule/441.79.1.pdf" Type="http://schemas.openxmlformats.org/officeDocument/2006/relationships/hyperlink" Id="rId438"/>
    <Relationship TargetMode="External" Target="https://www.legis.iowa.gov/docs/iac/rule/441.79.1.pdf" Type="http://schemas.openxmlformats.org/officeDocument/2006/relationships/hyperlink" Id="rId439"/>
    <Relationship TargetMode="External" Target="https://www.legis.iowa.gov/docs/ico/chapter/249A.4.pdf" Type="http://schemas.openxmlformats.org/officeDocument/2006/relationships/hyperlink" Id="rId440"/>
    <Relationship TargetMode="External" Target="https://www.legis.iowa.gov/docs/ico/chapter/249A.4.pdf" Type="http://schemas.openxmlformats.org/officeDocument/2006/relationships/hyperlink" Id="rId441"/>
    <Relationship TargetMode="External" Target="https://www.legis.iowa.gov/docs/ico/chapter/249A.4.pdf" Type="http://schemas.openxmlformats.org/officeDocument/2006/relationships/hyperlink" Id="rId442"/>
    <Relationship TargetMode="External" Target="https://www.legis.iowa.gov/docs/iac/chapter/441.90.pdf" Type="http://schemas.openxmlformats.org/officeDocument/2006/relationships/hyperlink" Id="rId443"/>
    <Relationship TargetMode="External" Target="https://www.legis.iowa.gov/docs/iac/chapter/441.90.pdf" Type="http://schemas.openxmlformats.org/officeDocument/2006/relationships/hyperlink" Id="rId444"/>
    <Relationship TargetMode="External" Target="https://www.legis.iowa.gov/docs/ico/chapter/249A.4.pdf" Type="http://schemas.openxmlformats.org/officeDocument/2006/relationships/hyperlink" Id="rId445"/>
    <Relationship TargetMode="External" Target="https://www.legis.iowa.gov/docs/ico/chapter/249A.4.pdf" Type="http://schemas.openxmlformats.org/officeDocument/2006/relationships/hyperlink" Id="rId446"/>
    <Relationship TargetMode="External" Target="https://www.legis.iowa.gov/docs/iac/rule/441.77.45.pdf" Type="http://schemas.openxmlformats.org/officeDocument/2006/relationships/hyperlink" Id="rId447"/>
    <Relationship TargetMode="External" Target="https://www.legis.iowa.gov/docs/iac/rule/441.78.1.pdf" Type="http://schemas.openxmlformats.org/officeDocument/2006/relationships/hyperlink" Id="rId448"/>
    <Relationship TargetMode="External" Target="https://www.legis.iowa.gov/docs/ico/chapter/249A.4.pdf" Type="http://schemas.openxmlformats.org/officeDocument/2006/relationships/hyperlink" Id="rId449"/>
    <Relationship TargetMode="External" Target="https://www.legis.iowa.gov/docs/iac/chapter/441.83.pdf" Type="http://schemas.openxmlformats.org/officeDocument/2006/relationships/hyperlink" Id="rId450"/>
    <Relationship TargetMode="External" Target="https://www.legis.iowa.gov/docs/iac/rule/441.79.1.pdf" Type="http://schemas.openxmlformats.org/officeDocument/2006/relationships/hyperlink" Id="rId451"/>
    <Relationship TargetMode="External" Target="https://www.legis.iowa.gov/docs/iac/chapter/441.83.pdf" Type="http://schemas.openxmlformats.org/officeDocument/2006/relationships/hyperlink" Id="rId452"/>
    <Relationship TargetMode="External" Target="https://www.legis.iowa.gov/docs/iac/rule/441.24.1.pdf" Type="http://schemas.openxmlformats.org/officeDocument/2006/relationships/hyperlink" Id="rId453"/>
    <Relationship TargetMode="External" Target="https://www.legis.iowa.gov/docs/iac/chapter/441.83.pdf" Type="http://schemas.openxmlformats.org/officeDocument/2006/relationships/hyperlink" Id="rId454"/>
    <Relationship TargetMode="External" Target="https://www.legis.iowa.gov/docs/ico/chapter/135C.pdf" Type="http://schemas.openxmlformats.org/officeDocument/2006/relationships/hyperlink" Id="rId455"/>
    <Relationship TargetMode="External" Target="https://www.legis.iowa.gov/docs/ico/chapter/249A.4.pdf" Type="http://schemas.openxmlformats.org/officeDocument/2006/relationships/hyperlink" Id="rId456"/>
    <Relationship TargetMode="External" Target="https://www.legis.iowa.gov/docs/iac/rule/441.78.53.pdf" Type="http://schemas.openxmlformats.org/officeDocument/2006/relationships/hyperlink" Id="rId457"/>
    <Relationship TargetMode="External" Target="https://www.legis.iowa.gov/docs/iac/rule/441.77.47.pdf" Type="http://schemas.openxmlformats.org/officeDocument/2006/relationships/hyperlink" Id="rId458"/>
    <Relationship TargetMode="External" Target="https://www.legis.iowa.gov/docs/iac/rule/441.77.47.pdf" Type="http://schemas.openxmlformats.org/officeDocument/2006/relationships/hyperlink" Id="rId459"/>
    <Relationship TargetMode="External" Target="https://www.legis.iowa.gov/docs/iac/rule/441.77.27.pdf" Type="http://schemas.openxmlformats.org/officeDocument/2006/relationships/hyperlink" Id="rId460"/>
    <Relationship TargetMode="External" Target="https://www.legis.iowa.gov/docs/iac/rule/441.83.127.pdf" Type="http://schemas.openxmlformats.org/officeDocument/2006/relationships/hyperlink" Id="rId461"/>
    <Relationship TargetMode="External" Target="https://www.legis.iowa.gov/docs/iac/rule/441.90.4.pdf" Type="http://schemas.openxmlformats.org/officeDocument/2006/relationships/hyperlink" Id="rId462"/>
    <Relationship TargetMode="External" Target="https://www.legis.iowa.gov/docs/iac/rule/441.77.47.pdf" Type="http://schemas.openxmlformats.org/officeDocument/2006/relationships/hyperlink" Id="rId463"/>
    <Relationship TargetMode="External" Target="https://www.legis.iowa.gov/docs/iac/rule/441.79.3.pdf" Type="http://schemas.openxmlformats.org/officeDocument/2006/relationships/hyperlink" Id="rId464"/>
    <Relationship TargetMode="External" Target="https://www.legis.iowa.gov/docs/iac/chapter/441.83.pdf" Type="http://schemas.openxmlformats.org/officeDocument/2006/relationships/hyperlink" Id="rId465"/>
    <Relationship TargetMode="External" Target="https://www.legis.iowa.gov/docs/iac/rule/441.78.53.pdf" Type="http://schemas.openxmlformats.org/officeDocument/2006/relationships/hyperlink" Id="rId466"/>
    <Relationship TargetMode="External" Target="https://www.legis.iowa.gov/docs/iac/rule/441.78.27.pdf" Type="http://schemas.openxmlformats.org/officeDocument/2006/relationships/hyperlink" Id="rId467"/>
    <Relationship TargetMode="External" Target="https://www.legis.iowa.gov/docs/iac/rule/441.83.127.pdf" Type="http://schemas.openxmlformats.org/officeDocument/2006/relationships/hyperlink" Id="rId468"/>
    <Relationship TargetMode="External" Target="https://www.legis.iowa.gov/docs/iac/rule/441.90.4.pdf" Type="http://schemas.openxmlformats.org/officeDocument/2006/relationships/hyperlink" Id="rId469"/>
    <Relationship TargetMode="External" Target="https://www.legis.iowa.gov/docs/iac/rule/441.78.53.pdf" Type="http://schemas.openxmlformats.org/officeDocument/2006/relationships/hyperlink" Id="rId470"/>
    <Relationship TargetMode="External" Target="https://www.legis.iowa.gov/docs/iac/rule/441.78.53.pdf" Type="http://schemas.openxmlformats.org/officeDocument/2006/relationships/hyperlink" Id="rId471"/>
    <Relationship TargetMode="External" Target="https://www.legis.iowa.gov/docs/iac/rule/441.78.53.pdf" Type="http://schemas.openxmlformats.org/officeDocument/2006/relationships/hyperlink" Id="rId472"/>
    <Relationship TargetMode="External" Target="https://www.legis.iowa.gov/docs/ico/chapter/249A.4.pdf" Type="http://schemas.openxmlformats.org/officeDocument/2006/relationships/hyperlink" Id="rId473"/>
    <Relationship TargetMode="External" Target="https://www.legis.iowa.gov/docs/ico/chapter/249A.4.pdf" Type="http://schemas.openxmlformats.org/officeDocument/2006/relationships/hyperlink" Id="rId474"/>
    <Relationship TargetMode="External" Target="https://www.legis.iowa.gov/docs/iac/rule/653.13.11.pdf" Type="http://schemas.openxmlformats.org/officeDocument/2006/relationships/hyperlink" Id="rId475"/>
    <Relationship TargetMode="External" Target="https://www.legis.iowa.gov/docs/ico/chapter/249A.4.pdf" Type="http://schemas.openxmlformats.org/officeDocument/2006/relationships/hyperlink" Id="rId476"/>
    <Relationship TargetMode="External" Target="https://www.legis.iowa.gov/docs/iac/rule/441.83.81.pdf" Type="http://schemas.openxmlformats.org/officeDocument/2006/relationships/hyperlink" Id="rId477"/>
    <Relationship TargetMode="External" Target="https://www.legis.iowa.gov/docs/iac/chapter/441.75.pdf" Type="http://schemas.openxmlformats.org/officeDocument/2006/relationships/hyperlink" Id="rId478"/>
    <Relationship TargetMode="External" Target="https://www.legis.iowa.gov/docs/iac/rule/441.83.81.pdf" Type="http://schemas.openxmlformats.org/officeDocument/2006/relationships/hyperlink" Id="rId479"/>
    <Relationship TargetMode="External" Target="https://www.legis.iowa.gov/docs/iac/rule/441.78.55.pdf" Type="http://schemas.openxmlformats.org/officeDocument/2006/relationships/hyperlink" Id="rId480"/>
    <Relationship TargetMode="External" Target="https://www.legis.iowa.gov/docs/iac/rule/441.78.56.pdf" Type="http://schemas.openxmlformats.org/officeDocument/2006/relationships/hyperlink" Id="rId481"/>
    <Relationship TargetMode="External" Target="https://www.legis.iowa.gov/docs/iac/rule/441.78.56.pdf" Type="http://schemas.openxmlformats.org/officeDocument/2006/relationships/hyperlink" Id="rId482"/>
    <Relationship TargetMode="External" Target="https://www.legis.iowa.gov/docs/iac/rule/441.77.54.pdf" Type="http://schemas.openxmlformats.org/officeDocument/2006/relationships/hyperlink" Id="rId483"/>
    <Relationship TargetMode="External" Target="https://www.legis.iowa.gov/docs/iac/rule/441.79.3.pdf" Type="http://schemas.openxmlformats.org/officeDocument/2006/relationships/hyperlink" Id="rId484"/>
    <Relationship TargetMode="External" Target="https://www.legis.iowa.gov/docs/ico/chapter/249A.4.pdf" Type="http://schemas.openxmlformats.org/officeDocument/2006/relationships/hyperlink" Id="rId485"/>
    <Relationship TargetMode="External" Target="https://www.legis.iowa.gov/docs/iac/rule/441.78.57.pdf" Type="http://schemas.openxmlformats.org/officeDocument/2006/relationships/hyperlink" Id="rId486"/>
    <Relationship TargetMode="External" Target="https://www.legis.iowa.gov/docs/iac/rule/441.78.57.pdf" Type="http://schemas.openxmlformats.org/officeDocument/2006/relationships/hyperlink" Id="rId487"/>
    <Relationship TargetMode="External" Target="https://www.legis.iowa.gov/docs/iac/rule/441.78.57.pdf" Type="http://schemas.openxmlformats.org/officeDocument/2006/relationships/hyperlink" Id="rId488"/>
    <Relationship TargetMode="External" Target="https://www.legis.iowa.gov/docs/iac/rule/441.78.57.pdf" Type="http://schemas.openxmlformats.org/officeDocument/2006/relationships/hyperlink" Id="rId489"/>
    <Relationship TargetMode="External" Target="https://www.legis.iowa.gov/docs/iac/rule/441.78.9.pdf" Type="http://schemas.openxmlformats.org/officeDocument/2006/relationships/hyperlink" Id="rId490"/>
    <Relationship TargetMode="External" Target="https://www.legis.iowa.gov/docs/ico/chapter/249A.pdf" Type="http://schemas.openxmlformats.org/officeDocument/2006/relationships/hyperlink" Id="rId491"/>
    <Relationship TargetMode="External" Target="https://www.legis.iowa.gov/docs/ico/chapter/249A.4.pdf" Type="http://schemas.openxmlformats.org/officeDocument/2006/relationships/hyperlink" Id="rId492"/>
    <Relationship TargetMode="External" Target="https://www.legis.iowa.gov/docs/ico/chapter/249A.4.pdf" Type="http://schemas.openxmlformats.org/officeDocument/2006/relationships/hyperlink" Id="rId493"/>
    <Relationship TargetMode="External" Target="https://www.legis.iowa.gov/docs/iac/rule/441.77.55.pdf" Type="http://schemas.openxmlformats.org/officeDocument/2006/relationships/hyperlink" Id="rId494"/>
    <Relationship TargetMode="External" Target="https://www.legis.iowa.gov/docs/iac/chapter/441.24.pdf" Type="http://schemas.openxmlformats.org/officeDocument/2006/relationships/hyperlink" Id="rId495"/>
    <Relationship TargetMode="External" Target="https://www.legis.iowa.gov/docs/ico/chapter/249A.4.pdf" Type="http://schemas.openxmlformats.org/officeDocument/2006/relationships/hyperlink" Id="rId496"/>
    <Relationship TargetMode="External" Target="https://www.legis.iowa.gov/docs/iac/rule/441.77.56.pdf" Type="http://schemas.openxmlformats.org/officeDocument/2006/relationships/hyperlink" Id="rId497"/>
    <Relationship TargetMode="External" Target="https://www.legis.iowa.gov/docs/iac/chapter/481.71.pdf" Type="http://schemas.openxmlformats.org/officeDocument/2006/relationships/hyperlink" Id="rId498"/>
    <Relationship TargetMode="External" Target="https://www.legis.iowa.gov/docs/ico/chapter/249A.4.pdf" Type="http://schemas.openxmlformats.org/officeDocument/2006/relationships/hyperlink" Id="rId499"/>
    <Relationship TargetMode="External" Target="https://www.legis.iowa.gov/docs/ico/chapter/249A.pdf" Type="http://schemas.openxmlformats.org/officeDocument/2006/relationships/hyperlink" Id="rId500"/>
    <Relationship TargetMode="External" Target="https://www.legis.iowa.gov/docs/iac/rule/441.78.3.pdf" Type="http://schemas.openxmlformats.org/officeDocument/2006/relationships/hyperlink" Id="rId501"/>
    <Relationship TargetMode="External" Target="https://www.legis.iowa.gov/docs/iac/rule/441.78.31.pdf" Type="http://schemas.openxmlformats.org/officeDocument/2006/relationships/hyperlink" Id="rId502"/>
    <Relationship TargetMode="External" Target="https://www.legis.iowa.gov/docs/iac/rule/441.78.27.pdf" Type="http://schemas.openxmlformats.org/officeDocument/2006/relationships/hyperlink" Id="rId503"/>
    <Relationship TargetMode="External" Target="https://www.legis.iowa.gov/docs/iac/rule/441.78.34.pdf" Type="http://schemas.openxmlformats.org/officeDocument/2006/relationships/hyperlink" Id="rId504"/>
    <Relationship TargetMode="External" Target="https://www.legis.iowa.gov/docs/iac/rule/441.78.52.pdf" Type="http://schemas.openxmlformats.org/officeDocument/2006/relationships/hyperlink" Id="rId50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