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CONDITIONS OF ELIGIBILITY</w:t>
      </w:r>
    </w:p>
    <w:p>
      <w:pPr>
        <w:spacing w:before="0" w:after="0"/>
        <w:ind w:left="120"/>
        <w:jc w:val="center"/>
      </w:pPr>
      <w:r>
        <w:rPr>
          <w:rFonts w:ascii="Times New Roman" w:hAnsi="Times New Roman"/>
          <w:b w:val="false"/>
          <w:i w:val="false"/>
          <w:color w:val="000000"/>
          <w:sz w:val="14"/>
        </w:rPr>
        <w:t>[Ch 75, 1973 IDR, renumbered as Ch 90]</w:t>
      </w:r>
    </w:p>
    <w:p>
      <w:pPr>
        <w:spacing w:before="0" w:after="0"/>
        <w:ind w:left="120"/>
        <w:jc w:val="center"/>
      </w:pPr>
      <w:r>
        <w:rPr>
          <w:rFonts w:ascii="Times New Roman" w:hAnsi="Times New Roman"/>
          <w:b w:val="false"/>
          <w:i w:val="false"/>
          <w:color w:val="000000"/>
          <w:sz w:val="14"/>
        </w:rPr>
        <w:t>[Prior to 7/1/83, Social Services[770] Ch 75]</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This chapter establishes the conditions of eligibility for the medical assistance program administered by the department of human services pursuant to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addresses related matters. This chapter shall be construed to comply with all requirements for federal funding under Title XIX of the Social Security Act or under the terms of any applicable waiver of Title XIX requirements granted by the Secretary of the U.S. Department of Health and Human Services. To the extent this chapter is inconsistent with any applicable federal funding requirement under Title XIX or the terms of any applicable waiver, the requirements of Title XIX or the terms of the waiver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CONDITIONS OF ELIGIBILITY, COVERAGE GROUPS, AND SSI-RELATED PROGRAMS</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covered.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refugee cash assistance. </w:t>
      </w:r>
      <w:r>
        <w:rPr>
          <w:rFonts w:ascii="Times New Roman" w:hAnsi="Times New Roman"/>
          <w:b w:val="false"/>
          <w:i w:val="false"/>
          <w:color w:val="000000"/>
          <w:sz w:val="22"/>
        </w:rPr>
        <w:t>Medical assistance shall be available to all recipients of refugee cash assistance. Recipient means a person for whom a refugee cash assistance (RCA) payment is received and includes persons deemed to be receiving RCA. Persons deemed to be receiving RCA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denied RCA because the amount of payment would be less than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7/30/08</w:t>
      </w:r>
      <w:r>
        <w:rPr>
          <w:rFonts w:ascii="Times New Roman" w:hAnsi="Times New Roman"/>
          <w:b w:val="false"/>
          <w:i w:val="false"/>
          <w:color w:val="000000"/>
          <w:sz w:val="22"/>
        </w:rPr>
        <w:t>, effective 10/1/08.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eligible in every respect for refugee cash assistance (RCA) as provided in </w:t>
      </w:r>
      <w:hyperlink r:id="rId6">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 but who do not receive RCA because they did not make application for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Supplemental Security Income (SSI) because of requirements that do not apply under Title XIX of the Social Security Act. </w:t>
      </w:r>
      <w:r>
        <w:rPr>
          <w:rFonts w:ascii="Times New Roman" w:hAnsi="Times New Roman"/>
          <w:b w:val="false"/>
          <w:i w:val="false"/>
          <w:color w:val="000000"/>
          <w:sz w:val="22"/>
        </w:rPr>
        <w:t>Medicaid shall be available to persons who would be eligible for SSI except for an eligibility requirement used in that program which is specifically prohibited under Title XIX.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w:t>
      </w:r>
      <w:r>
        <w:rPr>
          <w:rFonts w:ascii="Times New Roman" w:hAnsi="Times New Roman"/>
          <w:b w:val="false"/>
          <w:i w:val="false"/>
          <w:color w:val="000000"/>
          <w:sz w:val="22"/>
        </w:rPr>
        <w:t> </w:t>
      </w:r>
      <w:r>
        <w:rPr>
          <w:rFonts w:ascii="Times New Roman" w:hAnsi="Times New Roman"/>
          <w:b w:val="false"/>
          <w:i/>
          <w:color w:val="000000"/>
          <w:sz w:val="22"/>
        </w:rPr>
        <w:t xml:space="preserve">Beneficiaries of Title XVI of the Social Security Act (supplemental security income for the aged, blind and disabled) and mandatory state supplementation. </w:t>
      </w:r>
      <w:r>
        <w:rPr>
          <w:rFonts w:ascii="Times New Roman" w:hAnsi="Times New Roman"/>
          <w:b w:val="false"/>
          <w:i w:val="false"/>
          <w:color w:val="000000"/>
          <w:sz w:val="22"/>
        </w:rPr>
        <w:t>Medical assistance will be available to all beneficiaries of the Title XVI program and those receiving mandatory state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institution who were eligible for Medicaid as of December 31, 1973. </w:t>
      </w:r>
      <w:r>
        <w:rPr>
          <w:rFonts w:ascii="Times New Roman" w:hAnsi="Times New Roman"/>
          <w:b w:val="false"/>
          <w:i w:val="false"/>
          <w:color w:val="000000"/>
          <w:sz w:val="22"/>
        </w:rPr>
        <w:t>Medicaid shall be available to all persons receiving care in a medical institution who were Medicaid members as of December 31, 1973. Eligibility of these persons will continue as long as they continue to meet the eligibility requirements for the applicable assistance programs (old-age assistance, aid to the blind or aid to the disabled) in effect on December 31,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(SSI), state supplementary assistance (SSA), or the family medical assistance program (FMAP) except for their institutional status. </w:t>
      </w:r>
      <w:r>
        <w:rPr>
          <w:rFonts w:ascii="Times New Roman" w:hAnsi="Times New Roman"/>
          <w:b w:val="false"/>
          <w:i w:val="false"/>
          <w:color w:val="000000"/>
          <w:sz w:val="22"/>
        </w:rPr>
        <w:t>Medicaid shall be available to persons receiving care in a medical institution who would be eligible for SSI, SSA, or FMAP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below, Medicaid shall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7">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8">
        <w:r>
          <w:rPr>
            <w:rStyle w:val="Hyperlink"/>
            <w:rFonts w:ascii="Times New Roman" w:hAnsi="Times New Roman"/>
            <w:b w:val="false"/>
            <w:i w:val="false"/>
            <w:color w:val="000000"/>
            <w:sz w:val="22"/>
          </w:rPr>
          <w:t>441—81.3</w:t>
        </w:r>
      </w:hyperlink>
      <w:r>
        <w:rPr>
          <w:rFonts w:ascii="Times New Roman" w:hAnsi="Times New Roman"/>
          <w:b w:val="false"/>
          <w:i w:val="false"/>
          <w:color w:val="000000"/>
          <w:sz w:val="22"/>
        </w:rPr>
        <w:t xml:space="preserve">(249A), and </w:t>
      </w:r>
      <w:hyperlink r:id="rId9">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mentally retarded,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supplemental security income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Either meet all supplemental security income (SSI) eligibility requirements except for income or are under age 21. FMAP policies regarding income and age do not apply when determining eligibility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shall be considered as provided for SSI-related coverage groups under subrule </w:t>
      </w:r>
      <w:hyperlink r:id="rId10">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 xml:space="preserve">. In establishing eligibility for persons aged 21 or older for this coverage group, resources shall be considered as provided for SSI-related coverage groups under subrule </w:t>
      </w:r>
      <w:hyperlink r:id="rId11">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Eligibility for persons in this group shall not exist until the person has been institutionalized for a period of 30 consecutive days and shall be effective no earlier than the first day of the month in which the 30-day period begins. A “period of 30 days” is defined as being from 12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shall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Medical assistance will be available to the person living with and essential to the welfare of a Title XIX beneficiary provided the essential person was eligible for medical assistance as of December 31, 1973. The person will continue to be eligible for medical assistance as long as the person continues to meet the definition of “essential person” in effect in the public assistance program on December 31,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state supplemental assistance. </w:t>
      </w:r>
      <w:r>
        <w:rPr>
          <w:rFonts w:ascii="Times New Roman" w:hAnsi="Times New Roman"/>
          <w:b w:val="false"/>
          <w:i w:val="false"/>
          <w:color w:val="000000"/>
          <w:sz w:val="22"/>
        </w:rPr>
        <w:t xml:space="preserve">Medical assistance shall be available to all recipients of state supplemental assistance as authorized by Iowa Code chapter </w:t>
      </w:r>
      <w:hyperlink r:id="rId12">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75.1(10)</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age 21 living in a licensed foster care facility or in a private home pursuant to a subsidized adoption arrangement for whom the department has financial responsibility in whole or in part. </w:t>
      </w:r>
      <w:r>
        <w:rPr>
          <w:rFonts w:ascii="Times New Roman" w:hAnsi="Times New Roman"/>
          <w:b w:val="false"/>
          <w:i w:val="false"/>
          <w:color w:val="000000"/>
          <w:sz w:val="22"/>
        </w:rPr>
        <w:t xml:space="preserve">When Iowa is responsible for foster care payment for a child pursuant to Iowa Code section </w:t>
      </w:r>
      <w:hyperlink r:id="rId13">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 xml:space="preserve">(234) or has negotiated an adoption assistance agreement for a child pursuant to rule </w:t>
      </w:r>
      <w:hyperlink r:id="rId15">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medical assistance shall be available to the 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otherwise eligible under a category for which federal financial participation is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lives in another state and is not eligible for benefits from the other state pursuant to a program funded under Title XIX of the federal Social Security Act, notwithstanding the residency requirements of </w:t>
      </w:r>
      <w:hyperlink r:id="rId16">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17">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Individuals living in a court-approved subsidized guardianship home for whom the department has financial responsibility in whole or in part. </w:t>
      </w:r>
      <w:r>
        <w:rPr>
          <w:rFonts w:ascii="Times New Roman" w:hAnsi="Times New Roman"/>
          <w:b w:val="false"/>
          <w:i w:val="false"/>
          <w:color w:val="000000"/>
          <w:sz w:val="22"/>
        </w:rPr>
        <w:t xml:space="preserve">When Iowa is responsible for a subsidized guardianship payment for a child pursuant to </w:t>
      </w:r>
      <w:hyperlink r:id="rId18">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medical assistance will be available to the child under this subrule if the child is living in a court-approved subsidized guardianship home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eligible for medical assistance under a category for which federal financial participation is available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residency requirements of </w:t>
      </w:r>
      <w:hyperlink r:id="rId19">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20">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(249A), the child lives in another state and is not eligible for benefits from the other state pursuant to a program funded under Title XIX of the federal Social Security Act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Medical assistance will be available to individuals and families whose assistance grants were canceled as a result of the increase in social security benefits October 1, 1972, as long as these individuals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but for social security cost-of-living increases received. </w:t>
      </w:r>
      <w:r>
        <w:rPr>
          <w:rFonts w:ascii="Times New Roman" w:hAnsi="Times New Roman"/>
          <w:b w:val="false"/>
          <w:i w:val="false"/>
          <w:color w:val="000000"/>
          <w:sz w:val="22"/>
        </w:rPr>
        <w:t>Medical assistance shall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supplemental security income and social security or state supplementary assistance and social security,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supplemental security income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supplemental security income or state supplementary assistance if all of the social security cost-of-living increases which they and their financially responsible spouses, parents, and dependent children received since they were last eligible for and received social security and supplemental security income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Family medical assistance program (FMAP). </w:t>
      </w:r>
      <w:r>
        <w:rPr>
          <w:rFonts w:ascii="Times New Roman" w:hAnsi="Times New Roman"/>
          <w:b w:val="false"/>
          <w:i w:val="false"/>
          <w:color w:val="000000"/>
          <w:sz w:val="22"/>
        </w:rPr>
        <w:t xml:space="preserve">Medicaid shall be available to children who meet the provisions of rule </w:t>
      </w:r>
      <w:hyperlink r:id="rId21">
        <w:r>
          <w:rPr>
            <w:rStyle w:val="Hyperlink"/>
            <w:rFonts w:ascii="Times New Roman" w:hAnsi="Times New Roman"/>
            <w:b w:val="false"/>
            <w:i w:val="false"/>
            <w:color w:val="000000"/>
            <w:sz w:val="22"/>
          </w:rPr>
          <w:t>441—75.54</w:t>
        </w:r>
      </w:hyperlink>
      <w:r>
        <w:rPr>
          <w:rFonts w:ascii="Times New Roman" w:hAnsi="Times New Roman"/>
          <w:b w:val="false"/>
          <w:i w:val="false"/>
          <w:color w:val="000000"/>
          <w:sz w:val="22"/>
        </w:rPr>
        <w:t xml:space="preserve">(249A) and to the children’s specified relatives who meet the provisions of subrule </w:t>
      </w:r>
      <w:hyperlink r:id="rId22">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and rule </w:t>
      </w:r>
      <w:hyperlink r:id="rId23">
        <w:r>
          <w:rPr>
            <w:rStyle w:val="Hyperlink"/>
            <w:rFonts w:ascii="Times New Roman" w:hAnsi="Times New Roman"/>
            <w:b w:val="false"/>
            <w:i w:val="false"/>
            <w:color w:val="000000"/>
            <w:sz w:val="22"/>
          </w:rPr>
          <w:t>441—75.55</w:t>
        </w:r>
      </w:hyperlink>
      <w:r>
        <w:rPr>
          <w:rFonts w:ascii="Times New Roman" w:hAnsi="Times New Roman"/>
          <w:b w:val="false"/>
          <w:i w:val="false"/>
          <w:color w:val="000000"/>
          <w:sz w:val="22"/>
        </w:rPr>
        <w:t>(249A)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of specified relatives for this coverage group, resources are considered in accordance with the provisions of rule </w:t>
      </w:r>
      <w:hyperlink r:id="rId24">
        <w:r>
          <w:rPr>
            <w:rStyle w:val="Hyperlink"/>
            <w:rFonts w:ascii="Times New Roman" w:hAnsi="Times New Roman"/>
            <w:b w:val="false"/>
            <w:i w:val="false"/>
            <w:color w:val="000000"/>
            <w:sz w:val="22"/>
          </w:rPr>
          <w:t>441—75.56</w:t>
        </w:r>
      </w:hyperlink>
      <w:r>
        <w:rPr>
          <w:rFonts w:ascii="Times New Roman" w:hAnsi="Times New Roman"/>
          <w:b w:val="false"/>
          <w:i w:val="false"/>
          <w:color w:val="000000"/>
          <w:sz w:val="22"/>
        </w:rPr>
        <w:t>(249A) and shall not exceed $2,000 for applicant households or $5,000 for member households. In establishing eligibility for children for this coverage group, resources of all persons in the eligible group, regardless of age, shall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is considered in accordance with rule </w:t>
      </w:r>
      <w:hyperlink r:id="rId25">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and does not exceed needs standards established in rule </w:t>
      </w:r>
      <w:hyperlink r:id="rId26">
        <w:r>
          <w:rPr>
            <w:rStyle w:val="Hyperlink"/>
            <w:rFonts w:ascii="Times New Roman" w:hAnsi="Times New Roman"/>
            <w:b w:val="false"/>
            <w:i w:val="false"/>
            <w:color w:val="000000"/>
            <w:sz w:val="22"/>
          </w:rPr>
          <w:t>441—75.58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11/1/00</w:t>
      </w:r>
      <w:r>
        <w:rPr>
          <w:rFonts w:ascii="Times New Roman" w:hAnsi="Times New Roman"/>
          <w:b w:val="false"/>
          <w:i w:val="false"/>
          <w:color w:val="000000"/>
          <w:sz w:val="22"/>
        </w:rPr>
        <w:t>, effective 1/1/01.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75.1(15)</w:t>
      </w:r>
      <w:r>
        <w:rPr>
          <w:rFonts w:ascii="Times New Roman" w:hAnsi="Times New Roman"/>
          <w:b w:val="false"/>
          <w:i w:val="false"/>
          <w:color w:val="000000"/>
          <w:sz w:val="22"/>
        </w:rPr>
        <w:t> </w:t>
      </w:r>
      <w:r>
        <w:rPr>
          <w:rFonts w:ascii="Times New Roman" w:hAnsi="Times New Roman"/>
          <w:b w:val="false"/>
          <w:i/>
          <w:color w:val="000000"/>
          <w:sz w:val="22"/>
        </w:rPr>
        <w:t xml:space="preserve">Child medical assistance program (CMAP). </w:t>
      </w:r>
      <w:r>
        <w:rPr>
          <w:rFonts w:ascii="Times New Roman" w:hAnsi="Times New Roman"/>
          <w:b w:val="false"/>
          <w:i w:val="false"/>
          <w:color w:val="000000"/>
          <w:sz w:val="22"/>
        </w:rPr>
        <w:t>Medicaid shall be available to persons under the age of 21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eligibility shall be determined for the family size of which the child is a member using the income standards in effect for the family medical assistance program (FMAP) unless otherwise specified. Income shall be considered as provided in rule </w:t>
      </w:r>
      <w:hyperlink r:id="rId2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Additionally, the earned income disregards as provided in paragraphs 75.57(2)</w:t>
      </w:r>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shall be allowed for those persons whose income is considered in establishing eligibility for the persons under the age of 21 and whose needs must be included in accordance with paragraph </w:t>
      </w:r>
      <w:hyperlink r:id="rId28">
        <w:r>
          <w:rPr>
            <w:rStyle w:val="Hyperlink"/>
            <w:rFonts w:ascii="Times New Roman" w:hAnsi="Times New Roman"/>
            <w:b w:val="false"/>
            <w:i w:val="false"/>
            <w:color w:val="000000"/>
            <w:sz w:val="22"/>
          </w:rPr>
          <w:t>75.58(1)</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who are not eligible for Medicaid. Resources of all persons in the eligible group, regardless of age, shall be disregarded. Unless a family member is voluntarily excluded in accordance with the provisions of rule </w:t>
      </w:r>
      <w:hyperlink r:id="rId29">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family size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under the age of 21 is pregnant and the pregnancy has been verified in accordance with rule </w:t>
      </w:r>
      <w:hyperlink r:id="rId30">
        <w:r>
          <w:rPr>
            <w:rStyle w:val="Hyperlink"/>
            <w:rFonts w:ascii="Times New Roman" w:hAnsi="Times New Roman"/>
            <w:b w:val="false"/>
            <w:i w:val="false"/>
            <w:color w:val="000000"/>
            <w:sz w:val="22"/>
          </w:rPr>
          <w:t>441—75.17</w:t>
        </w:r>
      </w:hyperlink>
      <w:r>
        <w:rPr>
          <w:rFonts w:ascii="Times New Roman" w:hAnsi="Times New Roman"/>
          <w:b w:val="false"/>
          <w:i w:val="false"/>
          <w:color w:val="000000"/>
          <w:sz w:val="22"/>
        </w:rPr>
        <w:t>(249A), the unborn child (or children if more than one) is considered a member of the family for purposes of establishing the number of persons in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“man-in-the-house” who is not married to the mother of the unborn child is not considered a member of the unborn child’s family for the purpose of establishing the number of persons in the family. His income and resources are not automatically considered, regardless of whether or not he is the legal or natural father of the unborn child. However, income and resources made available to the mother of the unborn child by the “man-in-the-house” shall be considered in determining eligibility for the pregnant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specified, when the person under the age of 21 is living with a parent(s), the family size shall consist of all family members as defined by the family medical assistance program in accordance with paragraph </w:t>
      </w:r>
      <w:hyperlink r:id="rId31">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subrule </w:t>
      </w:r>
      <w:hyperlink r:id="rId32">
        <w:r>
          <w:rPr>
            <w:rStyle w:val="Hyperlink"/>
            <w:rFonts w:ascii="Times New Roman" w:hAnsi="Times New Roman"/>
            <w:b w:val="false"/>
            <w:i w:val="false"/>
            <w:color w:val="000000"/>
            <w:sz w:val="22"/>
          </w:rPr>
          <w:t>75.58(1)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Application for Medicaid shall be made by the parent(s) when the person is residing with them. A person shall be considered to be living with the parent(s) when the person is temporarily absent from the parent’s(s’) home as defined in subrule </w:t>
      </w:r>
      <w:hyperlink r:id="rId33">
        <w:r>
          <w:rPr>
            <w:rStyle w:val="Hyperlink"/>
            <w:rFonts w:ascii="Times New Roman" w:hAnsi="Times New Roman"/>
            <w:b w:val="false"/>
            <w:i w:val="false"/>
            <w:color w:val="000000"/>
            <w:sz w:val="22"/>
          </w:rPr>
          <w:t>75.53(4)</w:t>
        </w:r>
      </w:hyperlink>
      <w:r>
        <w:rPr>
          <w:rFonts w:ascii="Times New Roman" w:hAnsi="Times New Roman"/>
          <w:b w:val="false"/>
          <w:i w:val="false"/>
          <w:color w:val="000000"/>
          <w:sz w:val="22"/>
        </w:rPr>
        <w:t>. If the person under the age of 21 is married or has been married, the needs, income and resources of the person’s parent(s) and any siblings in the home shall not be considered in the eligibility determination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is living with a spouse the family size shall consist of that person, the spouse and any of their children, including any unborn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Siblings under the age of 21 who live together shall be considered in the same filing unit for the purpose of establishing eligibility under this rule unless one sibling is married or has been married, in which case, the married sibling shall be considered separately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is residing in a household in which some members are receiving FMAP under the provisions of subrule </w:t>
      </w:r>
      <w:hyperlink r:id="rId34">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or MAC under the provisions of subrule </w:t>
      </w:r>
      <w:hyperlink r:id="rId35">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and when the person is not included in the FMAP or MAC eligible group, the family size shall consist of the person and all other family members as defined above except those in the FMAP or MAC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11/1/89.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11/1/89</w:t>
      </w:r>
      <w:r>
        <w:rPr>
          <w:rFonts w:ascii="Times New Roman" w:hAnsi="Times New Roman"/>
          <w:b w:val="false"/>
          <w:i w:val="false"/>
          <w:color w:val="000000"/>
          <w:sz w:val="22"/>
        </w:rPr>
        <w:t>, effective 1/1/90.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is eligible for the entire month in which the person’s twenty-first birthday occurs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specified relative as provided in subrule </w:t>
      </w:r>
      <w:hyperlink r:id="rId36">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shall not be considered when determining eligibility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75.1(16)</w:t>
      </w:r>
      <w:r>
        <w:rPr>
          <w:rFonts w:ascii="Times New Roman" w:hAnsi="Times New Roman"/>
          <w:b w:val="false"/>
          <w:i w:val="false"/>
          <w:color w:val="000000"/>
          <w:sz w:val="22"/>
        </w:rPr>
        <w:t> </w:t>
      </w:r>
      <w:r>
        <w:rPr>
          <w:rFonts w:ascii="Times New Roman" w:hAnsi="Times New Roman"/>
          <w:b w:val="false"/>
          <w:i/>
          <w:color w:val="000000"/>
          <w:sz w:val="22"/>
        </w:rPr>
        <w:t xml:space="preserve">Children receiving subsidized adoption payments from states providing reciprocal medical assistance benefits. </w:t>
      </w:r>
      <w:r>
        <w:rPr>
          <w:rFonts w:ascii="Times New Roman" w:hAnsi="Times New Roman"/>
          <w:b w:val="false"/>
          <w:i w:val="false"/>
          <w:color w:val="000000"/>
          <w:sz w:val="22"/>
        </w:rPr>
        <w:t>Medical assistance shall be available to children under the age of 21 for whom an adoption assistance agreement with another state is in effect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residing in Iowa in a private home with the child’s adoptive parent or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Benefits funded under Title IV-E of the Social Security Act are not being paid for the child by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currently has an adoption assistance agreement in effect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with the adoption assistance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the interstate compact on adoption and medical assistance (ICAMA);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medical assistance benefits pursuant to a program funded under Title XIX of the Social Security Act, under the optional group at Section 1902(a)(10)(A)(ii)(VIII) of the Act, to children residing in that state (at least until age 18) for whom there is a state adoption assistance agreement in effect with the state of Iowa other than under Title IV-E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75.1(17)</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the cash assistance programs. </w:t>
      </w:r>
      <w:r>
        <w:rPr>
          <w:rFonts w:ascii="Times New Roman" w:hAnsi="Times New Roman"/>
          <w:b w:val="false"/>
          <w:i w:val="false"/>
          <w:color w:val="000000"/>
          <w:sz w:val="22"/>
        </w:rPr>
        <w:t>Medicaid shall be available to the following persons who meet the income and resource guidelines of supplemental security income or refugee cash assistance, but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at subrule </w:t>
      </w:r>
      <w:hyperlink r:id="rId37">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defined at rule </w:t>
      </w:r>
      <w:hyperlink r:id="rId38">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In establishing eligibility for children for this coverage group based on eligibility for SSI, resources of all persons in the eligible group, regardless of age, shall be disregarded. In establishing eligibility for adults for this coverage group, resources shall be considered as provided for SSI-related coverage groups under subrule </w:t>
      </w:r>
      <w:hyperlink r:id="rId39">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 xml:space="preserve"> or as under refugee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shall be available to recipients of waiver services as defined in </w:t>
      </w:r>
      <w:hyperlink r:id="rId4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75.1(19)</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terminated from aid to dependent children (ADC) prior to April 1, 1990, due to discontinuance of the $30 or the $30 and one-third earned income disregards.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6/12/91</w:t>
      </w:r>
      <w:r>
        <w:rPr>
          <w:rFonts w:ascii="Times New Roman" w:hAnsi="Times New Roman"/>
          <w:b w:val="false"/>
          <w:i w:val="false"/>
          <w:color w:val="000000"/>
          <w:sz w:val="22"/>
        </w:rPr>
        <w:t>, effective 8/1/91.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75.1(20)</w:t>
      </w:r>
      <w:r>
        <w:rPr>
          <w:rFonts w:ascii="Times New Roman" w:hAnsi="Times New Roman"/>
          <w:b w:val="false"/>
          <w:i w:val="false"/>
          <w:color w:val="000000"/>
          <w:sz w:val="22"/>
        </w:rPr>
        <w:t> </w:t>
      </w:r>
      <w:r>
        <w:rPr>
          <w:rFonts w:ascii="Times New Roman" w:hAnsi="Times New Roman"/>
          <w:b w:val="false"/>
          <w:i/>
          <w:color w:val="000000"/>
          <w:sz w:val="22"/>
        </w:rPr>
        <w:t xml:space="preserve">Newborn children. </w:t>
      </w:r>
      <w:r>
        <w:rPr>
          <w:rFonts w:ascii="Times New Roman" w:hAnsi="Times New Roman"/>
          <w:b w:val="false"/>
          <w:i w:val="false"/>
          <w:color w:val="000000"/>
          <w:sz w:val="22"/>
        </w:rPr>
        <w:t>Medicaid shall be available without an application to newborn children of women who are determined eligible for Medicaid for the month of the child’s birth or for three-day emergency services for labor and delivery for the child’s birth. Effective April 1, 2009, eligibility begins with the month of the birth and continues through the month of the first birthday as long as the child remains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any written or verbal statement as verification of the newborn’s birth date unless the birth date is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Medicaid to continue after the month of the first birthday, a redetermination of eligibility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ineligible for the family medical assistance program (FMAP) in whole or in part because of child or spousal support. </w:t>
      </w:r>
      <w:r>
        <w:rPr>
          <w:rFonts w:ascii="Times New Roman" w:hAnsi="Times New Roman"/>
          <w:b w:val="false"/>
          <w:i w:val="false"/>
          <w:color w:val="000000"/>
          <w:sz w:val="22"/>
        </w:rPr>
        <w:t>Medicaid shall be available for an additional four months to persons and families who become ineligible for FMAP because of income from child support, alimony, or contributions from a spouse if the person or family member received FMAP in at least three of the six months immediately preceding the month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four months of extended Medicaid coverage begin the day following termination of FMAP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ineligibility is determined to occur retroactively, the extended Medicaid coverage begins with the first month in which FMAP eligibility was erroneously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10/11/95</w:t>
      </w:r>
      <w:r>
        <w:rPr>
          <w:rFonts w:ascii="Times New Roman" w:hAnsi="Times New Roman"/>
          <w:b w:val="false"/>
          <w:i w:val="false"/>
          <w:color w:val="000000"/>
          <w:sz w:val="22"/>
        </w:rPr>
        <w:t>, effective 10/1/95.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Refugee spenddown participants.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10/11/95</w:t>
      </w:r>
      <w:r>
        <w:rPr>
          <w:rFonts w:ascii="Times New Roman" w:hAnsi="Times New Roman"/>
          <w:b w:val="false"/>
          <w:i w:val="false"/>
          <w:color w:val="000000"/>
          <w:sz w:val="22"/>
        </w:rPr>
        <w:t>, effective 10/1/95.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Medical assistance shall be available to all current social security recipients who meet the following conditions.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Were eligible for and received a widow’s or widower’s disability benefit and supplemental security income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Became ineligible for supplemental security income or state supplementary assistance because of an increase in their widow’s or widower’s benefit which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continuously eligible for a widow’s or widower’s benefit from the first month the increase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Would be eligible for supplemental security income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an application prior to July 1, 1988, on Form 470-0442, Application for Medical Assistance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75.1(24)</w:t>
      </w:r>
      <w:r>
        <w:rPr>
          <w:rFonts w:ascii="Times New Roman" w:hAnsi="Times New Roman"/>
          <w:b w:val="false"/>
          <w:i w:val="false"/>
          <w:color w:val="000000"/>
          <w:sz w:val="22"/>
        </w:rPr>
        <w:t> </w:t>
      </w:r>
      <w:r>
        <w:rPr>
          <w:rFonts w:ascii="Times New Roman" w:hAnsi="Times New Roman"/>
          <w:b w:val="false"/>
          <w:i/>
          <w:color w:val="000000"/>
          <w:sz w:val="22"/>
        </w:rPr>
        <w:t xml:space="preserve">Postpartum eligibility for pregnant women. </w:t>
      </w:r>
      <w:r>
        <w:rPr>
          <w:rFonts w:ascii="Times New Roman" w:hAnsi="Times New Roman"/>
          <w:b w:val="false"/>
          <w:i w:val="false"/>
          <w:color w:val="000000"/>
          <w:sz w:val="22"/>
        </w:rPr>
        <w:t>Medicaid shall continue to be available, without an application, for 60 days beginning with the last day of pregnancy and throughout the remaining days of the month in which the 60-day period ends, to a woman who had applied for Medicaid prior to the end of her pregnancy and was subsequently determined eligible for Medicaid for the month in which the pregnancy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Postpartum Medicaid shall only be available to a woman who is not eligible for another coverage group after the pregnancy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shall not be required to meet any income or resource criteria during the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sixtieth day is not on the last day of the month the woman shall be eligible for Medicaid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75.1(25)</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except that they receive child’s social security benefits based on disability. </w:t>
      </w:r>
      <w:r>
        <w:rPr>
          <w:rFonts w:ascii="Times New Roman" w:hAnsi="Times New Roman"/>
          <w:b w:val="false"/>
          <w:i w:val="false"/>
          <w:color w:val="000000"/>
          <w:sz w:val="22"/>
        </w:rPr>
        <w:t>Medical assistance shall be available to persons who receive supplemental security income (SSI) or state supplementary assistance (SSA) after their eighteenth birthday because of a disability or blindness which began before age 22 and who would continue to receive SSI or SSA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75.1(27)</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supplemental security income or state supplementary assistance because of the receipt of social security benefits. </w:t>
      </w:r>
      <w:r>
        <w:rPr>
          <w:rFonts w:ascii="Times New Roman" w:hAnsi="Times New Roman"/>
          <w:b w:val="false"/>
          <w:i w:val="false"/>
          <w:color w:val="000000"/>
          <w:sz w:val="22"/>
        </w:rPr>
        <w:t>Medicaid shall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supplemental security income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4/11/91.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supplemental security income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75.1(28)</w:t>
      </w:r>
      <w:r>
        <w:rPr>
          <w:rFonts w:ascii="Times New Roman" w:hAnsi="Times New Roman"/>
          <w:b w:val="false"/>
          <w:i w:val="false"/>
          <w:color w:val="000000"/>
          <w:sz w:val="22"/>
        </w:rPr>
        <w:t> </w:t>
      </w:r>
      <w:r>
        <w:rPr>
          <w:rFonts w:ascii="Times New Roman" w:hAnsi="Times New Roman"/>
          <w:b w:val="false"/>
          <w:i/>
          <w:color w:val="000000"/>
          <w:sz w:val="22"/>
        </w:rPr>
        <w:t xml:space="preserve">Pregnant women, infants and children (Mothers and Children (MAC)). </w:t>
      </w:r>
      <w:r>
        <w:rPr>
          <w:rFonts w:ascii="Times New Roman" w:hAnsi="Times New Roman"/>
          <w:b w:val="false"/>
          <w:i w:val="false"/>
          <w:color w:val="000000"/>
          <w:sz w:val="22"/>
        </w:rPr>
        <w:t>Medicaid shall be available to all pregnant women, infants (under one year of age) and children who have not attained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income shall not exceed 300 percent of the federal poverty level for pregnant women and for infants (under one year of age). Family income shall not exceed 133 percent of the federal poverty level for children who have attained one year of age but who have not attained 19 years of age. Income to be considered in determining eligibility for pregnant women, infants, and children shall be determined according to family medical assistance program (FMAP) methodologies except that the three-step process for determining initial eligibility and the two-step process for determining ongoing eligibility, as described at rule </w:t>
      </w:r>
      <w:hyperlink r:id="rId41">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shall not apply. “Family income” is the income remaining after disregards and deductions have been applied as provided in rule </w:t>
      </w:r>
      <w:hyperlink r:id="rId42">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Moneys received as a lump sum, except as specified in subrules </w:t>
      </w:r>
      <w:hyperlink r:id="rId43">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75.56(7)</w:t>
        </w:r>
      </w:hyperlink>
      <w:r>
        <w:rPr>
          <w:rFonts w:ascii="Times New Roman" w:hAnsi="Times New Roman"/>
          <w:b w:val="false"/>
          <w:i w:val="false"/>
          <w:color w:val="000000"/>
          <w:sz w:val="22"/>
        </w:rPr>
        <w:t xml:space="preserve"> and paragraphs </w:t>
      </w:r>
      <w:hyperlink r:id="rId45">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treated in accordance with paragraphs </w:t>
      </w:r>
      <w:hyperlink r:id="rId47">
        <w:r>
          <w:rPr>
            <w:rStyle w:val="Hyperlink"/>
            <w:rFonts w:ascii="Times New Roman" w:hAnsi="Times New Roman"/>
            <w:b w:val="false"/>
            <w:i w:val="false"/>
            <w:color w:val="000000"/>
            <w:sz w:val="22"/>
          </w:rPr>
          <w:t>75.57(9)</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when the person under the age of 19 is living with a parent or parents, the family size shall consist of all family members as defined by the family medical assistance program.</w:t>
      </w:r>
    </w:p>
    <w:p>
      <w:pPr>
        <w:spacing w:before="0" w:after="0"/>
        <w:ind w:left="120"/>
        <w:jc w:val="both"/>
      </w:pPr>
      <w:r>
        <w:rPr>
          <w:rFonts w:ascii="Times New Roman" w:hAnsi="Times New Roman"/>
          <w:b w:val="false"/>
          <w:i w:val="false"/>
          <w:color w:val="000000"/>
          <w:sz w:val="22"/>
        </w:rPr>
        <w:t xml:space="preserve">Application for Medicaid shall be made by the parents when the person is residing with them. A person shall be considered to be living with the parents when the person is temporarily absent from the parent’s home as defined in subrule </w:t>
      </w:r>
      <w:hyperlink r:id="rId49">
        <w:r>
          <w:rPr>
            <w:rStyle w:val="Hyperlink"/>
            <w:rFonts w:ascii="Times New Roman" w:hAnsi="Times New Roman"/>
            <w:b w:val="false"/>
            <w:i w:val="false"/>
            <w:color w:val="000000"/>
            <w:sz w:val="22"/>
          </w:rPr>
          <w:t>75.53(4)</w:t>
        </w:r>
      </w:hyperlink>
      <w:r>
        <w:rPr>
          <w:rFonts w:ascii="Times New Roman" w:hAnsi="Times New Roman"/>
          <w:b w:val="false"/>
          <w:i w:val="false"/>
          <w:color w:val="000000"/>
          <w:sz w:val="22"/>
        </w:rPr>
        <w:t>. If the person under the age of 19 is married or has been married, the needs, income and resources of the person’s parents and any siblings in the home shall not be considered in the eligibility determination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under the age of 19 is living with a spouse, the family size shall consist of that person, the spouse, and any of their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Siblings under the age of 19 who live together shall be considered in the same filing unit for the purpose of establishing eligibility under this subrule unless one sibling is married or has been married, in which case the married sibling shall be considered separately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pregnant women, resources shall not exceed $10,000 per household. In establishing eligibility for infants and children for this coverage group, resources of all persons in the eligible group, regardless of age, shall be disregarded. In establishing eligibility for pregnant women for this coverage group, resources shall be considered in accordance with department of public health </w:t>
      </w:r>
      <w:hyperlink r:id="rId50">
        <w:r>
          <w:rPr>
            <w:rStyle w:val="Hyperlink"/>
            <w:rFonts w:ascii="Times New Roman" w:hAnsi="Times New Roman"/>
            <w:b w:val="false"/>
            <w:i w:val="false"/>
            <w:color w:val="000000"/>
            <w:sz w:val="22"/>
          </w:rPr>
          <w:t>641—subrule 75.4(2)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11/1/89.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pregnant women under this rule shall begin no earlier than the first day of the month in which conception occurred and in accordance with </w:t>
      </w:r>
      <w:hyperlink r:id="rId51">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unborn child (children if more than one fetus exists) shall be considered when determining the number of persons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infant shall be eligible through the month of the first birthday unless the birthday falls on the first day of the month. A child shall be eligible through the month of the nineteenth birthday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11/1/89</w:t>
      </w:r>
      <w:r>
        <w:rPr>
          <w:rFonts w:ascii="Times New Roman" w:hAnsi="Times New Roman"/>
          <w:b w:val="false"/>
          <w:i w:val="false"/>
          <w:color w:val="000000"/>
          <w:sz w:val="22"/>
        </w:rPr>
        <w:t>, effective 1/1/90.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eligibility under this coverage group, living with a specified relative as specified at subrule </w:t>
      </w:r>
      <w:hyperlink r:id="rId52">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and the student provisions specified in subrule </w:t>
      </w:r>
      <w:hyperlink r:id="rId53">
        <w:r>
          <w:rPr>
            <w:rStyle w:val="Hyperlink"/>
            <w:rFonts w:ascii="Times New Roman" w:hAnsi="Times New Roman"/>
            <w:b w:val="false"/>
            <w:i w:val="false"/>
            <w:color w:val="000000"/>
            <w:sz w:val="22"/>
          </w:rPr>
          <w:t>75.54(1)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who had applied for Medicaid prior to the end of her pregnancy and was subsequently determined eligible for assistance under this coverage group for the month in which her pregnancy ended shall be entitled to receive Medicaid through the postpartum period in accordance with subrule </w:t>
      </w:r>
      <w:hyperlink r:id="rId5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an infant loses eligibility under this coverage group at the time of the first birthday due to an inability to meet the income limit for children or if a child loses eligibility at the time of the nineteenth birthday, but the infant or child is receiving inpatient services in a medical institution, Medicaid shall continue under this coverage group for the duration of the time continuous inpatient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75.1(29)</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entitled to hospital insurance benefits under Part A of Medicare (Qualified Medicare Beneficiary program). </w:t>
      </w:r>
      <w:r>
        <w:rPr>
          <w:rFonts w:ascii="Times New Roman" w:hAnsi="Times New Roman"/>
          <w:b w:val="false"/>
          <w:i w:val="false"/>
          <w:color w:val="000000"/>
          <w:sz w:val="22"/>
        </w:rPr>
        <w:t>Medicaid shall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income shall be determined as under the federal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shall not include any amount of social security income attributable to the cost-of-living increase through the month following the month in which the annual revision of the official poverty line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person’s resources do not exceed the maximum amount of resources that a person may have to obtain the full low-income subsidy for Medicare Part D drug benefits. The amount of resources shall be determined as under the SSI program unless the person lives and is expected to live at least 30 consecutive days in a medical institution and has a spouse at home. Then the resource determination shall be made according to subrules </w:t>
      </w:r>
      <w:hyperlink r:id="rId55">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75.1(30)</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pregnant women. </w:t>
      </w:r>
      <w:r>
        <w:rPr>
          <w:rFonts w:ascii="Times New Roman" w:hAnsi="Times New Roman"/>
          <w:b w:val="false"/>
          <w:i w:val="false"/>
          <w:color w:val="000000"/>
          <w:sz w:val="22"/>
        </w:rPr>
        <w:t>A pregnant woman who is determined by a qualified provider to be presumptively eligible for Medicaid, based only on her statements regarding family income, shall be eligible for ambulatory prenatal care. Eligibility shall continue until the last day of the month following the month of the presumptive eligibility determination unless the pregnant woman is determined to be ineligible for Medicaid during this period based on a Medicaid application filed either before the presumptive eligibility determination or during this period. In this case, presumptive eligibility shall end on the date Medicaid ineligibility is determined. A pregnant woman who files a Medicaid application but withdraws that application before eligibility is determined has not been determined ineligible for Medicaid. The pregnant woman shall complete Form 470-2927 or 470-2927(S), Health Services Application, in order for the qualified provider to make the presumptive eligibility determination. The qualified provider shall complete Form 470-2629, Presumptive Medicaid Income Calculation, in order to establish that the pregnant woman’s family income is within the prescribed limits of the Medicaid program.</w:t>
      </w:r>
    </w:p>
    <w:p>
      <w:pPr>
        <w:spacing w:before="0" w:after="0"/>
        <w:ind w:left="120"/>
        <w:jc w:val="both"/>
      </w:pPr>
      <w:r>
        <w:rPr>
          <w:rFonts w:ascii="Times New Roman" w:hAnsi="Times New Roman"/>
          <w:b w:val="false"/>
          <w:i w:val="false"/>
          <w:color w:val="000000"/>
          <w:sz w:val="22"/>
        </w:rPr>
        <w:t xml:space="preserve">If the pregnant woman files a Medicaid application in accordance with rule </w:t>
      </w:r>
      <w:hyperlink r:id="rId57">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 Medicaid shall continue until a decision of ineligibility is made on the application. Payment of claims for ambulatory prenatal care services provided to a pregnant woman under this subrule is not dependent upon a finding of Medicaid eligibility for the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provider is defined as a provider who is eligible for payment under the Medicaid program and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one or more of the following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Outpatient hospital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Rural health clinic services (if contained in the state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Clinic services furnished by or under the direction of a physician, without regard to whether the clinic itself is administered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specifically designated by the department in writing as a qualified provider for the purposes of determining presumptive eligibility on the basis of the department’s determination that the provider is capable of making a presumptive eligibility determination based on family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funds under the Migrant Health Centers or Community Health Centers (subsection 329 or subsection 330 of the Public Health Service Act) or the Maternal and Child Health Services Block Grant Programs (Title V of the Social Security Act) or the Health Services for Urban Indians Program (Title V of the Indian Health Care Improvement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Participates in the program established under the Special Supplemental Food Program for Women, Infants, and Children (subsection 17 of the Child Nutrition Act of 1966) or the Commodity Supplemental Food Program (subsection 4(a) of the Agriculture and Consumer Protection Act of 1973).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Participates in a state perinatal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an Indian health service office or a health program or facility operated by a tribe or tribal organization under the Indian Self-Determination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Form 470-2579, Application for Authorization to Make Presumptive Medicaid Eligibility Determinations, and submit it to the department for approval in order to become certified as a provider qualified to make presumptive eligibility determinations. Once the provider has been approved as a provider qualified to make presumptive Medicaid eligibility determinations, Form 470-2582, Memorandum of Understanding Between the Iowa Department of Human Services and a Qualified Provider, shall be signed by the provider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qualified provider has made a presumptive eligibility determination for a pregnant woman,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to obtain a state identification number for the pregnant woman who has been determined presumptively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the determination within five working days after the date the presumptive determination is made. A copy of the Presumptive Medicaid Eligibility Notice of Decision, Form 470-2580 or 470-2580(S), shall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pregnant woman in writing, at the time the determination is made, that if she chose not to apply for Medicaid on the Health Services Application, Form 470-2927 or 470-2927(S), she has until the last day of the month following the month of the preliminary determination to file an application with the department. A Presumptive Medicaid Eligibility Notice of Decision, Form 470-2580, shall be issued by the qualified provider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Forward copies of the Health Services Application, Form 470-2927 or 470-2927(S), to the appropriate offices for eligibility determinations if the pregnant woman indicated on the application that she was applying for any of the other programs listed on the application. These copies shall be forwarded within two working days from the date of the presumptive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a pregnant woman needing prenatal care does not appear to be presumptively eligible, the qualified provider shall inform the pregnant woman that she may file an application at the local department office if she wishes to have a formal determination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Presumptive eligibility shall end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woman fails to file an application for Medicaid in accordance with rule </w:t>
      </w:r>
      <w:hyperlink r:id="rId58">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woman files a Medicaid application by the last day of the month following the month of the presumptive eligibility determination and has been found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7/1/91.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adequate and timely notice requirements and appeal rights associated with an application that is filed pursuant to rule </w:t>
      </w:r>
      <w:hyperlink r:id="rId59">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shall apply to an eligibility determination made on the Medicaid application. However, notice requirements and appeal rights of the Medicaid program shall not apply to a woman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Issued a presumptive eligibility decision by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Determined to be presumptively eligible by a qualified provider and whose presumptive eligibility ends because the woman fails to file an application by the last day of the month following the month of the initial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7/1/91.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woman shall not be determined to be presumptively eligible for Medicaid more than once per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canceled from the family medical assistance program (FMAP) due to the increased earnings of the specified relative in the eligible group. </w:t>
      </w:r>
      <w:r>
        <w:rPr>
          <w:rFonts w:ascii="Times New Roman" w:hAnsi="Times New Roman"/>
          <w:b w:val="false"/>
          <w:i w:val="false"/>
          <w:color w:val="000000"/>
          <w:sz w:val="22"/>
        </w:rPr>
        <w:t xml:space="preserve">Medicaid shall be available for a period of up to 12 additional months to families who are canceled from FMAP as provided in subrule </w:t>
      </w:r>
      <w:hyperlink r:id="rId60">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because the specified relative of a dependent child receives increased income from employment.</w:t>
      </w:r>
    </w:p>
    <w:p>
      <w:pPr>
        <w:spacing w:before="0" w:after="0"/>
        <w:ind w:left="120"/>
        <w:jc w:val="both"/>
      </w:pPr>
      <w:r>
        <w:rPr>
          <w:rFonts w:ascii="Times New Roman" w:hAnsi="Times New Roman"/>
          <w:b w:val="false"/>
          <w:i w:val="false"/>
          <w:color w:val="000000"/>
          <w:sz w:val="22"/>
        </w:rPr>
        <w:t>For the purposes of this subrule, “family” shall mean individuals living in the household whose needs and income were included in determining the FMAP eligibility of the household members at the time that the FMAP benefits were terminated. “Family” also includes those individuals whose needs and income would be taken into account in determining the FMAP eligibility of household members if the household were applying in the current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Increased income from employment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Increased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receive transitional Medicaid coverage under these provisions, an FMAP family must have received FMAP during at least three of the six months immediately preceding the month in which ineligibility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12 months’ Medicaid transitional coverage begins the day following termination of FMAP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ineligibility is determined to occur retroactively, the transitional Medicaid coverage begins with the first month in which FMAP eligibility was erroneously granted, unless the provisions of paragraph </w:t>
      </w:r>
      <w:r>
        <w:rPr>
          <w:rFonts w:ascii="Times New Roman" w:hAnsi="Times New Roman"/>
          <w:b w:val="false"/>
          <w:i/>
          <w:color w:val="000000"/>
          <w:sz w:val="22"/>
        </w:rPr>
        <w:t>“f”</w:t>
      </w:r>
      <w:r>
        <w:rPr>
          <w:rFonts w:ascii="Times New Roman" w:hAnsi="Times New Roman"/>
          <w:b w:val="false"/>
          <w:i w:val="false"/>
          <w:color w:val="000000"/>
          <w:sz w:val="22"/>
        </w:rPr>
        <w:t xml:space="preserve"> below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8/12/98</w:t>
      </w:r>
      <w:r>
        <w:rPr>
          <w:rFonts w:ascii="Times New Roman" w:hAnsi="Times New Roman"/>
          <w:b w:val="false"/>
          <w:i w:val="false"/>
          <w:color w:val="000000"/>
          <w:sz w:val="22"/>
        </w:rPr>
        <w:t>, effective 10/1/98.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Medicaid shall not be allowed under these provisions when it has been determined that the member received FMAP in any of the six months immediately preceding the month of cancellation as the result of fraud. Fraud shall be defined in accordance with Iowa Code Supplement section </w:t>
      </w:r>
      <w:hyperlink r:id="rId61">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During the transitional Medicaid period, assistance shall be terminated at the end of the first month in which the eligible group ceases to include a child, as defined by the family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family receives transitional Medicaid coverage during the entire initial six-month period and the department has received, by the twenty-first day of the fourth month, a complete Notice of Decision/Quarterly Income Report, Form 470-2663 or 470-2663(S), Medicaid shall continue for an additional six months, subject to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department does not receive a completed form by the twenty-first day of the fourth month, assistance shall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form is one that has all items answered, is signed, is dated, and is accompanied by verification as required in paragraphs </w:t>
      </w:r>
      <w:hyperlink r:id="rId62">
        <w:r>
          <w:rPr>
            <w:rStyle w:val="Hyperlink"/>
            <w:rFonts w:ascii="Times New Roman" w:hAnsi="Times New Roman"/>
            <w:b w:val="false"/>
            <w:i w:val="false"/>
            <w:color w:val="000000"/>
            <w:sz w:val="22"/>
          </w:rPr>
          <w:t>75.57(1)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75.57(2)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Medicaid shall end at the close of the first or fourth month of the additional six-month period if any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does not receive a complete Notice of Decision/Quarterly Income Report, Form 470-2663 or 470-2663(S), by the twenty-first day of the first month or the fourth month of the additional six-month period as required in paragraph </w:t>
      </w:r>
      <w:hyperlink r:id="rId64">
        <w:r>
          <w:rPr>
            <w:rStyle w:val="Hyperlink"/>
            <w:rFonts w:ascii="Times New Roman" w:hAnsi="Times New Roman"/>
            <w:b w:val="false"/>
            <w:i w:val="false"/>
            <w:color w:val="000000"/>
            <w:sz w:val="22"/>
          </w:rPr>
          <w:t>75.1(31)</w:t>
        </w:r>
        <w:r>
          <w:rPr>
            <w:rFonts w:ascii="Times New Roman" w:hAnsi="Times New Roman"/>
            <w:b w:val="false"/>
            <w:i/>
            <w:color w:val="000000"/>
            <w:sz w:val="22"/>
          </w:rPr>
          <w:t>“h,”</w:t>
        </w:r>
      </w:hyperlink>
      <w:r>
        <w:rPr>
          <w:rFonts w:ascii="Times New Roman" w:hAnsi="Times New Roman"/>
          <w:b w:val="false"/>
          <w:i w:val="false"/>
          <w:color w:val="000000"/>
          <w:sz w:val="22"/>
        </w:rPr>
        <w:t xml:space="preserve"> unless the family establishes good cause for failure to report on a timely basis. Good cause shall be established when the family demonstrates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someone in the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family offers a good cause beyond the family’s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notification for a reason not attributable to the family. Lack of a forwarding address is attributable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specified relative had no earnings in one or more of the previous three months, unless the lack of earnings was due to an involuntary loss of employment, illness, or there were instances when problems could negatively impact the client’s achievement of self-sufficiency as described at </w:t>
      </w:r>
      <w:hyperlink r:id="rId65">
        <w:r>
          <w:rPr>
            <w:rStyle w:val="Hyperlink"/>
            <w:rFonts w:ascii="Times New Roman" w:hAnsi="Times New Roman"/>
            <w:b w:val="false"/>
            <w:i w:val="false"/>
            <w:color w:val="000000"/>
            <w:sz w:val="22"/>
          </w:rPr>
          <w:t>441—subrule 93.133(4)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family’s average gross earned income, minus child care expenses for the children in the eligible group necessary for the employment of the specified relative, during the immediately preceding three-month period exceeds 185 percent of the federal poverty level as defined by the United States Office of Management and Budget and revised annually in accordance with Section 673(2) of the Omnibus Budget Reconciliation Act of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provisions apply to specified relatives defined at paragraph </w:t>
      </w:r>
      <w:hyperlink r:id="rId66">
        <w:r>
          <w:rPr>
            <w:rStyle w:val="Hyperlink"/>
            <w:rFonts w:ascii="Times New Roman" w:hAnsi="Times New Roman"/>
            <w:b w:val="false"/>
            <w:i w:val="false"/>
            <w:color w:val="000000"/>
            <w:sz w:val="22"/>
          </w:rPr>
          <w:t>75.55(1)</w:t>
        </w:r>
        <w:r>
          <w:rPr>
            <w:rFonts w:ascii="Times New Roman" w:hAnsi="Times New Roman"/>
            <w:b w:val="false"/>
            <w:i/>
            <w:color w:val="000000"/>
            <w:sz w:val="22"/>
          </w:rPr>
          <w:t>“a,”</w:t>
        </w:r>
      </w:hyperlink>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parent who is in the home. This includes parents who are included in the eligible group as well as those who are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stepparent who is included in the eligible group and who has assumed the role of the caretaker relative due to the absence or incapacity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needy specified relative who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timely notice requirements as provided in </w:t>
      </w:r>
      <w:hyperlink r:id="rId67">
        <w:r>
          <w:rPr>
            <w:rStyle w:val="Hyperlink"/>
            <w:rFonts w:ascii="Times New Roman" w:hAnsi="Times New Roman"/>
            <w:b w:val="false"/>
            <w:i w:val="false"/>
            <w:color w:val="000000"/>
            <w:sz w:val="22"/>
          </w:rPr>
          <w:t>441—subrule 76.4(1)</w:t>
        </w:r>
      </w:hyperlink>
      <w:r>
        <w:rPr>
          <w:rFonts w:ascii="Times New Roman" w:hAnsi="Times New Roman"/>
          <w:b w:val="false"/>
          <w:i w:val="false"/>
          <w:color w:val="000000"/>
          <w:sz w:val="22"/>
        </w:rPr>
        <w:t xml:space="preserve"> shall not apply when it is determined that the family failed to meet the eligibility criteria specified in paragraph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above. Transitional Medicaid shall be terminated beginning with the first month following the month in which the family no longer met the eligibility criteria. An adequate notice shall be provided to the family when any adverse action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terminated from refugee cash assistance (RCA) because of income earned from employment. </w:t>
      </w:r>
      <w:r>
        <w:rPr>
          <w:rFonts w:ascii="Times New Roman" w:hAnsi="Times New Roman"/>
          <w:b w:val="false"/>
          <w:i w:val="false"/>
          <w:color w:val="000000"/>
          <w:sz w:val="22"/>
        </w:rPr>
        <w:t>Refugee medical assistance (RMA) shall be available as long as the eight-month limit for the refugee program is not exceeded to persons who are receiving RMA and who are canceled from the RCA program solely because a member of the eligible group receives income from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RCA recipient shall not be required to meet any minimum program participation time frames in order to receive RMA coverage under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returns to the home after the family became ineligible for RCA may be included in the eligible group for RMA coverage if the person was included on the assistance grant the month the family became ineligible for RCA.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shall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federal poverty level applicable to the family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enroll in Medicare Part A of Title XVIII under Section 1818A of the Social Security Act (as added by Section 6012 of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shall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75.1(34)</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r>
        <w:rPr>
          <w:rFonts w:ascii="Times New Roman" w:hAnsi="Times New Roman"/>
          <w:b w:val="false"/>
          <w:i w:val="false"/>
          <w:color w:val="000000"/>
          <w:sz w:val="22"/>
        </w:rPr>
        <w:t>Medicaid shall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federal poverty level but is less than 120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the maximum amount of resources that a person may have to obtain the full low-income subsidy for Medicare Part D drug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shall be determined as under the SSI program unless the person lives and is expected to live at least 30 consecutive days in a medical institution and has a spouse at home. Then the resource determination shall be made according to subrules </w:t>
      </w:r>
      <w:hyperlink r:id="rId68">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Income shall not include any amount of social security income attributable to the cost-of-living increase through the month following the month in which the annual revision of the official poverty level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shall be as set forth in rule </w:t>
      </w:r>
      <w:hyperlink r:id="rId70">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75.1(35)</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Coverage groups. </w:t>
      </w:r>
      <w:r>
        <w:rPr>
          <w:rFonts w:ascii="Times New Roman" w:hAnsi="Times New Roman"/>
          <w:b w:val="false"/>
          <w:i w:val="false"/>
          <w:color w:val="000000"/>
          <w:sz w:val="22"/>
        </w:rPr>
        <w:t>Subject to other requirements of this chapter, Medicaid shall be available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Pregnant women. Pregnant women who would be eligible for FMAP-related coverage groups except for excess income or resources. For FMAP-related programs, pregnant women shall have the unborn child or children counted in the household size as if the child or children were born and living with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FMAP-related persons under the age of 19. Persons under the age of 19 who would be eligible for an FMAP-related coverage group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CMAP-related persons under the age of 21. Persons under the age of 21 who would be eligible in accordance with subrule </w:t>
      </w:r>
      <w:hyperlink r:id="rId71">
        <w:r>
          <w:rPr>
            <w:rStyle w:val="Hyperlink"/>
            <w:rFonts w:ascii="Times New Roman" w:hAnsi="Times New Roman"/>
            <w:b w:val="false"/>
            <w:i w:val="false"/>
            <w:color w:val="000000"/>
            <w:sz w:val="22"/>
          </w:rPr>
          <w:t>75.1(15)</w:t>
        </w:r>
      </w:hyperlink>
      <w:r>
        <w:rPr>
          <w:rFonts w:ascii="Times New Roman" w:hAnsi="Times New Roman"/>
          <w:b w:val="false"/>
          <w:i w:val="false"/>
          <w:color w:val="000000"/>
          <w:sz w:val="22"/>
        </w:rPr>
        <w:t xml:space="preserve">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SSI-related persons. Persons who would be eligible for SSI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FMAP-specified relatives. Persons whose income or resources exceed the family medical assistance program’s limit and who are a specified relative as defined at subrule </w:t>
      </w:r>
      <w:hyperlink r:id="rId72">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living with a child who is determined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Resources and income of all 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of all specified relatives and of all potentially eligible individuals living together, except as specified at subparagraph </w:t>
      </w:r>
      <w:hyperlink r:id="rId73">
        <w:r>
          <w:rPr>
            <w:rStyle w:val="Hyperlink"/>
            <w:rFonts w:ascii="Times New Roman" w:hAnsi="Times New Roman"/>
            <w:b w:val="false"/>
            <w:i w:val="false"/>
            <w:color w:val="000000"/>
            <w:sz w:val="22"/>
          </w:rPr>
          <w:t>75.1(35)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who are excluded in accordance with the provisions of rule </w:t>
      </w:r>
      <w:hyperlink r:id="rId74">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shall be considered in determining eligibility of adults. Resources of all specified relatives and of all potentially eligible individuals living together shall be disregarded in determining eligibility of children. Income of all specified relatives and of all potentially eligible individuals living together, except as specified at subparagraph </w:t>
      </w:r>
      <w:hyperlink r:id="rId75">
        <w:r>
          <w:rPr>
            <w:rStyle w:val="Hyperlink"/>
            <w:rFonts w:ascii="Times New Roman" w:hAnsi="Times New Roman"/>
            <w:b w:val="false"/>
            <w:i w:val="false"/>
            <w:color w:val="000000"/>
            <w:sz w:val="22"/>
          </w:rPr>
          <w:t>75.1(35)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who are excluded in accordance with the provisions of rule </w:t>
      </w:r>
      <w:hyperlink r:id="rId76">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shall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of the responsible relative that has been counted as available to an FMAP household or SSI individual shall not be considered in determining the countable income for the medically needy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determination shall be according to subrules </w:t>
      </w:r>
      <w:hyperlink r:id="rId77">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xml:space="preserve"> when one spouse is expected to reside at least 30 consecutive days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resource limit for adults in SSI-related households shall be $10,000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resources for less than fair market value by SSI-related applicants or members shall be treated according to policies specified in rule </w:t>
      </w:r>
      <w:hyperlink r:id="rId7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limit for FMAP- or CMAP-related adults shall be $10,000 per household. In establishing eligibility for children for this coverage group, resources of all persons in the eligible group, regardless of age, shall be disregarded. In establishing eligibility for adults for this coverage group, resources shall be considered according to department of public health </w:t>
      </w:r>
      <w:hyperlink r:id="rId80">
        <w:r>
          <w:rPr>
            <w:rStyle w:val="Hyperlink"/>
            <w:rFonts w:ascii="Times New Roman" w:hAnsi="Times New Roman"/>
            <w:b w:val="false"/>
            <w:i w:val="false"/>
            <w:color w:val="000000"/>
            <w:sz w:val="22"/>
          </w:rPr>
          <w:t>641—subrule 75.4(2)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resources of SSI-related persons shall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resource is jointly owned by SSI-related persons and FMAP-related persons, the resource shall be treated according to SSI policies for the SSI-related person and according to FMAP policies for the FMAP-related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shall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policies specified in subrules </w:t>
      </w:r>
      <w:hyperlink r:id="rId81">
        <w:r>
          <w:rPr>
            <w:rStyle w:val="Hyperlink"/>
            <w:rFonts w:ascii="Times New Roman" w:hAnsi="Times New Roman"/>
            <w:b w:val="false"/>
            <w:i w:val="false"/>
            <w:color w:val="000000"/>
            <w:sz w:val="22"/>
          </w:rPr>
          <w:t>75.57(1)</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75.57(8)</w:t>
        </w:r>
      </w:hyperlink>
      <w:r>
        <w:rPr>
          <w:rFonts w:ascii="Times New Roman" w:hAnsi="Times New Roman"/>
          <w:b w:val="false"/>
          <w:i w:val="false"/>
          <w:color w:val="000000"/>
          <w:sz w:val="22"/>
        </w:rPr>
        <w:t xml:space="preserve"> and paragraphs 75.57(9)</w:t>
      </w:r>
      <w:r>
        <w:rPr>
          <w:rFonts w:ascii="Times New Roman" w:hAnsi="Times New Roman"/>
          <w:b w:val="false"/>
          <w:i/>
          <w:color w:val="000000"/>
          <w:sz w:val="22"/>
        </w:rPr>
        <w:t>“b,” “c,” “g,”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regarding treatment of earned and unearned income are applied to FMAP-related and CMAP-related persons when determining initial eligibility and for determining continuing eligibility unless otherwise specified. The three-step process for determining initial eligibility and the two-step process for determining ongoing eligibility, as described at rule </w:t>
      </w:r>
      <w:hyperlink r:id="rId83">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shall not apply to medically needy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policies as specified in federal SSI regulations regarding treatment of earned and unearned income are applied to SSI-related persons when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monthly income shall be determined prospectively unless actual income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for the certification period shall be determined by adding both months’ net income together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income for the retroactive certification period shall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is based on 133 1/3 percent of the schedule of basic needs, as provided in subrule </w:t>
      </w:r>
      <w:hyperlink r:id="rId84">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with households of one treated as households of two, as follows:</w:t>
      </w:r>
    </w:p>
    <w:tbl>
      <w:tblPr>
        <w:tblW w:w="5000" w:type="pct"/>
        <w:tblCellSpacing w:w="0" w:type="auto"/>
        <w:tblBorders>
          <w:top w:val="none"/>
          <w:left w:val="none"/>
          <w:bottom w:val="none"/>
          <w:right w:val="none"/>
          <w:insideH w:val="none"/>
          <w:insideV w:val="none"/>
        </w:tblBorders>
        <w:tblLayout w:type="fixed"/>
      </w:tblPr>
      <w:tblGrid>
        <w:gridCol w:w="2584"/>
        <w:gridCol w:w="768"/>
        <w:gridCol w:w="768"/>
        <w:gridCol w:w="768"/>
        <w:gridCol w:w="768"/>
        <w:gridCol w:w="768"/>
        <w:gridCol w:w="768"/>
        <w:gridCol w:w="768"/>
        <w:gridCol w:w="768"/>
        <w:gridCol w:w="842"/>
        <w:gridCol w:w="964"/>
        <w:gridCol w:w="4993"/>
      </w:tblGrid>
      <w:tr>
        <w:trPr>
          <w:trHeight w:val="255" w:hRule="atLeast"/>
        </w:trPr>
        <w:tc>
          <w:tcPr>
            <w:tcW w:w="2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Persons</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8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9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4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2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MNIL</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$566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$666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$733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$816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$891</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$975</w:t>
            </w:r>
          </w:p>
        </w:tc>
        <w:tc>
          <w:tcPr>
            <w:tcW w:w="8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$1058</w:t>
            </w:r>
          </w:p>
        </w:tc>
        <w:tc>
          <w:tcPr>
            <w:tcW w:w="9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$1158</w:t>
            </w:r>
          </w:p>
        </w:tc>
        <w:tc>
          <w:tcPr>
            <w:tcW w:w="4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Each additional person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household size for the MNIL, all potential eligibles and all individuals whose income is considered as specified in paragraph </w:t>
      </w:r>
      <w:hyperlink r:id="rId85">
        <w:r>
          <w:rPr>
            <w:rStyle w:val="Hyperlink"/>
            <w:rFonts w:ascii="Times New Roman" w:hAnsi="Times New Roman"/>
            <w:b w:val="false"/>
            <w:i w:val="false"/>
            <w:color w:val="000000"/>
            <w:sz w:val="22"/>
          </w:rPr>
          <w:t>75.1(35)</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included unless the person has been excluded according to the provisions of rule </w:t>
      </w:r>
      <w:hyperlink r:id="rId86">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MNIL for the certification period shall be determined by adding both months’ MNIL to arrive at a total. The MNIL for the retroactive certification period, when applicable, shall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net countable income for the certification period shall be compared to the total MNIL for the certification period based on family size as specified in subparagraph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total countable net income is equal to or less than the total MNIL, the medically needy individuals shall be eligible for Medicaid.</w:t>
      </w:r>
    </w:p>
    <w:p>
      <w:pPr>
        <w:spacing w:before="0" w:after="0"/>
        <w:ind w:left="120"/>
        <w:jc w:val="both"/>
      </w:pPr>
      <w:r>
        <w:rPr>
          <w:rFonts w:ascii="Times New Roman" w:hAnsi="Times New Roman"/>
          <w:b w:val="false"/>
          <w:i w:val="false"/>
          <w:color w:val="000000"/>
          <w:sz w:val="22"/>
        </w:rPr>
        <w:t>If the total countable net income exceeds the total MNIL, the medically needy individuals shall not be eligible for Medicaid unless incurred medical expenses equal or exceed the difference between the net income and the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Eligibility during the certification period or the retroactive certification period when applicable shall be effective as of the first day of the first month of the certification period or the retroactive certification period when the medically needy income level (MNIL)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medical expenses to be used in spenddown calculation. </w:t>
      </w:r>
      <w:r>
        <w:rPr>
          <w:rFonts w:ascii="Times New Roman" w:hAnsi="Times New Roman"/>
          <w:b w:val="false"/>
          <w:i w:val="false"/>
          <w:color w:val="000000"/>
          <w:sz w:val="22"/>
        </w:rPr>
        <w:t xml:space="preserve">The applicant or member shall submit evidence of medical expenses that are for noncovered Medicaid services and for covered services incurred prior to the certification period to the department on a claim form, which shall be completed by the medical provider. In cases where the provider is uncooperative or where returning to the provider would constitute an unreasonable requirement on the applicant or member, the form shall be completed by the worker. Verification of medical expenses for the applicant or member that are covered Medicaid services and occurred during the certification period shall be submitted by the provider to the Iowa Medicaid enterprise on a claim form. The applicant or member shall inform the provider of the applicant’s or member’s spenddown obligation at the time services are rendered or at the time the applicant or member receives notification of a spenddown obligation. Verification of allowable expenses incurred for transportation to receive medical care as specified in rule </w:t>
      </w:r>
      <w:hyperlink r:id="rId87">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shall be verified on Form 470-0394, Medical Transportation Claim.</w:t>
      </w:r>
    </w:p>
    <w:p>
      <w:pPr>
        <w:spacing w:before="0" w:after="0"/>
        <w:ind w:left="120"/>
        <w:jc w:val="both"/>
      </w:pPr>
      <w:r>
        <w:rPr>
          <w:rFonts w:ascii="Times New Roman" w:hAnsi="Times New Roman"/>
          <w:b w:val="false"/>
          <w:i w:val="false"/>
          <w:color w:val="000000"/>
          <w:sz w:val="22"/>
        </w:rPr>
        <w:t>Applicants who have not established that they met spenddown in the current certification period shall be allowed 12 months following the end of the certification period to submit medical expenses for that period or 12 months following the date of the notice of decision when the certification period had ended prior to the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Spenddown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expenses that are incurred during the certification period may be used to meet spenddown. Medical expenses incurred prior to a certification period shall be used to meet spenddown if not already used to meet spenddown in a previous certification period and if all of the following requirements are met. The expenses: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Remain unpaid as of the first day of the certification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Are not Medicaid-payable in a previous certification period or the retroactive certification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Are not incurred during any prior certification period with the exception of the retroactive period in which the person was conditionally eligible but did not meet spenddown.</w:t>
      </w:r>
    </w:p>
    <w:p>
      <w:pPr>
        <w:spacing w:before="0" w:after="0"/>
        <w:ind w:left="120"/>
        <w:jc w:val="both"/>
      </w:pPr>
      <w:r>
        <w:rPr>
          <w:rFonts w:ascii="Times New Roman" w:hAnsi="Times New Roman"/>
          <w:b w:val="false"/>
          <w:i w:val="false"/>
          <w:color w:val="000000"/>
          <w:sz w:val="22"/>
        </w:rPr>
        <w:t>Notwithstanding numbered paragraphs “1” through “3,” paid medical expenses from the retroactive period can be used to meet spenddown in the retroactive period or in the certification period for the two months immediately following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Order of deduction. Spenddown shall be adjusted when a bill for a Medicaid-covered service incurred during the certification period has been applied to meet spenddown if a bill for a covered service incurred prior to the certification period is subsequently received. Spenddown shall also be adjusted when a bill for a noncovered Medicaid service is subsequently received with a service date prior to the Medicaid-covered service. Spenddown shall be adjusted when an unpaid bill for a Medicaid-covered service incurred during the certification period has been applied to meet spenddown if a paid bill for a covered service incurred in the certification period is subsequently received with a service date prior to the date of the notice of spenddown status.</w:t>
      </w:r>
    </w:p>
    <w:p>
      <w:pPr>
        <w:spacing w:before="0" w:after="0"/>
        <w:ind w:left="120"/>
        <w:jc w:val="both"/>
      </w:pPr>
      <w:r>
        <w:rPr>
          <w:rFonts w:ascii="Times New Roman" w:hAnsi="Times New Roman"/>
          <w:b w:val="false"/>
          <w:i w:val="false"/>
          <w:color w:val="000000"/>
          <w:sz w:val="22"/>
        </w:rPr>
        <w:t>If spenddown has been met and a bill is received with a service date after spenddown has been met, the bill shall not be deducted to meet spenddown.</w:t>
      </w:r>
    </w:p>
    <w:p>
      <w:pPr>
        <w:spacing w:before="0" w:after="0"/>
        <w:ind w:left="120"/>
        <w:jc w:val="both"/>
      </w:pPr>
      <w:r>
        <w:rPr>
          <w:rFonts w:ascii="Times New Roman" w:hAnsi="Times New Roman"/>
          <w:b w:val="false"/>
          <w:i w:val="false"/>
          <w:color w:val="000000"/>
          <w:sz w:val="22"/>
        </w:rPr>
        <w:t>Incurred medical expenses, including those reimbursed by a state or political subdivision program other than Medicaid, but excluding those otherwise subject to payment by a third party, shall be deducted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Medicare and other health insurance premiums, deductibles, or coinsurance charges.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some of the household members are eligible for full Medicaid benefits under the Health Insurance Premium Payment Program (HIPP), as provided in rule </w:t>
      </w:r>
      <w:hyperlink r:id="rId88">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the health insurance premium shall not be allowed as a deduction to meet the spenddown obligation of those persons in the household in the medically needy coverage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average statewide monthly standard deduction for the cost of medically necessary personal care services provided in a licensed residential care facility shall be allowed as a deduction for spenddown. These personal care services include assistance with activities of daily living such as preparation of a special diet, personal hygiene and bathing, dressing, ambulation, toilet use, transferring, eating, and managing medication.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average statewide monthly standard deduction for personal care services shall be based on the average per day rate of health care costs associated with residential care facilities participating in the state supplementary assistance program for a 30.4-day month as computed by multiplying the previous year’s average per day rate by the inflation factor increase during the preceding calendar year ending December 31 of the Consumer Price Index for All Urban Consumers as published by the Bureau of Labor Statistics.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Medical expenses for necessary medical and remedial services that are recognized under state law but not covered by Medicaid, chronologically by date of submission.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Medical expenses for acupuncture, chronologically by date of submission.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Medical expenses for necessary medical and remedial services that are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incurred medical expenses have reduced income to the applicable MNIL, the individuals shall be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expenses reimbursed by a public program other than Medicaid prior to the certification period shall not be considered a medical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Medicaid services. </w:t>
      </w:r>
      <w:r>
        <w:rPr>
          <w:rFonts w:ascii="Times New Roman" w:hAnsi="Times New Roman"/>
          <w:b w:val="false"/>
          <w:i w:val="false"/>
          <w:color w:val="000000"/>
          <w:sz w:val="22"/>
        </w:rPr>
        <w:t>Persons eligible for Medicaid as medically needy will be eligible for all services covered by Medicaid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in a nursing facility or an intermediate care facility for the mentally retarded.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in an institution for mental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Care in a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Reviews of eligibility shall be made for SSI-related, CMAP-related, and FMAP-related medically needy members with a zero spenddown as often as circumstances indicate but in no instance shall the period of time between reviews exceed 12 months.</w:t>
      </w:r>
    </w:p>
    <w:p>
      <w:pPr>
        <w:spacing w:before="0" w:after="0"/>
        <w:ind w:left="120"/>
        <w:jc w:val="both"/>
      </w:pPr>
      <w:r>
        <w:rPr>
          <w:rFonts w:ascii="Times New Roman" w:hAnsi="Times New Roman"/>
          <w:b w:val="false"/>
          <w:i w:val="false"/>
          <w:color w:val="000000"/>
          <w:sz w:val="22"/>
        </w:rPr>
        <w:t>SSI-related, CMAP-related, and FMAP-related medically needy persons shall complete Form 470-3118 or 470-3118(S), Medicaid Review, as part of the review process when requested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When an SSI-related, CMAP-related, or FMAP-related member who has had ongoing eligibility because of a zero spenddown has income that exceeds the MNIL, a redetermination of eligibility shall be completed to change the member’s eligibility to a two-month certification with spenddown. This redetermination shall be effective the month the income exceeds the MNIL or the first month following timely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Services Application, Form 470-2927 or 470-2927(S), or the Health and Financial Support Application, Form 470-0462 or Form 470-0466(Spanish), shall be used to determine eligibility for SSI-related medically needy when an SSI recipient has been determined to be ineligible for SSI due to excess income or resources in one or more of the months after the effective date of the SSI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shall be reviewed on redeterminations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Recertifications. </w:t>
      </w:r>
      <w:r>
        <w:rPr>
          <w:rFonts w:ascii="Times New Roman" w:hAnsi="Times New Roman"/>
          <w:b w:val="false"/>
          <w:i w:val="false"/>
          <w:color w:val="000000"/>
          <w:sz w:val="22"/>
        </w:rPr>
        <w:t xml:space="preserve">A new application shall be made when the certification period has expired and there has been a break in assistance as defined at rule </w:t>
      </w:r>
      <w:hyperlink r:id="rId89">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 When the certification period has expired and there has not been a break in assistance, the person shall use the Medicaid Review, Form 470-3118 or 470-3118(S),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Disability determinations. </w:t>
      </w:r>
      <w:r>
        <w:rPr>
          <w:rFonts w:ascii="Times New Roman" w:hAnsi="Times New Roman"/>
          <w:b w:val="false"/>
          <w:i w:val="false"/>
          <w:color w:val="000000"/>
          <w:sz w:val="22"/>
        </w:rPr>
        <w:t>An applicant receiving social security disability benefits under Title II of the Social Security Act or railroad retirement benefits based on the Social Security Act definition of disability by the Railroad Retirement Board shall be deemed disabled without any further determination. In other cases under the medically needy program, the department shall conduct an independent determination of disability unless the applicant has been denied supplemental security income benefits based on lack of disability and does not allege either (1) a disabling condition different from or in addition to that considered by the Social Security Administration, or (2) that the applicant’s condition has changed or deteriorated since the most recent Social Security Administration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conducting an independent determination of disability, the department shall use the same criteria required by federal law to be used by the Social Security Administration of the United States Department of Health and Human Services in determining disability for purposes of Supplemental Security Income under Title XVI of the Social Security Act. The disability determination services bureau of the division of vocational rehabilitation shall make the initial disability determination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independent determination of disability, the applicant or the applicant’s authorized representative shall complete, sign and submit Form 470-4459 or 470-4459(S), Authorization to Disclose Information to the Department of Human Services, and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 470-2465, Disability Report for Adults, if the applicant is aged 18 or over;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470-3912, Disability Report for Children, if the applicant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any independent determination of disability, the department shall determine whether reexamination of the person’s medical condition will be necessary for periodic redeterminations of eligibility. When reexamination is required, the member or the member’s authorized representative shall complete and submit the same forms as required in subparagraph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75.1(36)</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r>
        <w:rPr>
          <w:rFonts w:ascii="Times New Roman" w:hAnsi="Times New Roman"/>
          <w:b w:val="false"/>
          <w:i w:val="false"/>
          <w:color w:val="000000"/>
          <w:sz w:val="22"/>
        </w:rPr>
        <w:t>As long as 100 percent federal funding is available under the federal Qualified Individuals (QI) Program, Medicaid benefits to cover the cost of the Medicare Part B premium shall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federal poverty level but is less than 135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the maximum amount of resources that a person may have to obtain the full low-income subsidy for Medicare Part D drug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shall be determined the same as under the SSI program unless the person lives and is expected to live at least 30 consecutive days in a medical institution and has a spouse at home. Then the resource determination shall be made according to subrules </w:t>
      </w:r>
      <w:hyperlink r:id="rId90">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Income shall not include any amount of social security income attributable to the cost-of-living increase through the month following the month in which the annual revision of the official poverty level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shall be as set forth in rule </w:t>
      </w:r>
      <w:hyperlink r:id="rId92">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75.1(37)</w:t>
      </w:r>
      <w:r>
        <w:rPr>
          <w:rFonts w:ascii="Times New Roman" w:hAnsi="Times New Roman"/>
          <w:b w:val="false"/>
          <w:i w:val="false"/>
          <w:color w:val="000000"/>
          <w:sz w:val="22"/>
        </w:rPr>
        <w:t> </w:t>
      </w:r>
      <w:r>
        <w:rPr>
          <w:rFonts w:ascii="Times New Roman" w:hAnsi="Times New Roman"/>
          <w:b w:val="false"/>
          <w:i/>
          <w:color w:val="000000"/>
          <w:sz w:val="22"/>
        </w:rPr>
        <w:t xml:space="preserve">Home health specified low-income Medicare beneficiaries.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10/30/02</w:t>
      </w:r>
      <w:r>
        <w:rPr>
          <w:rFonts w:ascii="Times New Roman" w:hAnsi="Times New Roman"/>
          <w:b w:val="false"/>
          <w:i w:val="false"/>
          <w:color w:val="000000"/>
          <w:sz w:val="22"/>
        </w:rPr>
        <w:t>, effective 1/1/03.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75.1(38)</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Medical assistance shall be available to persons who were receiving SSI as of August 22, 1996, and who would continue to be eligible for SSI but for Section 211(a) of the Personal Responsibility and Work Opportunity Act of 1996 (P.L. 104-193).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75.1(39)</w:t>
      </w:r>
      <w:r>
        <w:rPr>
          <w:rFonts w:ascii="Times New Roman" w:hAnsi="Times New Roman"/>
          <w:b w:val="false"/>
          <w:i w:val="false"/>
          <w:color w:val="000000"/>
          <w:sz w:val="22"/>
        </w:rPr>
        <w:t> </w:t>
      </w:r>
      <w:r>
        <w:rPr>
          <w:rFonts w:ascii="Times New Roman" w:hAnsi="Times New Roman"/>
          <w:b w:val="false"/>
          <w:i/>
          <w:color w:val="000000"/>
          <w:sz w:val="22"/>
        </w:rPr>
        <w:t xml:space="preserve">Working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assistance shall be available to all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93">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(249A), except that being engaged in substantial gainful activity will not preclude a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most recently revised official federal poverty level for the family. Family income shall include gross income of all family members, less supplemental security income program disregards, exemptions, and exclusions, including the earned income disregards. However, income attributable to a social security cost-of-living adjustment shall be included only in determining eligibility based on a subsequently published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under paragraph </w:t>
      </w:r>
      <w:hyperlink r:id="rId94">
        <w:r>
          <w:rPr>
            <w:rStyle w:val="Hyperlink"/>
            <w:rFonts w:ascii="Times New Roman" w:hAnsi="Times New Roman"/>
            <w:b w:val="false"/>
            <w:i w:val="false"/>
            <w:color w:val="000000"/>
            <w:sz w:val="22"/>
          </w:rPr>
          <w:t>75.1(39)</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medical assistance under another coverage group set out in this rule (other than the medically needy coverage groups at subrule </w:t>
      </w:r>
      <w:hyperlink r:id="rId95">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xml:space="preserve">), disregarding all income, up to $10,000 of available resources, and any additional resources held by the disabled individual in a retirement account, a medical savings account, or an assistive technology account. For this purpose, disability shall be determined as under subparagraph </w:t>
      </w:r>
      <w:hyperlink r:id="rId96">
        <w:r>
          <w:rPr>
            <w:rStyle w:val="Hyperlink"/>
            <w:rFonts w:ascii="Times New Roman" w:hAnsi="Times New Roman"/>
            <w:b w:val="false"/>
            <w:i w:val="false"/>
            <w:color w:val="000000"/>
            <w:sz w:val="22"/>
          </w:rPr>
          <w:t>75.1(39)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under paragraph </w:t>
      </w:r>
      <w:hyperlink r:id="rId97">
        <w:r>
          <w:rPr>
            <w:rStyle w:val="Hyperlink"/>
            <w:rFonts w:ascii="Times New Roman" w:hAnsi="Times New Roman"/>
            <w:b w:val="false"/>
            <w:i w:val="false"/>
            <w:color w:val="000000"/>
            <w:sz w:val="22"/>
          </w:rPr>
          <w:t>75.1(39)</w:t>
        </w:r>
        <w:r>
          <w:rPr>
            <w:rFonts w:ascii="Times New Roman" w:hAnsi="Times New Roman"/>
            <w:b w:val="false"/>
            <w:i/>
            <w:color w:val="000000"/>
            <w:sz w:val="22"/>
          </w:rPr>
          <w:t>“b”</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a person whose gross income is greater than 150 percent of the federal poverty level for an individual is conditional upon payment of a premium. Gross income includes all earned and unearned income of the conditionally eligible person, except that income attributable to a social security cost-of-living adjustment shall be included only in determining premium liability based on a subsequently published federal poverty level. A monthly premium shall be assessed at the time of application and at the annual review. The premium amounts and the federal poverty level increments above 150 percent of the federal poverty level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shall be established based on projected average monthly income. The monthly premium established shall not be increased for any reason before the next eligibility review. The premium shall not be reduced due to a change in the federal poverty level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 470-3118 or 470-3118(S), Medicaid Review,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Premiums shall be assessed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39"/>
        <w:gridCol w:w="4251"/>
      </w:tblGrid>
      <w:tr>
        <w:trPr>
          <w:trHeight w:val="40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 xml:space="preserve">IF THE INCOME OF THE </w:t>
            </w:r>
          </w:p>
          <w:p>
            <w:pPr>
              <w:spacing w:before="0" w:after="0"/>
              <w:ind w:left="160"/>
              <w:jc w:val="center"/>
            </w:pPr>
            <w:r>
              <w:rPr>
                <w:rFonts w:ascii="Times New Roman" w:hAnsi="Times New Roman"/>
                <w:b w:val="false"/>
                <w:i w:val="false"/>
                <w:color w:val="000000"/>
                <w:sz w:val="16"/>
              </w:rPr>
              <w:t>APPLICANT IS ABOVE:</w:t>
            </w:r>
          </w:p>
        </w:tc>
        <w:tc>
          <w:tcPr>
            <w:tcW w:w="425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THE MONTHLY</w:t>
            </w:r>
          </w:p>
          <w:p>
            <w:pPr>
              <w:spacing w:before="0" w:after="0"/>
              <w:ind w:left="160"/>
              <w:jc w:val="center"/>
            </w:pPr>
            <w:r>
              <w:rPr>
                <w:rFonts w:ascii="Times New Roman" w:hAnsi="Times New Roman"/>
                <w:b w:val="false"/>
                <w:i w:val="false"/>
                <w:color w:val="000000"/>
                <w:sz w:val="16"/>
              </w:rPr>
              <w:t>PREMIUM IS:</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$43</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165%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$59</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$70</w:t>
            </w:r>
          </w:p>
        </w:tc>
      </w:tr>
      <w:tr>
        <w:trPr>
          <w:trHeight w:val="390"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$82</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225%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$97</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$113</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$141</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$171</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$202</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$233</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$291</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$351</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$413</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$488</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$586</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1150%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$685</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$790</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1480%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Medical assistance eligibility shall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premium for each month is due the fourteenth day of the month the premium is to cover. </w:t>
      </w:r>
      <w:r>
        <w:rPr>
          <w:rFonts w:ascii="Times New Roman" w:hAnsi="Times New Roman"/>
          <w:b w:val="false"/>
          <w:i w:val="false"/>
          <w:color w:val="000000"/>
          <w:sz w:val="22"/>
        </w:rPr>
        <w:t>EXCEPTIONS</w:t>
      </w:r>
      <w:r>
        <w:rPr>
          <w:rFonts w:ascii="Times New Roman" w:hAnsi="Times New Roman"/>
          <w:b w:val="false"/>
          <w:i w:val="false"/>
          <w:color w:val="000000"/>
          <w:sz w:val="22"/>
        </w:rPr>
        <w:t>: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any premium payment due in the month it is to cover is not received by the due date, Medicaid eligibility shall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Payments received shall be applied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prior months when a full payment has not been received. Payments shall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premiums for all months above have been paid, any excess shall be held and applied to any months for which eligibility is subsequently established, as specified in numbered paragraphs “1,” “2,” and “3” above, and then to future months when a premium becomes due.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excess on an inactive account shall be refunded to the client after two calendar months of inactivity or of a zero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Form 470-3902,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an individual is canceled from Medicaid due to nonpayment of premiums, the individual must reapply to establish Medicaid eligibility unless the reopening provisions of this subrule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a premium due in the month it is to cover is not received by the due date, a notice of decision will be issued to cancel Medicaid. The notice will include reopening provisions that apply if payment is received and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Form 470-3902, MEPD Billing Statement, shall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shall remain eligible for a period of six months from the month of the change in their medical condition or loss of employment as long as they intend to return to work and continue to meet all other eligibility criteria under this subrule. Members shall submit Form 470-4856, MEPD Intent to Return to Work,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accounts”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device”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service” </w:t>
      </w:r>
      <w:r>
        <w:rPr>
          <w:rFonts w:ascii="Times New Roman" w:hAnsi="Times New Roman"/>
          <w:b w:val="false"/>
          <w:i w:val="false"/>
          <w:color w:val="000000"/>
          <w:sz w:val="22"/>
        </w:rPr>
        <w:t>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29 U.S.C. 3002(4).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if the individual is under 18 and unmarried, includes parents living with the individual, siblings under 18 and unmarried living with the individual, and children of the individual who live with the individual. If the individual is 18 years of age or older, or married, “family” includes the individual’s spouse living with the individual and any children living with the individual who are under 18 and unmarried. No other persons shall be considered members of an individual’s family. An individual living alone or with others not listed above shall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savings account” </w:t>
      </w:r>
      <w:r>
        <w:rPr>
          <w:rFonts w:ascii="Times New Roman" w:hAnsi="Times New Roman"/>
          <w:b w:val="false"/>
          <w:i w:val="false"/>
          <w:color w:val="000000"/>
          <w:sz w:val="22"/>
        </w:rPr>
        <w:t>means an account exempt from federal income taxation pursuant to Section 220 of the United States Internal Revenue Code (26 U.S.C. § 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account” </w:t>
      </w:r>
      <w:r>
        <w:rPr>
          <w:rFonts w:ascii="Times New Roman" w:hAnsi="Times New Roman"/>
          <w:b w:val="false"/>
          <w:i w:val="false"/>
          <w:color w:val="000000"/>
          <w:sz w:val="22"/>
        </w:rPr>
        <w:t xml:space="preserve">means any retirement or pension fund or account, listed in Iowa Code section </w:t>
      </w:r>
      <w:hyperlink r:id="rId98">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75.1(40)</w:t>
      </w:r>
      <w:r>
        <w:rPr>
          <w:rFonts w:ascii="Times New Roman" w:hAnsi="Times New Roman"/>
          <w:b w:val="false"/>
          <w:i w:val="false"/>
          <w:color w:val="000000"/>
          <w:sz w:val="22"/>
        </w:rPr>
        <w:t> </w:t>
      </w:r>
      <w:r>
        <w:rPr>
          <w:rFonts w:ascii="Times New Roman" w:hAnsi="Times New Roman"/>
          <w:b w:val="false"/>
          <w:i/>
          <w:color w:val="000000"/>
          <w:sz w:val="22"/>
        </w:rPr>
        <w:t xml:space="preserve">People who have been screened and found to need treatment for breast or cervical cancer.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assistance shall be available to people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screened for breast or cervical cancer under the Centers for Disease Control and Prevention Breast and Cervical Cancer Early Detection Program established under Title XV of the Public Health Service Act and have been found to need treatment for either breast or cervical cancer (including a precancerous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otherwise have creditable coverage, as that term is defined by the Health Insurance Portability and Accountability Act (HIPAA) (42 U.S.C. Section 300gg(c)(1)), and are not eligible for medical assistance under Iowa Code section </w:t>
      </w:r>
      <w:hyperlink r:id="rId99">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under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established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continues until 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receiving treatment for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longer under the age of 65;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by creditable coverage or eligible for medical assistance under Iowa Code section </w:t>
      </w:r>
      <w:hyperlink r:id="rId100">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A person who has been screened for breast or cervical cancer under the Centers for Disease Control and Prevention Breast and Cervical Cancer Early Detection Program established under Title XV of the Public Health Service Act, who has been found to need treatment for either breast or cervical cancer (including a precancerous condition), and who is determined by a qualified provider to be presumptively eligible for medical assistance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shall be eligible for medical assistance until the last day of the month following the month of the presumptive eligibility determination if no Medicaid application is filed in accordance with rule </w:t>
      </w:r>
      <w:hyperlink r:id="rId101">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by that day or until the date of a decision on a Medicaid application filed in accordance with rule </w:t>
      </w:r>
      <w:hyperlink r:id="rId10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 whichever is earlier.</w:t>
      </w:r>
    </w:p>
    <w:p>
      <w:pPr>
        <w:spacing w:before="0" w:after="0"/>
        <w:ind w:left="120"/>
        <w:jc w:val="both"/>
      </w:pPr>
      <w:r>
        <w:rPr>
          <w:rFonts w:ascii="Times New Roman" w:hAnsi="Times New Roman"/>
          <w:b w:val="false"/>
          <w:i w:val="false"/>
          <w:color w:val="000000"/>
          <w:sz w:val="22"/>
        </w:rPr>
        <w:t>The person shall complete Form 470-2927 or 470-2927(S), Health Services Application, in order for the qualified provider to make the presumptive eligibility determination. Presumptive eligibility shall begin no earlier than the date the qualified Medicaid provider determines eligibility.</w:t>
      </w:r>
    </w:p>
    <w:p>
      <w:pPr>
        <w:spacing w:before="0" w:after="0"/>
        <w:ind w:left="120"/>
        <w:jc w:val="both"/>
      </w:pPr>
      <w:r>
        <w:rPr>
          <w:rFonts w:ascii="Times New Roman" w:hAnsi="Times New Roman"/>
          <w:b w:val="false"/>
          <w:i w:val="false"/>
          <w:color w:val="000000"/>
          <w:sz w:val="22"/>
        </w:rPr>
        <w:t>Payment of claims for services provided to a person under this paragraph is not dependent upon a finding of Medicaid eligibility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provider who is qualified to determine presumptive eligibility is defined as a provider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eligible for payment under the Medicaid program;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named lead agency for a county or regional local breast and cervical cancer early detection program under a contract with the department of public health;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Has a cooperative agreement with the department of public health under the Centers for Disease Control and Prevention Breast and Cervical Cancer Early Detection Program established under Title XV of the Public Health Service Act to receive reimbursement for providing breast or cervical cancer screening or diagnostic services to participants in the Care for Yourself Breast and Cervical Cancer Early Detection Program;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made application and has been specifically designated by the department in writing as a qualified provider for the purpose of determining presumptive 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Form 470-3864, Application for Authorization to Make Presumptive Medicaid Eligibility Determinations (BCCT), and submit it to the department for approval in order to be designated as a provider qualified to make presumptive eligibility determinations. Once the department has approved the provider’s application, the provider and the department shall sign Form 470-3865, Memorandum of Understanding with a Qualified Provider for People with Breast or Cervical Cancer Treatment. When both parties have signed the memorandum, the department shall designate the provider as a qualified provider and notify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qualified provider has made a presumptive eligibility determination for a person, the provider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Contact the department to obtain a state identification number for the person who has been determined presumptively eligible.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Notify the department in writing of the determination within five working days after the date the presumptive eligibility determination is made. The provider shall use a copy of Form 470-2580 or 470-2580(S), Presumptive Medicaid Eligibility Notice of Decision, for this purpose.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 the person in writing, at the time the determination is made, that if the person has not applied for Medicaid on Form 470-2927 or 470-2927(S), Health Services Application, the person has until the last day of the month following the month of the preliminary determination to file the application with the department. The qualified provider shall use Form 470-2580 or 470-2580(S), Presumptive Medicaid Eligibility Notice of Decision, for this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Forward copies of Form 470-2927 or 470-2927(S), Health Services Application, to the appropriate department office for eligibility determination if the person indicated on the application that the person was applying for any of the other programs. The provider shall forward these copies and proof of screening for breast or cervical cancer under the Centers for Disease Control and Prevention Breast and Cervical Cancer Early Detection Program within two working days from the date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that a person needing care does not appear to be presumptively eligible, the qualified provider shall inform the person that the person may file an application at the county department office if the person wishes to have an eligibility determination made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Presumptive eligibility shall end under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person fails to file an application for Medicaid in accordance with rule </w:t>
      </w:r>
      <w:hyperlink r:id="rId103">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files a Medicaid application by the last day of the month following the month of the presumptive eligibility determination and is found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and timely notice requirements and appeal rights shall apply to an eligibility determination made on a Medicaid application filed pursuant to rule </w:t>
      </w:r>
      <w:hyperlink r:id="rId10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However, notice requirements and appeal rights of the Medicaid program shall not apply to a person who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Denied presumptive eligibility by a qualified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Determined to be presumptively eligible by a qualified provider and whose presumptive eligibility ends because the person fails to file an application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new period of presumptive eligibility shall begin each time a person is screened for breast or cervical cancer under the Centers for Disease Control and Prevention Breast and Cervical Cancer Early Detection Program established under Title XV of the Public Health Service Act, is found to need treatment for breast or cervical cancer, and files Form 470-2927 or 470-2927(S), Health Services Application, with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family planning services under demonstration waiver.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10/11/17</w:t>
      </w:r>
      <w:r>
        <w:rPr>
          <w:rFonts w:ascii="Times New Roman" w:hAnsi="Times New Roman"/>
          <w:b w:val="false"/>
          <w:i w:val="false"/>
          <w:color w:val="000000"/>
          <w:sz w:val="22"/>
        </w:rPr>
        <w:t>, effective 10/1/17.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color w:val="000000"/>
          <w:sz w:val="22"/>
        </w:rPr>
        <w:t xml:space="preserve">Medicaid for independent young adults. </w:t>
      </w:r>
      <w:r>
        <w:rPr>
          <w:rFonts w:ascii="Times New Roman" w:hAnsi="Times New Roman"/>
          <w:b w:val="false"/>
          <w:i w:val="false"/>
          <w:color w:val="000000"/>
          <w:sz w:val="22"/>
        </w:rPr>
        <w:t>Medical assistance shall be available, as assistance related to the family medical assistance program, to a person who left a foster care placement on or after May 1, 2006, and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at least 18 years of age and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person’s eighteenth birthday, the person resided in foster care and Iowa was responsible for the foster care payment pursuant to Iowa Code section </w:t>
      </w:r>
      <w:hyperlink r:id="rId105">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is not a mandatory household member or receiving Medicaid benefits under another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has income below 200 percent of the most recently revised federal poverty level for the person’s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“Household” shall mean the person and any of the following people who are living with the person and are not active on another Medicaid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own children;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person’s spouse;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children of the person’s spouse who are under the age of 18 and unmarried.</w:t>
      </w:r>
    </w:p>
    <w:p>
      <w:pPr>
        <w:spacing w:before="0" w:after="0"/>
        <w:ind w:left="120"/>
        <w:jc w:val="both"/>
      </w:pPr>
      <w:r>
        <w:rPr>
          <w:rFonts w:ascii="Times New Roman" w:hAnsi="Times New Roman"/>
          <w:b w:val="false"/>
          <w:i w:val="false"/>
          <w:color w:val="000000"/>
          <w:sz w:val="22"/>
        </w:rPr>
        <w:t>No one else shall be considered a member of the person’s household. A person who lives alone or with others not listed above, including the person’s parents, shall be considered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the household’s countable income pursuant to rule </w:t>
      </w:r>
      <w:hyperlink r:id="rId10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Twenty percent of earned income shall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found to be income-eligible upon application or upon annual redetermination of eligibility shall remain income-eligible for 12 months regardless of any change in income or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color w:val="000000"/>
          <w:sz w:val="22"/>
        </w:rPr>
        <w:t xml:space="preserve">Medicaid for children with disabilities. </w:t>
      </w:r>
      <w:r>
        <w:rPr>
          <w:rFonts w:ascii="Times New Roman" w:hAnsi="Times New Roman"/>
          <w:b w:val="false"/>
          <w:i w:val="false"/>
          <w:color w:val="000000"/>
          <w:sz w:val="22"/>
        </w:rPr>
        <w:t>Medical assistance shall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107">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 xml:space="preserve">(249A) based on the disability standards for children used for Supplemental Security Income (SSI) benefits under Title XVI of the Social Security Act, but without regard to any income or asset eligibility requirements of the SSI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federal poverty level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shall include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child’s parents.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child’s siblings under the age of 19.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shall be considered a member of the child’s household. A person who receives medically needy coverage with a spenddown or limited benefits such as Medicare savings programs only is not considered to be “receiving Medicaid” for the purposes of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A child who lives alone or with persons not identified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shall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this purpose, the income of all persons included in the child’s household shall be determined as provided for SSI-related groups under subrule </w:t>
      </w:r>
      <w:hyperlink r:id="rId108">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poverty levels used to determine eligibility shall be revised annually on April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children. </w:t>
      </w:r>
      <w:r>
        <w:rPr>
          <w:rFonts w:ascii="Times New Roman" w:hAnsi="Times New Roman"/>
          <w:b w:val="false"/>
          <w:i w:val="false"/>
          <w:color w:val="000000"/>
          <w:sz w:val="22"/>
        </w:rPr>
        <w:t>Medical assistance shall be available to children under the age of 19 who are determined by a qualified entity to be presumptively eligible for medical assistance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 xml:space="preserve">A “qualified entity” is an entity described in paragraphs (1) through (10) of the definition of the term at </w:t>
      </w:r>
      <w:r>
        <w:rPr>
          <w:rFonts w:ascii="Times New Roman" w:hAnsi="Times New Roman"/>
          <w:b w:val="false"/>
          <w:i w:val="false"/>
          <w:color w:val="000000"/>
          <w:sz w:val="22"/>
        </w:rPr>
        <w:t>42 CFR 435.1101</w:t>
      </w:r>
      <w:r>
        <w:rPr>
          <w:rFonts w:ascii="Times New Roman" w:hAnsi="Times New Roman"/>
          <w:b w:val="false"/>
          <w:i w:val="false"/>
          <w:color w:val="000000"/>
          <w:sz w:val="22"/>
        </w:rPr>
        <w:t>, as amended to October 1, 2008,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determined by the department to be capable of making presumptive determinations of eligibility,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signed an agreement with the department as a 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Families requesting assistance for children under this subrule shall apply with a qualified entity using the form specified in </w:t>
      </w:r>
      <w:hyperlink r:id="rId109">
        <w:r>
          <w:rPr>
            <w:rStyle w:val="Hyperlink"/>
            <w:rFonts w:ascii="Times New Roman" w:hAnsi="Times New Roman"/>
            <w:b w:val="false"/>
            <w:i w:val="false"/>
            <w:color w:val="000000"/>
            <w:sz w:val="22"/>
          </w:rPr>
          <w:t>441—paragraph 76.1(1)</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qualified entity shall use the department’s web-based system to make the presumptive eligibility determination, based on the information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presumptive eligibility applications shall be forwarded to the department for a full Medicaid or hawki eligibility determination, regardless of the child’s presumptive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valid application was received by the qualified entity establishes the date of application for purposes of determining the effective date of Medicaid or hawki eligibility unless the qualified entity received the application on a weekend or state holiday. Applications received by the qualified entity on a weekend or a state holiday shall be considered to be received on the first business day following the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qualified entity shall issue Form 470-2580 or 470-2580(S), Presumptive Medicaid Eligibility Notice of Decision, to inform the applicant of the decision on the application as soon as possible but no later than within two working days after the date the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Timely and adequate notice requirements and appeal rights of the Medicaid program shall not apply to presumptive eligibility decisions made by a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determined presumptively eligible for medical assistance, a child shall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 The child must be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income. Household income must be less than 300 percent of the federal poverty level for a household of the same size. For this purpose, the household shall include the applicant child and any sibling (of whole or half blood, or adoptive), spouse, parent, or stepparent living with the applicant child. This determination shall be based on the household’s gross income, with no deductions, diversions, or disregards.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Citizenship or qualified alien status. The child must be a citizen of the United States or a qualified alien as defined in subrule </w:t>
      </w:r>
      <w:hyperlink r:id="rId110">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residency. The child must 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presumptive eligibility. A child shall not be determined presumptively eligible more than once in a 12-month period. The first month of the 12-month period begins with the month the application is received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presumptive eligibility. </w:t>
      </w:r>
      <w:r>
        <w:rPr>
          <w:rFonts w:ascii="Times New Roman" w:hAnsi="Times New Roman"/>
          <w:b w:val="false"/>
          <w:i w:val="false"/>
          <w:color w:val="000000"/>
          <w:sz w:val="22"/>
        </w:rPr>
        <w:t>Presumptive eligibility shall begin with the date that presumptive eligibility is determined and shall continue until the earliest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last day of the next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day the child is determined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day of the month that the child is determined eligible for hawki;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day the child is determined ineligible for Medicaid and hawki. Withdrawal of the Medicaid or hawki application before eligibility is determined shall not affect the child’s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w:t>
      </w:r>
      <w:r>
        <w:rPr>
          <w:rFonts w:ascii="Times New Roman" w:hAnsi="Times New Roman"/>
          <w:b w:val="false"/>
          <w:i w:val="false"/>
          <w:color w:val="000000"/>
          <w:sz w:val="22"/>
        </w:rPr>
        <w:t>Children determined presumptively eligible under this subrule shall be entitled to all Medicaid-covered services, including early and periodic screening, diagnosis, and treatment (EPSDT) services. Payment of claims for Medicaid services provided to a child during the presumptive eligibility period, including EPSDT services, is not dependent upon a determination of Medicaid or hawki eligibility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color w:val="000000"/>
          <w:sz w:val="22"/>
        </w:rPr>
        <w:t xml:space="preserve">Medicaid for former foster care youth. </w:t>
      </w:r>
      <w:r>
        <w:rPr>
          <w:rFonts w:ascii="Times New Roman" w:hAnsi="Times New Roman"/>
          <w:b w:val="false"/>
          <w:i w:val="false"/>
          <w:color w:val="000000"/>
          <w:sz w:val="22"/>
        </w:rPr>
        <w:t>Effective January 1, 2014, medical assistance shall be available to a person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at least 18 years of age (or such higher age to which foster care is provided to the person) and under 26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not described in or enrolled under any of Subclauses (I) through (VII) of Section 1902(a)(10)(A)(i) of Title XIX of the Social Security Act or is described in any of such subclauses but has income that exceeds the level of income applicable under Iowa’s state Medicaid plan for eligibility to enroll for medical assistance under such subclause;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in foster care under the responsibility of Iowa on the date of attaining 18 years of age or such higher age to which foster care is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enrolled in the Iowa Medicaid program under Title XIX of the Social Security Act while in such foster care.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7833B</w:t>
      </w:r>
      <w:r>
        <w:rPr>
          <w:rFonts w:ascii="Times New Roman" w:hAnsi="Times New Roman"/>
          <w:b w:val="false"/>
          <w:i w:val="false"/>
          <w:color w:val="000000"/>
          <w:sz w:val="16"/>
        </w:rPr>
        <w:t>, IAB 6/3/09,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7929B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7931B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8095B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8260B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8261B</w:t>
      </w:r>
      <w:r>
        <w:rPr>
          <w:rFonts w:ascii="Times New Roman" w:hAnsi="Times New Roman"/>
          <w:b w:val="false"/>
          <w:i w:val="false"/>
          <w:color w:val="000000"/>
          <w:sz w:val="16"/>
        </w:rPr>
        <w:t>, IAB 11/4/09, effective 10/15/09</w:t>
      </w:r>
      <w:r>
        <w:rPr>
          <w:rFonts w:ascii="Times New Roman" w:hAnsi="Times New Roman"/>
          <w:b w:val="false"/>
          <w:i w:val="false"/>
          <w:color w:val="000000"/>
          <w:sz w:val="16"/>
        </w:rPr>
        <w:t xml:space="preserve">; </w:t>
      </w:r>
      <w:r>
        <w:rPr>
          <w:rFonts w:ascii="Times New Roman" w:hAnsi="Times New Roman"/>
          <w:b/>
          <w:i w:val="false"/>
          <w:color w:val="000000"/>
          <w:sz w:val="16"/>
        </w:rPr>
        <w:t>ARC 8439B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8503B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8713B</w:t>
      </w:r>
      <w:r>
        <w:rPr>
          <w:rFonts w:ascii="Times New Roman" w:hAnsi="Times New Roman"/>
          <w:b w:val="false"/>
          <w:i w:val="false"/>
          <w:color w:val="000000"/>
          <w:sz w:val="16"/>
        </w:rPr>
        <w:t>, IAB 5/5/10, effective 8/1/10</w:t>
      </w:r>
      <w:r>
        <w:rPr>
          <w:rFonts w:ascii="Times New Roman" w:hAnsi="Times New Roman"/>
          <w:b w:val="false"/>
          <w:i w:val="false"/>
          <w:color w:val="000000"/>
          <w:sz w:val="16"/>
        </w:rPr>
        <w:t xml:space="preserve">; </w:t>
      </w:r>
      <w:r>
        <w:rPr>
          <w:rFonts w:ascii="Times New Roman" w:hAnsi="Times New Roman"/>
          <w:b/>
          <w:i w:val="false"/>
          <w:color w:val="000000"/>
          <w:sz w:val="16"/>
        </w:rPr>
        <w:t>ARC 8897B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9581B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9647B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9956B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0149C</w:t>
      </w:r>
      <w:r>
        <w:rPr>
          <w:rFonts w:ascii="Times New Roman" w:hAnsi="Times New Roman"/>
          <w:b w:val="false"/>
          <w:i w:val="false"/>
          <w:color w:val="000000"/>
          <w:sz w:val="16"/>
        </w:rPr>
        <w:t>, IAB 6/13/12,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0579C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0820C</w:t>
      </w:r>
      <w:r>
        <w:rPr>
          <w:rFonts w:ascii="Times New Roman" w:hAnsi="Times New Roman"/>
          <w:b w:val="false"/>
          <w:i w:val="false"/>
          <w:color w:val="000000"/>
          <w:sz w:val="16"/>
        </w:rPr>
        <w:t>, IAB 7/10/13,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0990C</w:t>
      </w:r>
      <w:r>
        <w:rPr>
          <w:rFonts w:ascii="Times New Roman" w:hAnsi="Times New Roman"/>
          <w:b w:val="false"/>
          <w:i w:val="false"/>
          <w:color w:val="000000"/>
          <w:sz w:val="16"/>
        </w:rPr>
        <w:t>, IAB 9/4/13,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1482C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2029C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2557C</w:t>
      </w:r>
      <w:r>
        <w:rPr>
          <w:rFonts w:ascii="Times New Roman" w:hAnsi="Times New Roman"/>
          <w:b w:val="false"/>
          <w:i w:val="false"/>
          <w:color w:val="000000"/>
          <w:sz w:val="16"/>
        </w:rPr>
        <w:t>, IAB 6/8/16,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3094C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4574C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5174C</w:t>
      </w:r>
      <w:r>
        <w:rPr>
          <w:rFonts w:ascii="Times New Roman" w:hAnsi="Times New Roman"/>
          <w:b w:val="false"/>
          <w:i w:val="false"/>
          <w:color w:val="000000"/>
          <w:sz w:val="16"/>
        </w:rPr>
        <w:t>, IAB 9/9/20, effective 11/1/20</w:t>
      </w:r>
      <w:r>
        <w:rPr>
          <w:rFonts w:ascii="Times New Roman" w:hAnsi="Times New Roman"/>
          <w:b w:val="false"/>
          <w:i w:val="false"/>
          <w:color w:val="000000"/>
          <w:sz w:val="16"/>
        </w:rPr>
        <w:t xml:space="preserve">; </w:t>
      </w:r>
      <w:r>
        <w:rPr>
          <w:rFonts w:ascii="Times New Roman" w:hAnsi="Times New Roman"/>
          <w:b/>
          <w:i w:val="false"/>
          <w:color w:val="000000"/>
          <w:sz w:val="16"/>
        </w:rPr>
        <w:t>ARC 9381C</w:t>
      </w:r>
      <w:r>
        <w:rPr>
          <w:rFonts w:ascii="Times New Roman" w:hAnsi="Times New Roman"/>
          <w:b w:val="false"/>
          <w:i w:val="false"/>
          <w:color w:val="000000"/>
          <w:sz w:val="16"/>
        </w:rPr>
        <w:t>, IAB 6/25/25,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resources. </w:t>
      </w:r>
      <w:r>
        <w:rPr>
          <w:rFonts w:ascii="Times New Roman" w:hAnsi="Times New Roman"/>
          <w:b w:val="false"/>
          <w:i w:val="false"/>
          <w:color w:val="000000"/>
          <w:sz w:val="22"/>
        </w:rPr>
        <w:t>Medical resources include health and accident insurance, eligibility for care through the Department of Veterans Affairs, specialized child health services, Title XVIII of the Social Security Act (Medicare), and other resources for meeting the cost of medical care which may be available to the member. These resources must be used when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approve payment only for those services or that part of the cost of a given service for which no medical resources exist unless pay and chase provisions as defined in rule </w:t>
      </w:r>
      <w:hyperlink r:id="rId114">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have been approved by the Social Security Administration for Supplemental Security Income shall complete Form 470-0364, 470-0364(M), 470-0364(MS), or 470-0364(S), SSI Medicaid Information, and return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eligible for Part B of the Medicare program shall make assignment to the department on Form 470-0364, 470-0364(M), 470-0364(MS), or 470-0364(S), SSI Medicaid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medical assistance, a person who has the legal capacity to execute an assignment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to the department any rights to payments of medical care from any third party to the extent that payment has been made under the medical assistance program. The applicant’s signature on any form listed in </w:t>
      </w:r>
      <w:hyperlink r:id="rId115">
        <w:r>
          <w:rPr>
            <w:rStyle w:val="Hyperlink"/>
            <w:rFonts w:ascii="Times New Roman" w:hAnsi="Times New Roman"/>
            <w:b w:val="false"/>
            <w:i w:val="false"/>
            <w:color w:val="000000"/>
            <w:sz w:val="22"/>
          </w:rPr>
          <w:t>441—subrule 76.1(1)</w:t>
        </w:r>
      </w:hyperlink>
      <w:r>
        <w:rPr>
          <w:rFonts w:ascii="Times New Roman" w:hAnsi="Times New Roman"/>
          <w:b w:val="false"/>
          <w:i w:val="false"/>
          <w:color w:val="000000"/>
          <w:sz w:val="22"/>
        </w:rPr>
        <w:t xml:space="preserve"> shall constitute agreement to the assignment. The assignment shall be effective for the entire period for which medical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obtaining third-party payments. The member or one acting on the member’s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or submit an application for any reasonably available medical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Cooperate in the processing of the claim or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identifying and providing information to assist the department in pursuing any third party who may be liable to pay for medical care and services available under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cooperate in the filing or processing of a claim or application shall be considered to exist when the member, or one acting on behalf of a minor, or of a legally incompetent adult member, is physically or mentally incapable of cooperation. Good cause shall be considered to exist when cooperation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payee, acting on the behalf of a minor, or of a legally incompetent adult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as required in subrule </w:t>
      </w:r>
      <w:hyperlink r:id="rId116">
        <w:r>
          <w:rPr>
            <w:rStyle w:val="Hyperlink"/>
            <w:rFonts w:ascii="Times New Roman" w:hAnsi="Times New Roman"/>
            <w:b w:val="false"/>
            <w:i w:val="false"/>
            <w:color w:val="000000"/>
            <w:sz w:val="22"/>
          </w:rPr>
          <w:t>75.2(2)</w:t>
        </w:r>
      </w:hyperlink>
      <w:r>
        <w:rPr>
          <w:rFonts w:ascii="Times New Roman" w:hAnsi="Times New Roman"/>
          <w:b w:val="false"/>
          <w:i w:val="false"/>
          <w:color w:val="000000"/>
          <w:sz w:val="22"/>
        </w:rPr>
        <w:t xml:space="preserve"> without good cause as defined in subrule </w:t>
      </w:r>
      <w:hyperlink r:id="rId117">
        <w:r>
          <w:rPr>
            <w:rStyle w:val="Hyperlink"/>
            <w:rFonts w:ascii="Times New Roman" w:hAnsi="Times New Roman"/>
            <w:b w:val="false"/>
            <w:i w:val="false"/>
            <w:color w:val="000000"/>
            <w:sz w:val="22"/>
          </w:rPr>
          <w:t>75.2(3)</w:t>
        </w:r>
      </w:hyperlink>
      <w:r>
        <w:rPr>
          <w:rFonts w:ascii="Times New Roman" w:hAnsi="Times New Roman"/>
          <w:b w:val="false"/>
          <w:i w:val="false"/>
          <w:color w:val="000000"/>
          <w:sz w:val="22"/>
        </w:rPr>
        <w:t xml:space="preserve"> shall result in the termination of medical assistance benefits. The department shall make the determination of good cause based on information and evidence provided by the member or by one acting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medical assistance benefits of a minor or a legally incompetent adult member shall not be terminated for failure to cooperate in reporting medical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parent or payee acting on behalf of a minor or legally incompetent adult member fails to file a claim or application for reasonably available medical resources or fails to cooperate in the processing of a claim or application without good cause, the medical assistance benefits of the parent or payee shall be terminated.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7546B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8503B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441—75.3</w:t>
      </w:r>
      <w:r>
        <w:rPr>
          <w:rFonts w:ascii="Times New Roman" w:hAnsi="Times New Roman"/>
          <w:b/>
          <w:i w:val="false"/>
          <w:color w:val="000000"/>
          <w:sz w:val="22"/>
        </w:rPr>
        <w:t xml:space="preserve">(249A) </w:t>
      </w:r>
      <w:r>
        <w:rPr>
          <w:rFonts w:ascii="Times New Roman" w:hAnsi="Times New Roman"/>
          <w:b/>
          <w:i w:val="false"/>
          <w:color w:val="000000"/>
          <w:sz w:val="22"/>
        </w:rPr>
        <w:t xml:space="preserve">Acceptance of other financial benefits. </w:t>
      </w:r>
      <w:r>
        <w:rPr>
          <w:rFonts w:ascii="Times New Roman" w:hAnsi="Times New Roman"/>
          <w:b w:val="false"/>
          <w:i w:val="false"/>
          <w:color w:val="000000"/>
          <w:sz w:val="22"/>
        </w:rPr>
        <w:t>An applicant or member shall take all steps necessary to apply for and, if entitled, accept any income or resources for which the applicant or member may qualify, unless the applicant or member can show an incapacity to do so. Sources of benefits may be, but are not limited to, annuities, pensions, retirement or disability benefits, veterans’ compensation and pensions, old-age, survivors, and disability insurance, railroad retirement benefits, black lung benefits, or unemployment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the supplemental security income (SSI)-related applicant or member may be entitled to other cash benefits, the department shall send a Notice Regarding Acceptance of Other Benefits, Form 470-0383, to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val="false"/>
          <w:color w:val="000000"/>
          <w:sz w:val="22"/>
        </w:rPr>
        <w:t>The SSI-related applicant or member must express an intent to apply or refuse to apply for other benefits within ten calendar days from the date the notice is issued. A signed refusal to apply or failure to return the form shall result in denial of the application or cancellation of Medicaid unless the applicant or member is mentally or physically incapable of filing the claim for other cash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val="false"/>
          <w:color w:val="000000"/>
          <w:sz w:val="22"/>
        </w:rPr>
        <w:t>When the SSI-related applicant or member is physically or mentally incapable of filing the claim for other cash benefits, the department shall request the person acting on behalf of the member to pursue the potential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val="false"/>
          <w:color w:val="000000"/>
          <w:sz w:val="22"/>
        </w:rPr>
        <w:t>The SSI-related applicant or member shall cooperate in applying for the other benefits. Failure to timely secure the other benefits shall result in cancellation of Medicaid.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applicant or member shall not be required to apply for supplementary security income to receive Medicaid under subrule </w:t>
      </w:r>
      <w:hyperlink r:id="rId121">
        <w:r>
          <w:rPr>
            <w:rStyle w:val="Hyperlink"/>
            <w:rFonts w:ascii="Times New Roman" w:hAnsi="Times New Roman"/>
            <w:b w:val="false"/>
            <w:i w:val="false"/>
            <w:color w:val="000000"/>
            <w:sz w:val="22"/>
          </w:rPr>
          <w:t>75.1(17)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441—75.4</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When the medical assistance program pays for a member’s medical care or expenses, the department shall have a lien upon all monetary claims which the member may have against third parties for those expenses. Monetary claims shall include medical malpractice claims for injuries sustained on or after July 1, 2011. The lien shall be to the extent of the medical assistance payments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is not effective unless the department files a notice of lien with the clerk of the district court in the county where the member resides and with the member’s attorney when the member’s eligibility for medical assistance is established. The notice of lien shall be filed before the third party has concluded a final settlement with the member, the member’s attorney, or other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shall obtain a written determination from the department concerning the amount of the lien before a settlement is deemed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compromise, including, but not limited to, notification, settlement, waiver or release of a claim, does not defeat the department’s lien except pursuant to the written agreement of the director or the director’s designee under which the department would receive less than full reimbursement of the amounts it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settlement, award, or judgment structured in any manner not to include medical expenses or an action brought by a member or on behalf of a member which fails to state a claim for recovery of medical expenses does not defeat the department’s lien if there is any recovery on the member’s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notifications to the department required by law shall be directed to the Iowa Medicaid Enterprise, Revenue Collection Unit, P.O. Box 36475, Des Moines, Iowa 50315. Notification shall be considered made as of the time the notification is deposited so addressed, postage prepaid, in the United States Postal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The department may pursue its rights to recover either directly from any third party or from any recovery obtained by or on behalf of any member. If a member incurs the obligation to pay attorney fees and court costs for the purpose of enforcing a monetary claim to which the department has a lien under this section, upon the receipt of the judgment or settlement of the total claim, of which the lien for medical assistance payments is a part, the court costs and reasonable attorney fees shall first be deducted from this total judgment or settlement. One-third of the remaining balance shall then be deducted and paid to the member. From the remaining balance, the lien of the department shall be paid. Any amount remaining shall be paid to the member. An attorney acting on behalf of a member for the purpose of enforcing a claim to which the department has a lien shall not collect from the member any amount as attorney fees which is in excess of the amount which the attorney customarily would collect on claims not subject to this rule. The department will provide computer-generated documents or claim forms describing the services for which it has paid upon request of any affected member or the member’s attorney. The documents may also be provided to a third party where necessary to establish the extent of the department’s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val="false"/>
          <w:color w:val="000000"/>
          <w:sz w:val="22"/>
        </w:rPr>
        <w:t>In those cases where appropriate notification is not given to the department or where the department’s recovery rights are otherwise adversely affected by an action of the member or one acting on the member’s behalf, medical assistance benefits shall be terminated. The medical assistance benefits of a minor child or a legally incompetent adult member shall not be terminated. Subsequent eligibility for medical assistance benefits shall be denied until an amount equal to the unrecovered claim has been reimbursed to the department or the individual produces documentation of incurred medical expense equal to the amount of the unrecovered claim. The incurred medical expense shall not be paid by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or one acting on the client’s behalf, shall provide information and verification as required to establish the availability of medical or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9/4/91</w:t>
      </w:r>
      <w:r>
        <w:rPr>
          <w:rFonts w:ascii="Times New Roman" w:hAnsi="Times New Roman"/>
          <w:b w:val="false"/>
          <w:i w:val="false"/>
          <w:color w:val="000000"/>
          <w:sz w:val="22"/>
        </w:rPr>
        <w:t>, effective 11/1/91.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or person acting on the client’s behalf shall complete Form 470-2826, Supplemental Insurance Questionnaire, in a timely manner at the time of application, when any change in medical resources occurs during the application period, and when any changes in medical resources occur after the application is approved.</w:t>
      </w:r>
    </w:p>
    <w:p>
      <w:pPr>
        <w:spacing w:before="0" w:after="0"/>
        <w:ind w:left="120"/>
        <w:jc w:val="both"/>
      </w:pPr>
      <w:r>
        <w:rPr>
          <w:rFonts w:ascii="Times New Roman" w:hAnsi="Times New Roman"/>
          <w:b w:val="false"/>
          <w:i w:val="false"/>
          <w:color w:val="000000"/>
          <w:sz w:val="22"/>
        </w:rPr>
        <w:t>A report shall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that health insurance begins, changes, or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eligibility begins for care through the Department of Veterans Affairs, specialized child health services, Title XVIII of the Social Security Act (Medicare) and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client, or one acting on the client’s behalf, files an insurance claim against an insured third party, for the payment of medical expenses that otherwise would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one acting on the member’s behalf, retains an attorney with the expectation of seeking restitution for injuries from a possibly liable third party, and the medical expenses resulting from those injuries would otherwise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the member, or one acting on the member’s behalf, receives a partial or total settlement for the payment of medical expenses that would otherwise be paid by Medicaid.</w:t>
      </w:r>
    </w:p>
    <w:p>
      <w:pPr>
        <w:spacing w:before="0" w:after="0"/>
        <w:ind w:left="120"/>
        <w:jc w:val="both"/>
      </w:pPr>
      <w:r>
        <w:rPr>
          <w:rFonts w:ascii="Times New Roman" w:hAnsi="Times New Roman"/>
          <w:b w:val="false"/>
          <w:i w:val="false"/>
          <w:color w:val="000000"/>
          <w:sz w:val="22"/>
        </w:rPr>
        <w:t>The member may report the change in person, by telephone, by mail or by using the Ten-Day Report of Change, Form 470-0499 or 470-0499(S), which is mailed with the Family Investment Program warrants and is issued to the client when Medicaid applications are approved, when annual reviews are completed, when a completed Ten-Day Report of Change is submitted, and when the client requests a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or one acting on the member’s behalf, shall complete the Priority Leads Letter, Form 470-0398, when the department has reason to believe that the member has sustained an accident-related injury. Failure to cooperate in completing and returning this form, or in giving complete and accurate information, shall result in the termination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recovery rights of the department are adversely affected by the actions of a parent or payee acting on behalf of a minor or legally incompetent adult member, the Medicaid benefits of the parent or payee shall be terminated. When a parent or payee fails to cooperate in completing or returning the Priority Leads Letter, Form 470-0398, or the Supplemental Insurance Questionnaire, Form 470-2826, or fails to give complete and accurate information concerning the accident-related injuries of a minor or legally incompetent adult member, the department shall terminate the Medicaid benefits of the parent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or one acting on the member’s behalf, shall refund to the department from any settlement or payment received the amount of any medical expenses paid by Medicaid. Failure of the member to do so shall result in the termination of Medicaid benefits. In those instances where a parent or payee, acting on behalf of a minor or legally incompetent adult member, fails to refund a settlement overpayment to the department, the Medicaid benefits of the parent or payee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val="false"/>
          <w:color w:val="000000"/>
          <w:sz w:val="22"/>
        </w:rPr>
        <w:t>Third party and provider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inform the department by appropriate notation on the Health Insurance Claim, Form CMS-1500, that other coverage exists but did not cover the service being billed or that payment was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notify the department in writing by mailing copies of any billing information sent to a member, an attorney, an insurer or other third party after a claim has been submitted to or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attorney representing an applicant for medical assistance or a past or present Medicaid member on a claim to which the department has filed a lien under this rule shall notify the department of the claim of which the attorney has actual knowledge, before filing a claim, commencing an action or negotiating a settlement offer. Actual knowledge shall include the notice to the attorney pursuant to subrule </w:t>
      </w:r>
      <w:hyperlink r:id="rId124">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 The mailing and deposit in a United States post office or public mailing box of the notice, addressed to the department at its state or local office location, is adequate legal notice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75.4(5)</w:t>
      </w:r>
      <w:r>
        <w:rPr>
          <w:rFonts w:ascii="Times New Roman" w:hAnsi="Times New Roman"/>
          <w:b w:val="false"/>
          <w:i w:val="false"/>
          <w:color w:val="000000"/>
          <w:sz w:val="22"/>
        </w:rPr>
        <w:t> </w:t>
      </w:r>
      <w:r>
        <w:rPr>
          <w:rFonts w:ascii="Times New Roman" w:hAnsi="Times New Roman"/>
          <w:b w:val="false"/>
          <w:i w:val="false"/>
          <w:color w:val="000000"/>
          <w:sz w:val="22"/>
        </w:rPr>
        <w:t>Department’s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department’s liens are valid and binding on an attorney, insurer or other third party only upon notice by the department or unless the attorney, insurer or other third party has actual notice that the member is receiving medical assistance from the department and only to the extent that the attorney, insurer or third party has not made payment to the member or an assignee of the member prior to the notice.</w:t>
      </w:r>
    </w:p>
    <w:p>
      <w:pPr>
        <w:spacing w:before="0" w:after="0"/>
        <w:ind w:left="120"/>
        <w:jc w:val="both"/>
      </w:pPr>
      <w:r>
        <w:rPr>
          <w:rFonts w:ascii="Times New Roman" w:hAnsi="Times New Roman"/>
          <w:b w:val="false"/>
          <w:i w:val="false"/>
          <w:color w:val="000000"/>
          <w:sz w:val="22"/>
        </w:rPr>
        <w:t xml:space="preserve">Any information released to an attorney, insurer or other third party, by the health care services provider, that indicates that reimbursement from the state was contemplated or received, shall be construed as giving the attorney, insurer or other third party actual knowledge of the department’s involvement. For example, information supplied by a health care services provider which indicates medical assistance involvement shall be construed as showing involvement by the department under Iowa Code section </w:t>
      </w:r>
      <w:hyperlink r:id="rId125">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 Payment of benefits by an insurer or third party pursuant to the rights of the lienholder in this rule discharges the attorney, insurer or other third party from liability to the member or the member’s assignee to the extent of the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attorney is representing a member on a claim to which the department filed a lien under this rule, the department shall issue notice to that attorney of the department’s lien rights by mailing the Notice of Medical Assistance Lien, Form 470-3030,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insurer is liable for the costs of a member’s medical expenses, the department shall issue notice to the insurer of the department’s lien rights by mailing the Notice of Medical Assistance Lien, Form 470-3030,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mailing and deposit in a United States post office or public mailing box of the notice, addressed to the attorney or insurer, is adequate legal notice of the department’s subrogation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75.4(6)</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“third party” includes an attorney, individual, institution, corporation, or public or private agency which is or may be liable to pay part or all of the medical costs incurred as a result of injury, disease or disability by or on behalf of an applicant for medical assistance or a past or present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75.4(7)</w:t>
      </w:r>
      <w:r>
        <w:rPr>
          <w:rFonts w:ascii="Times New Roman" w:hAnsi="Times New Roman"/>
          <w:b w:val="false"/>
          <w:i w:val="false"/>
          <w:color w:val="000000"/>
          <w:sz w:val="22"/>
        </w:rPr>
        <w:t> </w:t>
      </w:r>
      <w:r>
        <w:rPr>
          <w:rFonts w:ascii="Times New Roman" w:hAnsi="Times New Roman"/>
          <w:b w:val="false"/>
          <w:i w:val="false"/>
          <w:color w:val="000000"/>
          <w:sz w:val="22"/>
        </w:rPr>
        <w:t>The department may enforce its lien by a civil action against any liable third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 </w:t>
      </w:r>
      <w:hyperlink r:id="rId12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certain factors must be considered differently for persons who reside in a medical institution. They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Determining income from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shall be considered in proportion to the Medicaid client’s or spouse’s interest. If payment is made jointly to both spouses and no interest is specified, one-half of the couple’s joint interest shall be considered available for each spouse. If the client or the client’s spouse can establish different ownership by a preponderance of evidence, the income shall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shall be considered available as provided in the trust. In the absence of specific provisions in the trust, the income shall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Division of income between married people for SSI-related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person’s income shall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shall be treated as a couple until the first day of the seventh calendar month that they continuously reside in the facility. The couple may continue to be considered as a couple for medical assistance effective the first day of the seventh calendar month of continuous residency if one partner would be ineligible for medical assistance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130">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 Persons treated together as a couple for income must be treated together for resources and persons treated individually for income must be treated individually for resources.</w:t>
      </w:r>
    </w:p>
    <w:p>
      <w:pPr>
        <w:spacing w:before="0" w:after="0"/>
        <w:ind w:left="120"/>
        <w:jc w:val="both"/>
      </w:pPr>
      <w:r>
        <w:rPr>
          <w:rFonts w:ascii="Times New Roman" w:hAnsi="Times New Roman"/>
          <w:b w:val="false"/>
          <w:i w:val="false"/>
          <w:color w:val="000000"/>
          <w:sz w:val="22"/>
        </w:rPr>
        <w:t xml:space="preserve">Spouses residing in the same room in a medical institution may be treated as individuals effective the first day of the seventh calendar month. The income of each spouse shall not exceed the income limit established in subrule </w:t>
      </w:r>
      <w:hyperlink r:id="rId131">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shall be treated as individuals effective the month after the month the partners cease living together. Their income shall be treated separately for eligibility. If they live in the same facility after six months of continuous residence, they may be considered as a couple for medical assistance effective the first day of the seventh calendar month of continuous residency if one partner would be ineligible for medical assistance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132">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val="false"/>
          <w:color w:val="000000"/>
          <w:sz w:val="22"/>
        </w:rPr>
        <w:t>Attribution of resources to institutionalized spouse and community spouse. The department shall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shall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Form 470-2577, Resources Upon Entering a Medical Facility,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Form 470-2577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shall include a match of the Internal Revenue Service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133">
        <w:r>
          <w:rPr>
            <w:rStyle w:val="Hyperlink"/>
            <w:rFonts w:ascii="Times New Roman" w:hAnsi="Times New Roman"/>
            <w:b w:val="false"/>
            <w:i w:val="false"/>
            <w:color w:val="000000"/>
            <w:sz w:val="22"/>
          </w:rPr>
          <w:t>441—paragraph 41.22(3)</w:t>
        </w:r>
        <w:r>
          <w:rPr>
            <w:rFonts w:ascii="Times New Roman" w:hAnsi="Times New Roman"/>
            <w:b w:val="false"/>
            <w:i/>
            <w:color w:val="000000"/>
            <w:sz w:val="22"/>
          </w:rPr>
          <w:t>“a”</w:t>
        </w:r>
      </w:hyperlink>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natives of Alaska, shares of stock held in a regional or a village corporation, during the period of 20 years in which the stock is inalienable, as provided in Section 7(h) and Section 8(c) of the Alaska Native Claims Settlement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amount of underpayment of SSI or social security benefit due either spouse for one or more months prior to the month of receipt. This exclusion shall be limited to the first six months following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in excess of $1500 for each spouse that is separately identifiable and has been set aside to meet the burial and related expenses of that spouse. The amount of $1500 shall be reduced by an amount equal to the total face value of all insurance policies which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Relocation assistance provided by a state or local government to a client comparable to assistance provided under Title II of the Uniform Relocation Assistance and Real Property Acquisition Policies Act of 1970 which is subject to the treatment required by Section 216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shall be protected for the community spouse. Also, when one-half of the resources attributed to the community spouse exceeds the maximum amount allowed as a community spouse resource allowance under the federal spousal impoverishment provisions, the amount over the maximum shall be attributed to the institutionalized spouse. (The minimum and maximum limits are indexed annually according to the consumer price index.) The federal spousal impoverishment provisions are defined at Section 1924(f)(2)(A)(i) of the Social Security Act (42 U.S.C. §1396r-5(f)(2)(A)(i)).</w:t>
      </w:r>
    </w:p>
    <w:p>
      <w:pPr>
        <w:spacing w:before="0" w:after="0"/>
        <w:ind w:left="120"/>
        <w:jc w:val="both"/>
      </w:pPr>
      <w:r>
        <w:rPr>
          <w:rFonts w:ascii="Times New Roman" w:hAnsi="Times New Roman"/>
          <w:b w:val="false"/>
          <w:i w:val="false"/>
          <w:color w:val="000000"/>
          <w:sz w:val="22"/>
        </w:rPr>
        <w:t>If the institutionalized spouse has transferred resources to the community spouse under a court order for the support of the community spouse, the amount transferred shall be the amount attributed to the community spouse if it exceeds the specified limits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shall provide each spouse a notice of the attribution results. The notice shall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w:t>
      </w:r>
    </w:p>
    <w:p>
      <w:pPr>
        <w:spacing w:before="0" w:after="0"/>
        <w:ind w:left="120"/>
        <w:jc w:val="both"/>
      </w:pPr>
      <w:r>
        <w:rPr>
          <w:rFonts w:ascii="Times New Roman" w:hAnsi="Times New Roman"/>
          <w:b w:val="false"/>
          <w:i w:val="false"/>
          <w:color w:val="000000"/>
          <w:sz w:val="22"/>
        </w:rPr>
        <w:t>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shall be governed by procedures in </w:t>
      </w:r>
      <w:hyperlink r:id="rId1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shall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w:t>
      </w:r>
      <w:hyperlink r:id="rId135">
        <w:r>
          <w:rPr>
            <w:rStyle w:val="Hyperlink"/>
            <w:rFonts w:ascii="Times New Roman" w:hAnsi="Times New Roman"/>
            <w:b w:val="false"/>
            <w:i w:val="false"/>
            <w:color w:val="000000"/>
            <w:sz w:val="22"/>
          </w:rPr>
          <w:t>75.16(2)</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shall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shall be based on the maintenance needs allowance as provided by these rules at the time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shall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cost of an annuity shall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shall be no substitution for the cost of the annuity, and the attribution will remain as previously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shall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shall be determined using the following calculation: The difference between the community spouse’s gross monthly income not generated by countable resources (times 12) and the minimum monthly maintenance needs allowance (times 12) shall be multiplied by the annuity factor for the age of the community spouse in the Table for an Annuity for Life published at the end of Iowa Code chapter </w:t>
      </w:r>
      <w:hyperlink r:id="rId136">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This amount shall be substituted for the amount of resources attributed to the community spouse pursuant to subparagraph </w:t>
      </w:r>
      <w:hyperlink r:id="rId137">
        <w:r>
          <w:rPr>
            <w:rStyle w:val="Hyperlink"/>
            <w:rFonts w:ascii="Times New Roman" w:hAnsi="Times New Roman"/>
            <w:b w:val="false"/>
            <w:i w:val="false"/>
            <w:color w:val="000000"/>
            <w:sz w:val="22"/>
          </w:rPr>
          <w:t>75.5(3)</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val="false"/>
          <w:color w:val="000000"/>
          <w:sz w:val="22"/>
        </w:rPr>
        <w:t>Consideration of resources of married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spouse in a medical facility who entered the facility on or after September 30,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month. When the institutionalized spouse is expected to stay in a medical facility less than 30 consecutive days, the resources of both spouses shall be considered in determining initial Medicaid eligibility.</w:t>
      </w:r>
    </w:p>
    <w:p>
      <w:pPr>
        <w:spacing w:before="0" w:after="0"/>
        <w:ind w:left="120"/>
        <w:jc w:val="both"/>
      </w:pPr>
      <w:r>
        <w:rPr>
          <w:rFonts w:ascii="Times New Roman" w:hAnsi="Times New Roman"/>
          <w:b w:val="false"/>
          <w:i w:val="false"/>
          <w:color w:val="000000"/>
          <w:sz w:val="22"/>
        </w:rPr>
        <w:t xml:space="preserve">When the institutionalized spouse is expected to be in a medical facility 30 consecutive days or more, only the resources not attributed to the community spouse according to subrule </w:t>
      </w:r>
      <w:hyperlink r:id="rId138">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shall be considered in determining initial eligibility for the institutionalized spouse.</w:t>
      </w:r>
    </w:p>
    <w:p>
      <w:pPr>
        <w:spacing w:before="0" w:after="0"/>
        <w:ind w:left="120"/>
        <w:jc w:val="both"/>
      </w:pPr>
      <w:r>
        <w:rPr>
          <w:rFonts w:ascii="Times New Roman" w:hAnsi="Times New Roman"/>
          <w:b w:val="false"/>
          <w:i w:val="false"/>
          <w:color w:val="000000"/>
          <w:sz w:val="22"/>
        </w:rPr>
        <w:t>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eligibility. After the month in which the institutionalized spouse is determined eligible, no resources of the community spouse shall be deemed available to the institutionalized spouse during the continuous period in which the spouse is in an institution. Resources which are owned wholly or in part by the institutionalized spouse and which are not transferred to the community spouse shall be counted in determining ongoing eligibility. The resources of the institutionalized spouse shall not count for ongoing eligibility to the extent that the institutionalized spouse intends to transfer and does transfer the resources to the community spouse within 90 days unless unable to effect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w:t>
      </w:r>
    </w:p>
    <w:p>
      <w:pPr>
        <w:spacing w:before="0" w:after="0"/>
        <w:ind w:left="120"/>
        <w:jc w:val="both"/>
      </w:pPr>
      <w:r>
        <w:rPr>
          <w:rFonts w:ascii="Times New Roman" w:hAnsi="Times New Roman"/>
          <w:b w:val="false"/>
          <w:i w:val="false"/>
          <w:color w:val="000000"/>
          <w:sz w:val="22"/>
        </w:rPr>
        <w:t>The applicant can demonstrate hardship when the applicant is unable to obtain information about the community spouse’s resources after exploring all legal means.</w:t>
      </w:r>
    </w:p>
    <w:p>
      <w:pPr>
        <w:spacing w:before="0" w:after="0"/>
        <w:ind w:left="120"/>
        <w:jc w:val="both"/>
      </w:pPr>
      <w:r>
        <w:rPr>
          <w:rFonts w:ascii="Times New Roman" w:hAnsi="Times New Roman"/>
          <w:b w:val="false"/>
          <w:i w:val="false"/>
          <w:color w:val="000000"/>
          <w:sz w:val="22"/>
        </w:rPr>
        <w:t>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shall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spouse in a medical institution prior to September 30, 1989. When one spouse is in the medical institution prior to September 30, 1989, only the resources of the institutionalized spouse shall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Spouses institutionalized and living together. The combined resources of both partners in a marriage who are residing in the same room in a medical institution shall be subject to the resource limit for a married couple until the first of the seventh calendar month that they continuously reside in the facility. The couple may continue to be considered as a couple for medical assistance effective with the seventh month if one partner would be ineligible for medical assistance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Spouses institutionalized and living apart. Partners in a marriage who are both institutionalized, although not residing in the same room of the institution, shall be treated as individuals effective the month after the month the partners cease living together. If they live in the same facility after six months of continuous residence, they may be considered as a couple for medical assistance effective the first day of the seventh calendar month of continuous residency if one partner would be ineligible for medical assistance or would receive reduced benefits by considering them separately or if they choose to be considered together.</w:t>
      </w:r>
    </w:p>
    <w:p>
      <w:pPr>
        <w:spacing w:before="0" w:after="0"/>
        <w:ind w:left="120"/>
        <w:jc w:val="both"/>
      </w:pPr>
      <w:r>
        <w:rPr>
          <w:rFonts w:ascii="Times New Roman" w:hAnsi="Times New Roman"/>
          <w:b w:val="false"/>
          <w:i w:val="false"/>
          <w:color w:val="000000"/>
          <w:sz w:val="22"/>
        </w:rPr>
        <w:t>In the month of entry into a medical institution, all resources of both spouses shall be combined and shall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Consideration of resources for persons in a medical institution who have purchased and used a qualified or approved long-term care insurance policy pursuant to department of commerce, division of insurance, rules in </w:t>
      </w:r>
      <w:hyperlink r:id="rId139">
        <w:r>
          <w:rPr>
            <w:rStyle w:val="Hyperlink"/>
            <w:rFonts w:ascii="Times New Roman" w:hAnsi="Times New Roman"/>
            <w:b w:val="false"/>
            <w:i w:val="false"/>
            <w:color w:val="000000"/>
            <w:sz w:val="22"/>
          </w:rPr>
          <w:t>191—Chapter 39</w:t>
        </w:r>
      </w:hyperlink>
      <w:r>
        <w:rPr>
          <w:rFonts w:ascii="Times New Roman" w:hAnsi="Times New Roman"/>
          <w:b w:val="false"/>
          <w:i w:val="false"/>
          <w:color w:val="000000"/>
          <w:sz w:val="22"/>
        </w:rPr>
        <w:t xml:space="preserve"> or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medical assistance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w:t>
      </w:r>
      <w:hyperlink r:id="rId140">
        <w:r>
          <w:rPr>
            <w:rStyle w:val="Hyperlink"/>
            <w:rFonts w:ascii="Times New Roman" w:hAnsi="Times New Roman"/>
            <w:b w:val="false"/>
            <w:i w:val="false"/>
            <w:color w:val="000000"/>
            <w:sz w:val="22"/>
          </w:rPr>
          <w:t>191—Chapter 39</w:t>
        </w:r>
      </w:hyperlink>
      <w:r>
        <w:rPr>
          <w:rFonts w:ascii="Times New Roman" w:hAnsi="Times New Roman"/>
          <w:b w:val="false"/>
          <w:i w:val="false"/>
          <w:color w:val="000000"/>
          <w:sz w:val="22"/>
        </w:rPr>
        <w:t xml:space="preserve"> or 72;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medical assistance under </w:t>
      </w:r>
      <w:hyperlink r:id="rId141">
        <w:r>
          <w:rPr>
            <w:rStyle w:val="Hyperlink"/>
            <w:rFonts w:ascii="Times New Roman" w:hAnsi="Times New Roman"/>
            <w:b w:val="false"/>
            <w:i w:val="false"/>
            <w:color w:val="000000"/>
            <w:sz w:val="22"/>
          </w:rPr>
          <w:t>75.1(6)</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 xml:space="preserve">, or </w:t>
      </w:r>
      <w:hyperlink r:id="rId143">
        <w:r>
          <w:rPr>
            <w:rStyle w:val="Hyperlink"/>
            <w:rFonts w:ascii="Times New Roman" w:hAnsi="Times New Roman"/>
            <w:b w:val="false"/>
            <w:i w:val="false"/>
            <w:color w:val="000000"/>
            <w:sz w:val="22"/>
          </w:rPr>
          <w:t>75.1(18)</w:t>
        </w:r>
      </w:hyperlink>
      <w:r>
        <w:rPr>
          <w:rFonts w:ascii="Times New Roman" w:hAnsi="Times New Roman"/>
          <w:b w:val="false"/>
          <w:i w:val="false"/>
          <w:color w:val="000000"/>
          <w:sz w:val="22"/>
        </w:rPr>
        <w:t xml:space="preserve">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“Asset adjustment” shall mean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medical assistance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4">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147">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Entrance fee for continuing care retirement community or life care community. </w:t>
      </w:r>
      <w:r>
        <w:rPr>
          <w:rFonts w:ascii="Times New Roman" w:hAnsi="Times New Roman"/>
          <w:b w:val="false"/>
          <w:i w:val="false"/>
          <w:color w:val="000000"/>
          <w:sz w:val="22"/>
        </w:rPr>
        <w:t>When an individual resides in a continuing care retirement community or life care community that collects an entrance fee on admission, the entrance fee paid shall be considered a resource available to the individual for purposes of determining the individual’s Medicaid eligibility and the amount of benefits to the extent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has the ability to use the entrance fee, or the contract between the individual and the community provides that the entrance fee may be used to pay for care should the individual’s other resources or income be insufficient to pay for such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is eligible for a refund of any remaining entrance fee when the individual dies or when the individual terminates the community contract and leaves the community;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entrance fee does not confer an ownership interest in the community.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441—75.7</w:t>
      </w:r>
      <w:r>
        <w:rPr>
          <w:rFonts w:ascii="Times New Roman" w:hAnsi="Times New Roman"/>
          <w:b/>
          <w:i w:val="false"/>
          <w:color w:val="000000"/>
          <w:sz w:val="22"/>
        </w:rPr>
        <w:t xml:space="preserve">(249A)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except as provided by subrule </w:t>
      </w:r>
      <w:hyperlink r:id="rId149">
        <w:r>
          <w:rPr>
            <w:rStyle w:val="Hyperlink"/>
            <w:rFonts w:ascii="Times New Roman" w:hAnsi="Times New Roman"/>
            <w:b w:val="false"/>
            <w:i w:val="false"/>
            <w:color w:val="000000"/>
            <w:sz w:val="22"/>
          </w:rPr>
          <w:t>75.7(2)</w:t>
        </w:r>
      </w:hyperlink>
      <w:r>
        <w:rPr>
          <w:rFonts w:ascii="Times New Roman" w:hAnsi="Times New Roman"/>
          <w:b w:val="false"/>
          <w:i w:val="false"/>
          <w:color w:val="000000"/>
          <w:sz w:val="22"/>
        </w:rPr>
        <w:t>, all social security numbers issued to each individual (including children) for whom Medicaid is sought must be furnished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of subrule </w:t>
      </w:r>
      <w:hyperlink r:id="rId150">
        <w:r>
          <w:rPr>
            <w:rStyle w:val="Hyperlink"/>
            <w:rFonts w:ascii="Times New Roman" w:hAnsi="Times New Roman"/>
            <w:b w:val="false"/>
            <w:i w:val="false"/>
            <w:color w:val="000000"/>
            <w:sz w:val="22"/>
          </w:rPr>
          <w:t>75.7(1)</w:t>
        </w:r>
      </w:hyperlink>
      <w:r>
        <w:rPr>
          <w:rFonts w:ascii="Times New Roman" w:hAnsi="Times New Roman"/>
          <w:b w:val="false"/>
          <w:i w:val="false"/>
          <w:color w:val="000000"/>
          <w:sz w:val="22"/>
        </w:rPr>
        <w:t xml:space="preserve">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 422.104</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the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Adheres to the tenets or teachings of the sect or division of the sect and for that reason is conscientiously opposed to applying for or using a national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val="false"/>
          <w:color w:val="000000"/>
          <w:sz w:val="22"/>
        </w:rPr>
        <w:t>If a social security number has not been issued or is not known, the individual seeking Medicaid must cooperate with the department in applying for a social security number with the Social Security Administration or in requesting the Social Security Administration to furnish the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the Social Security Administration following an appeal on a denied application for any of the categories of medical assistance eligibility set forth in rule </w:t>
      </w:r>
      <w:hyperlink r:id="rId15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medical assistance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medical assistance program as set forth in </w:t>
      </w:r>
      <w:hyperlink r:id="rId152">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recipient’s behalf and has not received reimbursement through assignment as set forth in </w:t>
      </w:r>
      <w:hyperlink r:id="rId153">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val="false"/>
          <w:color w:val="000000"/>
          <w:sz w:val="22"/>
        </w:rPr>
        <w:t>Recipients and county relief agencies shall file claims for payment under this subrule by submitting Form 470-2224, Verification of Paid Medical Bills, to the department. A supply of these forms is available from the county office. All requests for reimbursement shall be acted upon within 60 days of receipt of all Forms 470-2224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15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441—75.9</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Medicaid qualifying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val="false"/>
          <w:color w:val="000000"/>
          <w:sz w:val="22"/>
        </w:rPr>
        <w:t>A Medicaid qualifying trust is a trust or similar legal device established, on or before August 10, 1993, other than by will by a person or that person’s spouse under which the person may be the beneficiary of payments from the trust and the distribution of these payments is determined by one or more trustees who are permitted to exercise any discretion with respect to the distribution to the person. Trusts or initial trust decrees established prior to April 7, 1986, solely for the benefit of a mentally retarded person who resides in an intermediate care facility for the mentally retarded,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val="false"/>
          <w:color w:val="000000"/>
          <w:sz w:val="22"/>
        </w:rPr>
        <w:t>The amount of income and principal from a Medicaid qualifying trust that shall be considered available shall be the maximum amount that may be permitted under the terms of the trust assuming the full exercise of discretion by the trustee or trustees for the distribution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Trust income considered available shall be counted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 principal (including accumulated income) considered available shall be counted as a resource, except where the trust explicitly limits the amount of principal that can be made available on an annual or less frequent basis. Where the trust limits the amount, the principal considered available over any particular period of time shall be counted as income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trust principal and income is available only for medical care, this principal or income shall not be used to determine eligibility. To the extent that the trust is restricted to medical expenses, it shall be used as a third party resource.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441—75.10</w:t>
      </w:r>
      <w:r>
        <w:rPr>
          <w:rFonts w:ascii="Times New Roman" w:hAnsi="Times New Roman"/>
          <w:b/>
          <w:i w:val="false"/>
          <w:color w:val="000000"/>
          <w:sz w:val="22"/>
        </w:rPr>
        <w:t xml:space="preserve">(249A) </w:t>
      </w:r>
      <w:r>
        <w:rPr>
          <w:rFonts w:ascii="Times New Roman" w:hAnsi="Times New Roman"/>
          <w:b/>
          <w:i w:val="false"/>
          <w:color w:val="000000"/>
          <w:sz w:val="22"/>
        </w:rPr>
        <w:t xml:space="preserve">Residency requirements. </w:t>
      </w:r>
      <w:r>
        <w:rPr>
          <w:rFonts w:ascii="Times New Roman" w:hAnsi="Times New Roman"/>
          <w:b w:val="false"/>
          <w:i w:val="false"/>
          <w:color w:val="000000"/>
          <w:sz w:val="22"/>
        </w:rPr>
        <w:t>Residency in Iowa is a condition of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Institutions. </w:t>
      </w:r>
      <w:r>
        <w:rPr>
          <w:rFonts w:ascii="Times New Roman" w:hAnsi="Times New Roman"/>
          <w:b w:val="false"/>
          <w:i w:val="false"/>
          <w:color w:val="000000"/>
          <w:sz w:val="22"/>
        </w:rPr>
        <w:t xml:space="preserve">For purposes of this rule, “institution” means an “institution” or a “medical institution” as those terms are defined in </w:t>
      </w:r>
      <w:r>
        <w:rPr>
          <w:rFonts w:ascii="Times New Roman" w:hAnsi="Times New Roman"/>
          <w:b w:val="false"/>
          <w:i w:val="false"/>
          <w:color w:val="000000"/>
          <w:sz w:val="22"/>
        </w:rPr>
        <w:t>42 CFR § 435.1010</w:t>
      </w:r>
      <w:r>
        <w:rPr>
          <w:rFonts w:ascii="Times New Roman" w:hAnsi="Times New Roman"/>
          <w:b w:val="false"/>
          <w:i w:val="false"/>
          <w:color w:val="000000"/>
          <w:sz w:val="22"/>
        </w:rPr>
        <w:t xml:space="preserve"> as amended to July 13, 2007. For purposes of state placement, “institution” also includes foster care homes licensed as set forth in </w:t>
      </w:r>
      <w:r>
        <w:rPr>
          <w:rFonts w:ascii="Times New Roman" w:hAnsi="Times New Roman"/>
          <w:b w:val="false"/>
          <w:i w:val="false"/>
          <w:color w:val="000000"/>
          <w:sz w:val="22"/>
        </w:rPr>
        <w:t>45 CFR § 1355.20</w:t>
      </w:r>
      <w:r>
        <w:rPr>
          <w:rFonts w:ascii="Times New Roman" w:hAnsi="Times New Roman"/>
          <w:b w:val="false"/>
          <w:i w:val="false"/>
          <w:color w:val="000000"/>
          <w:sz w:val="22"/>
        </w:rPr>
        <w:t xml:space="preserve"> as amended to January 6, 2012, and providing food, shelter and supportive services to one or more persons unrelated to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Incapable of expressing intent regarding residency. </w:t>
      </w:r>
      <w:r>
        <w:rPr>
          <w:rFonts w:ascii="Times New Roman" w:hAnsi="Times New Roman"/>
          <w:b w:val="false"/>
          <w:i w:val="false"/>
          <w:color w:val="000000"/>
          <w:sz w:val="22"/>
        </w:rPr>
        <w:t>For purposes of this rule, an individual is considered to be “incapable of indicating intent regarding residency” if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an IQ of 49 or less or has a mental age of seven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judged legally incompetent;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been determined to be incapable of indicating intent regarding residency by a physician, psychologist or other person licensed by the state in the field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w:t>
      </w:r>
      <w:r>
        <w:rPr>
          <w:rFonts w:ascii="Times New Roman" w:hAnsi="Times New Roman"/>
          <w:b w:val="false"/>
          <w:i w:val="false"/>
          <w:color w:val="000000"/>
          <w:sz w:val="22"/>
        </w:rPr>
        <w:t>State residency is determined according to the following criteria. If more than one criterion applies, the applicable criterion listed first determines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Cases of disputed residency. If two or more states do not agree on an individual’s state of residence, the state where the individual is physically located is the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absence from state of residence. An individual who was a resident of a state pursuant to the other criteria of this rule, who is temporarily absent from that state, and who intends to return to that state when the purpose of the absence has been accomplished remains a resident of that state during the absence, unless another state has determined that the person is a resident there for Medicaid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placed by a state in an out-of-state institution. If any agency of a state, including an entity recognized under state law as being under contract with the state for such purposes, arranges for an individual to be placed in an institution located in another state, the state arranging or actually making the placement is considered the individual’s state of residence during that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beyond providing information to the individual and the individual’s family constitutes arranging or making a placement. However, the following actions do not constitute arranging or making a placement: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basic information to individuals about another state’s Medicaid program and information about the availability of health care services and facilities in another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an individual in locating an institution in another state, provided the individual is not incapable of indicating intent regarding residency and independently decides to move.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competent individual leaves an out-of-state institution in which the individual was placed by a state, that individual’s state of residence is the state where the individual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receiving a state supplementary assistance payment. Individuals who are receiving a state supplementary assistance payment pursuant to 42 U.S.C. § 1382e (including payments from Iowa pursuant to rules </w:t>
      </w:r>
      <w:hyperlink r:id="rId157">
        <w:r>
          <w:rPr>
            <w:rStyle w:val="Hyperlink"/>
            <w:rFonts w:ascii="Times New Roman" w:hAnsi="Times New Roman"/>
            <w:b w:val="false"/>
            <w:i w:val="false"/>
            <w:color w:val="000000"/>
            <w:sz w:val="22"/>
          </w:rPr>
          <w:t>441—50.1</w:t>
        </w:r>
      </w:hyperlink>
      <w:r>
        <w:rPr>
          <w:rFonts w:ascii="Times New Roman" w:hAnsi="Times New Roman"/>
          <w:b w:val="false"/>
          <w:i w:val="false"/>
          <w:color w:val="000000"/>
          <w:sz w:val="22"/>
        </w:rPr>
        <w:t xml:space="preserve">(249) through </w:t>
      </w:r>
      <w:hyperlink r:id="rId158">
        <w:r>
          <w:rPr>
            <w:rStyle w:val="Hyperlink"/>
            <w:rFonts w:ascii="Times New Roman" w:hAnsi="Times New Roman"/>
            <w:b w:val="false"/>
            <w:i w:val="false"/>
            <w:color w:val="000000"/>
            <w:sz w:val="22"/>
          </w:rPr>
          <w:t>441—54.8</w:t>
        </w:r>
      </w:hyperlink>
      <w:r>
        <w:rPr>
          <w:rFonts w:ascii="Times New Roman" w:hAnsi="Times New Roman"/>
          <w:b w:val="false"/>
          <w:i w:val="false"/>
          <w:color w:val="000000"/>
          <w:sz w:val="22"/>
        </w:rPr>
        <w:t xml:space="preserve">(249), </w:t>
      </w:r>
      <w:hyperlink r:id="rId159">
        <w:r>
          <w:rPr>
            <w:rStyle w:val="Hyperlink"/>
            <w:rFonts w:ascii="Times New Roman" w:hAnsi="Times New Roman"/>
            <w:b w:val="false"/>
            <w:i w:val="false"/>
            <w:color w:val="000000"/>
            <w:sz w:val="22"/>
          </w:rPr>
          <w:t>441—81.23</w:t>
        </w:r>
      </w:hyperlink>
      <w:r>
        <w:rPr>
          <w:rFonts w:ascii="Times New Roman" w:hAnsi="Times New Roman"/>
          <w:b w:val="false"/>
          <w:i w:val="false"/>
          <w:color w:val="000000"/>
          <w:sz w:val="22"/>
        </w:rPr>
        <w:t xml:space="preserve">(249A), </w:t>
      </w:r>
      <w:hyperlink r:id="rId160">
        <w:r>
          <w:rPr>
            <w:rStyle w:val="Hyperlink"/>
            <w:rFonts w:ascii="Times New Roman" w:hAnsi="Times New Roman"/>
            <w:b w:val="false"/>
            <w:i w:val="false"/>
            <w:color w:val="000000"/>
            <w:sz w:val="22"/>
          </w:rPr>
          <w:t>441—82.19</w:t>
        </w:r>
      </w:hyperlink>
      <w:r>
        <w:rPr>
          <w:rFonts w:ascii="Times New Roman" w:hAnsi="Times New Roman"/>
          <w:b w:val="false"/>
          <w:i w:val="false"/>
          <w:color w:val="000000"/>
          <w:sz w:val="22"/>
        </w:rPr>
        <w:t xml:space="preserve">(249A), </w:t>
      </w:r>
      <w:hyperlink r:id="rId161">
        <w:r>
          <w:rPr>
            <w:rStyle w:val="Hyperlink"/>
            <w:rFonts w:ascii="Times New Roman" w:hAnsi="Times New Roman"/>
            <w:b w:val="false"/>
            <w:i w:val="false"/>
            <w:color w:val="000000"/>
            <w:sz w:val="22"/>
          </w:rPr>
          <w:t>441—85.47</w:t>
        </w:r>
      </w:hyperlink>
      <w:r>
        <w:rPr>
          <w:rFonts w:ascii="Times New Roman" w:hAnsi="Times New Roman"/>
          <w:b w:val="false"/>
          <w:i w:val="false"/>
          <w:color w:val="000000"/>
          <w:sz w:val="22"/>
        </w:rPr>
        <w:t xml:space="preserve">(249A), or </w:t>
      </w:r>
      <w:hyperlink r:id="rId162">
        <w:r>
          <w:rPr>
            <w:rStyle w:val="Hyperlink"/>
            <w:rFonts w:ascii="Times New Roman" w:hAnsi="Times New Roman"/>
            <w:b w:val="false"/>
            <w:i w:val="false"/>
            <w:color w:val="000000"/>
            <w:sz w:val="22"/>
          </w:rPr>
          <w:t>441—177.1</w:t>
        </w:r>
      </w:hyperlink>
      <w:r>
        <w:rPr>
          <w:rFonts w:ascii="Times New Roman" w:hAnsi="Times New Roman"/>
          <w:b w:val="false"/>
          <w:i w:val="false"/>
          <w:color w:val="000000"/>
          <w:sz w:val="22"/>
        </w:rPr>
        <w:t xml:space="preserve">(249) through </w:t>
      </w:r>
      <w:hyperlink r:id="rId163">
        <w:r>
          <w:rPr>
            <w:rStyle w:val="Hyperlink"/>
            <w:rFonts w:ascii="Times New Roman" w:hAnsi="Times New Roman"/>
            <w:b w:val="false"/>
            <w:i w:val="false"/>
            <w:color w:val="000000"/>
            <w:sz w:val="22"/>
          </w:rPr>
          <w:t>441—177.11</w:t>
        </w:r>
      </w:hyperlink>
      <w:r>
        <w:rPr>
          <w:rFonts w:ascii="Times New Roman" w:hAnsi="Times New Roman"/>
          <w:b w:val="false"/>
          <w:i w:val="false"/>
          <w:color w:val="000000"/>
          <w:sz w:val="22"/>
        </w:rPr>
        <w:t>(249)) are considered to be residents of the state paying the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receiving Title IV-E payments. Individuals who are receiving federal foster care or adoption assistance payments for a child under Title IV-E of the Social Security Act are considered to be residents of the state where the child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are capable of indicating intent regarding residency. For an individual aged 21 or over who is residing in an institution and who is not incapable of indicating intent regarding residency, the state of residence is the state where the individual is living and intends to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became incapable of indicating intent regarding residency before the age of 21. For an individual aged 21 or over who is residing in an institution and who became incapable of indicating intent regarding residency before the age of 21,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of the parent applying for Medicaid on the individual’s behalf if the parents reside in separate states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became incapable of indicating intent regarding residency at or after the age of 21. For an individual aged 21 or over who is residing in an institution and who became incapable of indicating intent regarding residency at or after the age of 21, the state of residence is the state in which the individual is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not residing in an institution and who are incapable of indicating intent regarding residency. For an individual aged 21 or over who is not residing in an institution and who is incapable of indicating intent regarding residency, the state of residence is the state where the individual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not residing in an institution and who are capable of indicating intent regarding residency. For an individual aged 21 or over who is not residing in an institution and who is not incapable of indicating intent regarding residency, the state of residence is the state where the individual is living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Intends to reside,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Entered with a job commitment or to seek employment,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21 who are residing in an institution and who are not married or emancipated. For an individual under the age of 21 who is residing in an institution and who is neither married nor emancipated,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under the age of 21 who are capable of indicating intent regarding residency and who are married or emancipated. For an individual under the age of 21 who is not incapable of indicating intent regarding residency and who is married or emancipated from the individual’s parent, the state of residence is determined in accordance with paragraph </w:t>
      </w:r>
      <w:hyperlink r:id="rId164">
        <w:r>
          <w:rPr>
            <w:rStyle w:val="Hyperlink"/>
            <w:rFonts w:ascii="Times New Roman" w:hAnsi="Times New Roman"/>
            <w:b w:val="false"/>
            <w:i w:val="false"/>
            <w:color w:val="000000"/>
            <w:sz w:val="22"/>
          </w:rPr>
          <w:t>75.10(2)</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individuals under the age of 21. For an individual under the age of 21 who is not described in paragraph </w:t>
      </w:r>
      <w:hyperlink r:id="rId165">
        <w:r>
          <w:rPr>
            <w:rStyle w:val="Hyperlink"/>
            <w:rFonts w:ascii="Times New Roman" w:hAnsi="Times New Roman"/>
            <w:b w:val="false"/>
            <w:i w:val="false"/>
            <w:color w:val="000000"/>
            <w:sz w:val="22"/>
          </w:rPr>
          <w:t>75.10(2)</w:t>
        </w:r>
        <w:r>
          <w:rPr>
            <w:rFonts w:ascii="Times New Roman" w:hAnsi="Times New Roman"/>
            <w:b w:val="false"/>
            <w:i/>
            <w:color w:val="000000"/>
            <w:sz w:val="22"/>
          </w:rPr>
          <w:t>“k”</w:t>
        </w:r>
      </w:hyperlink>
      <w:r>
        <w:rPr>
          <w:rFonts w:ascii="Times New Roman" w:hAnsi="Times New Roman"/>
          <w:b w:val="false"/>
          <w:i w:val="false"/>
          <w:color w:val="000000"/>
          <w:sz w:val="22"/>
        </w:rPr>
        <w:t xml:space="preserve"> or </w:t>
      </w:r>
      <w:hyperlink r:id="rId166">
        <w:r>
          <w:rPr>
            <w:rStyle w:val="Hyperlink"/>
            <w:rFonts w:ascii="Times New Roman" w:hAnsi="Times New Roman"/>
            <w:b w:val="false"/>
            <w:i w:val="false"/>
            <w:color w:val="000000"/>
            <w:sz w:val="22"/>
          </w:rPr>
          <w:t/>
        </w:r>
        <w:r>
          <w:rPr>
            <w:rFonts w:ascii="Times New Roman" w:hAnsi="Times New Roman"/>
            <w:b w:val="false"/>
            <w:i/>
            <w:color w:val="000000"/>
            <w:sz w:val="22"/>
          </w:rPr>
          <w:t>“l,”</w:t>
        </w:r>
      </w:hyperlink>
      <w:r>
        <w:rPr>
          <w:rFonts w:ascii="Times New Roman" w:hAnsi="Times New Roman"/>
          <w:b w:val="false"/>
          <w:i w:val="false"/>
          <w:color w:val="000000"/>
          <w:sz w:val="22"/>
        </w:rPr>
        <w:t xml:space="preserve">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where the individual resides,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residency of the parent or caretaker, determined in accordance with paragraph </w:t>
      </w:r>
      <w:hyperlink r:id="rId167">
        <w:r>
          <w:rPr>
            <w:rStyle w:val="Hyperlink"/>
            <w:rFonts w:ascii="Times New Roman" w:hAnsi="Times New Roman"/>
            <w:b w:val="false"/>
            <w:i w:val="false"/>
            <w:color w:val="000000"/>
            <w:sz w:val="22"/>
          </w:rPr>
          <w:t>75.10(2)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with whom the individual resides.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441—75.11</w:t>
      </w:r>
      <w:r>
        <w:rPr>
          <w:rFonts w:ascii="Times New Roman" w:hAnsi="Times New Roman"/>
          <w:b/>
          <w:i w:val="false"/>
          <w:color w:val="000000"/>
          <w:sz w:val="22"/>
        </w:rPr>
        <w:t xml:space="preserve">(249A) </w:t>
      </w:r>
      <w:r>
        <w:rPr>
          <w:rFonts w:ascii="Times New Roman" w:hAnsi="Times New Roman"/>
          <w:b/>
          <w:i w:val="false"/>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and services necessary for the treatment of an emergency medical condition” </w:t>
      </w:r>
      <w:r>
        <w:rPr>
          <w:rFonts w:ascii="Times New Roman" w:hAnsi="Times New Roman"/>
          <w:b w:val="false"/>
          <w:i w:val="false"/>
          <w:color w:val="000000"/>
          <w:sz w:val="22"/>
        </w:rPr>
        <w:t>means services provided in a hospital, clinic, office or other facility that is equipped to furnish the required care for an emergency medical condition, provided the care and services are not related to an organ transplant procedure furnished on or after August 10, 1993. Payment for emergency medical services shall be limited to the day treatment is initiated for the emergency medical condition and the following two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means a medical condition of sudden onset (including labor and delivery) manifesting itself by acute symptoms of sufficient severity (including severe pain) that the absence of immediate medical attention could reasonably be expected to result in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means-tested program” </w:t>
      </w:r>
      <w:r>
        <w:rPr>
          <w:rFonts w:ascii="Times New Roman" w:hAnsi="Times New Roman"/>
          <w:b w:val="false"/>
          <w:i w:val="false"/>
          <w:color w:val="000000"/>
          <w:sz w:val="22"/>
        </w:rPr>
        <w:t>means all federal programs that are means-tested with the exception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assistance for care and services necessary for the treatment of an emergency medical condition not related to an organ transplant procedure furnished on or after August 10,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non-cash, in-kind emergency disaster relief.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Assistance or benefits under the National School Lunch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Assistance or benefits under the Child Nutrition Act of 1966.</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health assistance (not including any assistance under Title XIX of the Social Security Act) for immunizations with respect to immunizable diseases and for testing and treatment of symptoms of communicable diseases whether or not the symptoms are caused by a communicable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Payments of foster care and adoption assistance under Parts B and E of Title IV of the Social Security Act for a parent or a child who would, in the absence of numbered paragraph “1,” be eligible to have payments made on the child’s behalf under such part, but only if the foster or adoptive parent (or parents) of the child is a qualified alien (as defined in Section 431).</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Programs, services, or assistance (such as soup kitchens, crisis counseling and intervention, and short-term shelter) specified by the attorney general of the United States in the attorney general’s sole and unreviewable discretion after consultation with appropriate federal agencies and departments,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 in-kind services at the community level, including through public or private nonprofit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 not condition the provision of assistance, the amount of assistance provided, or the cost of assistance provided on the individual recipient’s income or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for the protection of life or safety.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Programs of student assistance under Titles IV, V, IX, and X of the Higher Education Act of 1965, and Titles III, VII, and VIII of the Public Health Services Act.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Means-tested programs under the Elementary and Secondary Education Act of 1965.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Benefits under the Head Start 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Benefits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alien” </w:t>
      </w:r>
      <w:r>
        <w:rPr>
          <w:rFonts w:ascii="Times New Roman" w:hAnsi="Times New Roman"/>
          <w:b w:val="false"/>
          <w:i w:val="false"/>
          <w:color w:val="000000"/>
          <w:sz w:val="22"/>
        </w:rPr>
        <w:t>means an alien: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lawfully admitted for permanent residence in the United States under the Immigration and Nationality Act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is 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is 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Who is 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Whose deportation from the United States is withheld under Section 243(h) of the INA as in effect before April 1, 1997, or under Section 241(b)(3) of the INA as amended to December 20, 2010;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Who is 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Who is an Amerasian admitted to the United States as described in 8 U.S.C.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Who is a Cuban/Haitian entrant to the United States as described in 8 U.S.C. Section 1641(b)(7);</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Who is a battered alien as described in 8 U.S.C.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Who is certified as a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Who is an American Indian born in Canada to whom Section 289 of the INA applies or is a member of a federally recognized Indian Tribe as defined in 25 U.S.C. Section 450b(e); or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Who is under the age of 21 and is lawfully residing in the United States as allowed by 42 U.S.C.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includes all of the qualifying quarters of coverage as defined under Title II of the Social Security Act worked by a parent of an alien while the alien was under age 18 and all of the qualifying quarters worked by a spouse of the alien during their marriage if the alien remains married to the spouse or the spouse is deceased. No qualifying quarter of coverage that is creditable under Title II of the Social Security Act for any period beginning after December 31, 1996, may be credited to an alien if the parent or spouse of the alien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Medicaid,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alien residing in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alien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the Immigration and Nationality Act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alien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alien whose deportation is withheld under Section 243(h) or Section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alien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alien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alien who is the spouse or unmarried dependent child of a qualified alien described in subparagraph </w:t>
      </w:r>
      <w:r>
        <w:rPr>
          <w:rFonts w:ascii="Times New Roman" w:hAnsi="Times New Roman"/>
          <w:b w:val="false"/>
          <w:i w:val="false"/>
          <w:color w:val="000000"/>
          <w:sz w:val="22"/>
        </w:rPr>
        <w:t>(7)</w:t>
      </w:r>
      <w:r>
        <w:rPr>
          <w:rFonts w:ascii="Times New Roman" w:hAnsi="Times New Roman"/>
          <w:b w:val="false"/>
          <w:i w:val="false"/>
          <w:color w:val="000000"/>
          <w:sz w:val="22"/>
        </w:rPr>
        <w:t xml:space="preserve"> or </w:t>
      </w:r>
      <w:r>
        <w:rPr>
          <w:rFonts w:ascii="Times New Roman" w:hAnsi="Times New Roman"/>
          <w:b w:val="false"/>
          <w:i w:val="false"/>
          <w:color w:val="000000"/>
          <w:sz w:val="22"/>
        </w:rPr>
        <w:t>(8)</w:t>
      </w:r>
      <w:r>
        <w:rPr>
          <w:rFonts w:ascii="Times New Roman" w:hAnsi="Times New Roman"/>
          <w:b w:val="false"/>
          <w:i w:val="false"/>
          <w:color w:val="000000"/>
          <w:sz w:val="22"/>
        </w:rPr>
        <w:t>,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qualified alien who has resided in the United States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Amerasian admitted as described in 8 U.S.C.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Cuban/Haitian entrant as described in 8 U.S.C. Section 1641(b)(7).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 American Indian born in Canada to whom Section 289 of the INA applies or who is a member of a federally recognized Indian Tribe as defined in 25 U.S.C. Section 450b(e).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December 20, 2010, or to Section 602(b)(8) of Public Law 111-8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each member shall complete and sign Form 470-2549, Statement of Citizenship Status, attesting to the member’s citizenship or alien status. When the member is incompetent or deceased, the form shall be signed by someone acting responsibly on the member’s behalf. An adult shall sign the form for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all applicants for Medicaid shall attest to their citizenship or alien status by signing the application form which contains the same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continued eligibility, SSI-related Medicaid members not actually receiving SSI who have been continuous members since August 1, 1988, shall attest to their citizenship or alien status by signing the application form which contains a similar declaration at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attestation of citizenship or alien status completed on any one of the following forms shall meet the requirements of subrule </w:t>
      </w:r>
      <w:hyperlink r:id="rId16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for children under the age of 19 who are otherwise eligible pursuant to </w:t>
      </w:r>
      <w:hyperlink r:id="rId170">
        <w:r>
          <w:rPr>
            <w:rStyle w:val="Hyperlink"/>
            <w:rFonts w:ascii="Times New Roman" w:hAnsi="Times New Roman"/>
            <w:b w:val="false"/>
            <w:i w:val="false"/>
            <w:color w:val="000000"/>
            <w:sz w:val="22"/>
          </w:rPr>
          <w:t>441—subrule 76.1(8)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for Food Assistance, Form 470-0306 or 470-0307 (Spanish);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Health and Financial Support Application, Form 470-0462 or 470-0462(S);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Review/Recertification Eligibility Document, Form 470-2881, 470-2881(S), 470-2881(M), or 470-2881(MS).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applicants or members for whom an attestation of United States citizenship has been made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or nationality as defined in paragraph </w:t>
      </w:r>
      <w:r>
        <w:rPr>
          <w:rFonts w:ascii="Times New Roman" w:hAnsi="Times New Roman"/>
          <w:b w:val="false"/>
          <w:i/>
          <w:color w:val="000000"/>
          <w:sz w:val="22"/>
        </w:rPr>
        <w:t>“d,” “e,”</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 reference to a form in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includes any successor form. An applicant or member shall have a reasonable period to obtain and provide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requirement, the “reasonable period” begins on the date a written request for documentation or a notice pursuant to subparagraph </w:t>
      </w:r>
      <w:hyperlink r:id="rId171">
        <w:r>
          <w:rPr>
            <w:rStyle w:val="Hyperlink"/>
            <w:rFonts w:ascii="Times New Roman" w:hAnsi="Times New Roman"/>
            <w:b w:val="false"/>
            <w:i w:val="false"/>
            <w:color w:val="000000"/>
            <w:sz w:val="22"/>
          </w:rPr>
          <w:t>75.11(2)</w:t>
        </w:r>
        <w:r>
          <w:rPr>
            <w:rFonts w:ascii="Times New Roman" w:hAnsi="Times New Roman"/>
            <w:b w:val="false"/>
            <w:i/>
            <w:color w:val="000000"/>
            <w:sz w:val="22"/>
          </w:rPr>
          <w:t>“i”</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issued to an applicant or member, whichever is later,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shall be approved for new applicants and continue for members not previously required to provide documentation of citizenship or nationality until the end of the reasonable period to obtain and provide required documentation of citizenship or nationality. However, the receipt of Medicaid or hawki benefits pending documentation of citizenship or nationality is limited to one reasonable period of up to 90 days under either program for each individual. An applicant or member who has already received benefits during any portion of a reasonable period shall not be granted coverage for a second reasonable period except as required to protect the confidentiality of an individual who received only limited Medicaid benefits provided pursuant to subrule </w:t>
      </w:r>
      <w:hyperlink r:id="rId172">
        <w:r>
          <w:rPr>
            <w:rStyle w:val="Hyperlink"/>
            <w:rFonts w:ascii="Times New Roman" w:hAnsi="Times New Roman"/>
            <w:b w:val="false"/>
            <w:i w:val="false"/>
            <w:color w:val="000000"/>
            <w:sz w:val="22"/>
          </w:rPr>
          <w:t>75.1(41)</w:t>
        </w:r>
      </w:hyperlink>
      <w:r>
        <w:rPr>
          <w:rFonts w:ascii="Times New Roman" w:hAnsi="Times New Roman"/>
          <w:b w:val="false"/>
          <w:i w:val="false"/>
          <w:color w:val="000000"/>
          <w:sz w:val="22"/>
        </w:rPr>
        <w:t xml:space="preserve"> during the first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eligibility pursuant to 441—subrule 76.13(3) is available only after documentation of citizenship or nationality has been provided pursuant to paragraph 75.11(2)</w:t>
      </w:r>
      <w:r>
        <w:rPr>
          <w:rFonts w:ascii="Times New Roman" w:hAnsi="Times New Roman"/>
          <w:b w:val="false"/>
          <w:i/>
          <w:color w:val="000000"/>
          <w:sz w:val="22"/>
        </w:rPr>
        <w:t>“d,” “e,”</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The retroactive months are outside the “reasonable period” during which Medicaid coverage may be provided without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documents shall be accepted as satisfactory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N-550 or N-570 (Certificate of Naturalization)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N-560 or N-561 (Certificate of United States Citizenship)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state-issued driver’s license or other identity document described in Section 274A(b)(1)(D) of the United States Immigration and Nationality Act, but only if the state issuing the license or document either: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proof of United States citizenship before issuance of the license or document;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issued by a federally recognized Indian Tribe showing membership or enrollment in or affiliation with that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Another document that provides proof of United States citizenship or nationality and provides a reliable means of documentation of personal identity, as the Secretary of the U.S. Department of Health and Human Services may specify by regulation pursuant to 42 U.S.C. Section 1396b(x)(3)(B)(v).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Satisfactory documentation of citizenship or nationality may also be demonstrated by the combination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identity document described in Section 274A(b)(1)(D) of the United States Immigration and Nationality Act or any other documentation of personal identity that provides a reliable means of identification, as the secretary of the U.S. Department of Health and Human Services finds by regulation pursuant to 42 U.S.C. Section 1396b(x)(3)(D)(ii),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birth in the United States.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FS-545 or Form DS-1350 (Certification of Birth Abroad) issued by the U.S. Citizenship and Immigration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I-97 (United States Citizen Identification Card) issued by the U.S. Citizenship and Immigration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 FS-240 (Report of Birth Abroad of a Citizen of the United States) issued by the U.S. Citizenship and Immigration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Another document that provides proof of United States citizenship or nationality, as the secretary of the U.S. Department of Health and Human Services may specify pursuant to 42 U.S.C. Section 1396b(x)(3)(C)(v).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for whom an attestation of United States citizenship has been made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or nationality for Medicaid eligibility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or enrolled for benefits under any part of Title XVIII of the federal Social Security Act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federal social security disability insurance (SSDI) benefits under Title II of the federal Social Security Act, Section 223 or 202, based on disability (as defined in Section 223(d)).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supplemental security income (SSI) benefits under Title XVI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a child in foster care who is assisted by child welfare services funded under Part B of Title IV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foster care maintenance or adoption assistance payments funded under Part E of Title IV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documentary evidence of citizenship or nationality,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is or was eligible for medical assistance pursuant to 42 U.S.C. Section 1396a(e)(4)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or was eligible for medical assistance pursuant to 42 U.S.C. Section 1397ll(e) as the newborn of a mother eligible for assistance under a State Children’s Health Insurance Program (SCHIP) pursuant to Title XXI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other identity documentation allowed by subparagraph </w:t>
      </w:r>
      <w:hyperlink r:id="rId173">
        <w:r>
          <w:rPr>
            <w:rStyle w:val="Hyperlink"/>
            <w:rFonts w:ascii="Times New Roman" w:hAnsi="Times New Roman"/>
            <w:b w:val="false"/>
            <w:i w:val="false"/>
            <w:color w:val="000000"/>
            <w:sz w:val="22"/>
          </w:rPr>
          <w:t>75.11(2)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available, identity may be documented by affidavit as described in this paragraph. However, affidavits cannot be used to document both identity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16, identity may be documented using Form 470-4386 or 470-4386(S), Affidavit of Identity, signed by the child’s parent, guardian, or caretaker relative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disabled persons who live in a residential care facility, identity may be documented using Form 470-4386 or 470-4386(S), Affidavit of Identity, signed by a residential care facility director or administrator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other documentation that provides proof of United States citizenship or nationality allowed by subparagraph </w:t>
      </w:r>
      <w:hyperlink r:id="rId174">
        <w:r>
          <w:rPr>
            <w:rStyle w:val="Hyperlink"/>
            <w:rFonts w:ascii="Times New Roman" w:hAnsi="Times New Roman"/>
            <w:b w:val="false"/>
            <w:i w:val="false"/>
            <w:color w:val="000000"/>
            <w:sz w:val="22"/>
          </w:rPr>
          <w:t>75.11(2)</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available, United States citizenship or nationality may be documented using Form 470-4373 or 470-4373(S), Affidavit of Citizenship. However, affidavits cannot be used to document both identity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affidavits of citizenship are required. The person who signs the affidavit must provide proof of citizenship and identity. A person who is not related to the applicant or member must sign at least one of the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affidavits of citizenship are used, Form 470-4374 or 470-4374(S), Affidavit Concerning Documentation of Citizenship, or an equivalent affidavit explaining why other evidence of citizenship does not exist or cannot be obtained must also be submitted and must be signed by the applicant or member or by another knowledgeable person (guardian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a document listed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satisfactory documentation of citizenship or nationality may also be presented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 of an individual’s name, social security number, and date of birth to the department shall constitute satisfactory documentation of citizenship and identity if submission of the name, social security number, and date of birth to the Social Security Administration produces a response that substantiates the individual’s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submission of the name, social security number, and date of birth to the Social Security Administration does not produce a response that substantiates the individual’s citizenship, the department shall issue a written notice to the applicant or member giving the applicant or member 90 days to correct any errors in the name, social security number, or date of birth submitted, to correct any errors in the Social Security Administration’s records, or to provide other documentation of citizenship or nationality pursuant to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and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alien admitted for lawful permanent residence is sponsored by a person who executed an affidavit of support as described in 8 U.S.C. Section 1631(a)(1) on behalf of the alien, the income and resources of the alien shall be deemed to include the income and resources of the sponsor (and of the sponsor’s spouse if living with the sponsor). The amount deemed to the sponsored alien shall be the total gross countable income and resources of the sponsor and the sponsor’s spouse for the FMAP-related or SSI-related coverage group applicable to the sponsored alien’s household as described in </w:t>
      </w:r>
      <w:hyperlink r:id="rId175">
        <w:r>
          <w:rPr>
            <w:rStyle w:val="Hyperlink"/>
            <w:rFonts w:ascii="Times New Roman" w:hAnsi="Times New Roman"/>
            <w:b w:val="false"/>
            <w:i w:val="false"/>
            <w:color w:val="000000"/>
            <w:sz w:val="22"/>
          </w:rPr>
          <w:t>441—75.13</w:t>
        </w:r>
      </w:hyperlink>
      <w:r>
        <w:rPr>
          <w:rFonts w:ascii="Times New Roman" w:hAnsi="Times New Roman"/>
          <w:b w:val="false"/>
          <w:i w:val="false"/>
          <w:color w:val="000000"/>
          <w:sz w:val="22"/>
        </w:rPr>
        <w:t>(249A) less the following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FMAP-related coverage groups: The same income deductions, diversions, and disregards allowed for stepparent cases as described at </w:t>
      </w:r>
      <w:hyperlink r:id="rId176">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 $1,500 resource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SSI-related coverage groups: The deductions described at </w:t>
      </w:r>
      <w:r>
        <w:rPr>
          <w:rFonts w:ascii="Times New Roman" w:hAnsi="Times New Roman"/>
          <w:b w:val="false"/>
          <w:i w:val="false"/>
          <w:color w:val="000000"/>
          <w:sz w:val="22"/>
        </w:rPr>
        <w:t>20 CFR 416.1166a</w:t>
      </w:r>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416.1204</w:t>
        </w:r>
      </w:hyperlink>
      <w:r>
        <w:rPr>
          <w:rFonts w:ascii="Times New Roman" w:hAnsi="Times New Roman"/>
          <w:b w:val="false"/>
          <w:i w:val="false"/>
          <w:color w:val="000000"/>
          <w:sz w:val="22"/>
        </w:rPr>
        <w:t>, as amended to April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income and resources for 12 months after indigence is determined. An alien shall be considered indigent if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actually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battered alien as described in 8 U.S.C. Section 1641(c) is exempt from the deeming of a sponsor’s income and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and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alien attains citizenship through naturalization pursuant to Chapter 2 of Title II of the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Title II of the Social Security Act or can be credited with 40 qualifying quarters as defined at subrule </w:t>
      </w:r>
      <w:hyperlink r:id="rId178">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sponsored alien is a child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SSI-related Medicaid, the sponsored alien becomes blind or disabled as defined under Title XVI of the Social Security Act after admission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SSI-related Medicaid, three years after the date the sponsored alien was admitted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payment of emergency medical services. </w:t>
      </w:r>
      <w:r>
        <w:rPr>
          <w:rFonts w:ascii="Times New Roman" w:hAnsi="Times New Roman"/>
          <w:b w:val="false"/>
          <w:i w:val="false"/>
          <w:color w:val="000000"/>
          <w:sz w:val="22"/>
        </w:rPr>
        <w:t xml:space="preserve">Aliens who do not meet the provisions of subrule </w:t>
      </w:r>
      <w:hyperlink r:id="rId17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who would otherwise qualify except for their alien status are eligible to receive Medicaid for care and services necessary for the treatment of an emergency medical condition as defined in subrule </w:t>
      </w:r>
      <w:hyperlink r:id="rId180">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 To qualify for payment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alien must meet all other eligibility criteria, including state residence requirements provided at rules </w:t>
      </w:r>
      <w:hyperlink r:id="rId181">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182">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 xml:space="preserve">(249A), with the exception of rule </w:t>
      </w:r>
      <w:hyperlink r:id="rId183">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 xml:space="preserve">(249A) and subrules </w:t>
      </w:r>
      <w:hyperlink r:id="rId184">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provider who treated the emergency medical condition or the provider’s designee must submit verification of the existence of the emergency medical condition 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470-4299, Verification of Emergency Health Care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contains the same information as requested by Form 470-4299.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8096B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8642B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8786B</w:t>
      </w:r>
      <w:r>
        <w:rPr>
          <w:rFonts w:ascii="Times New Roman" w:hAnsi="Times New Roman"/>
          <w:b w:val="false"/>
          <w:i w:val="false"/>
          <w:color w:val="000000"/>
          <w:sz w:val="16"/>
        </w:rPr>
        <w:t>, IAB 6/2/10,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441—75.12</w:t>
      </w:r>
      <w:r>
        <w:rPr>
          <w:rFonts w:ascii="Times New Roman" w:hAnsi="Times New Roman"/>
          <w:b/>
          <w:i w:val="false"/>
          <w:color w:val="000000"/>
          <w:sz w:val="22"/>
        </w:rPr>
        <w:t xml:space="preserve">(249A) </w:t>
      </w:r>
      <w:r>
        <w:rPr>
          <w:rFonts w:ascii="Times New Roman" w:hAnsi="Times New Roman"/>
          <w:b/>
          <w:i w:val="false"/>
          <w:color w:val="000000"/>
          <w:sz w:val="22"/>
        </w:rPr>
        <w:t xml:space="preserve">Inmates of public institutions. </w:t>
      </w:r>
      <w:r>
        <w:rPr>
          <w:rFonts w:ascii="Times New Roman" w:hAnsi="Times New Roman"/>
          <w:b w:val="false"/>
          <w:i w:val="false"/>
          <w:color w:val="000000"/>
          <w:sz w:val="22"/>
        </w:rPr>
        <w:t xml:space="preserve">A person is not eligible for medical assistance for any care or services received while the person is an inmate of a public institution. For the purpose of this rule, “inmate of a public institution” and “public institution” are defined by </w:t>
      </w:r>
      <w:r>
        <w:rPr>
          <w:rFonts w:ascii="Times New Roman" w:hAnsi="Times New Roman"/>
          <w:b w:val="false"/>
          <w:i w:val="false"/>
          <w:color w:val="000000"/>
          <w:sz w:val="22"/>
        </w:rPr>
        <w:t>42 CFR Section 435.1010</w:t>
      </w:r>
      <w:r>
        <w:rPr>
          <w:rFonts w:ascii="Times New Roman" w:hAnsi="Times New Roman"/>
          <w:b w:val="false"/>
          <w:i w:val="false"/>
          <w:color w:val="000000"/>
          <w:sz w:val="22"/>
        </w:rPr>
        <w:t xml:space="preserve"> as amended to August 25,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Medical assistance shall be suspended, rather than canceled, for the first 12 continuous calendar months that a person is an inmate of a public institution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entry into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report which is provided to the department by the public institution and includes the person’s name, date of birth, and social security number and the date the person entered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entered a public institution on or after January 1, 2012, and has been in the public institution for 30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date of entry into the public institution, the person was a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for medical assistance as an individual except for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Coverage during suspension. </w:t>
      </w:r>
      <w:r>
        <w:rPr>
          <w:rFonts w:ascii="Times New Roman" w:hAnsi="Times New Roman"/>
          <w:b w:val="false"/>
          <w:i w:val="false"/>
          <w:color w:val="000000"/>
          <w:sz w:val="22"/>
        </w:rPr>
        <w:t>While medical assistance is suspended, payment will be made only for services received while the person is not an inmate of a public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The Medicaid case for an inmate who is released from a public institution while Medicaid is suspended will be reopened without an application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release from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report which is provided to the department by the public institution and includes the person’s name, date of birth, and social security number and the date the person was released from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available to the department indicates that the person is currently eligible for Iowa Medicaid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7">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division IX.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441—75.13</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Categorical relatedness.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FMAP-related Medicaid eligibility. </w:t>
      </w:r>
      <w:r>
        <w:rPr>
          <w:rFonts w:ascii="Times New Roman" w:hAnsi="Times New Roman"/>
          <w:b w:val="false"/>
          <w:i w:val="false"/>
          <w:color w:val="000000"/>
          <w:sz w:val="22"/>
        </w:rPr>
        <w:t xml:space="preserve">Medicaid eligibility for persons who are under the age of 21, pregnant women, or specified relatives of dependent children who are not blind or disabled shall be determined using the income criteria in effect for the family medical assistance program (FMAP) as provided in subrule </w:t>
      </w:r>
      <w:hyperlink r:id="rId18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unless otherwise specified.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SSI-related Medicaid. </w:t>
      </w:r>
      <w:r>
        <w:rPr>
          <w:rFonts w:ascii="Times New Roman" w:hAnsi="Times New Roman"/>
          <w:b w:val="false"/>
          <w:i w:val="false"/>
          <w:color w:val="000000"/>
          <w:sz w:val="22"/>
        </w:rPr>
        <w:t xml:space="preserve">Except as otherwise provided in </w:t>
      </w:r>
      <w:hyperlink r:id="rId189">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persons who are 65 years of age or older, blind, or disabled are eligible for Medicaid only if eligible for the Supplemental Security Income (SSI) program administered by the United States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policy reference. </w:t>
      </w:r>
      <w:r>
        <w:rPr>
          <w:rFonts w:ascii="Times New Roman" w:hAnsi="Times New Roman"/>
          <w:b w:val="false"/>
          <w:i w:val="false"/>
          <w:color w:val="000000"/>
          <w:sz w:val="22"/>
        </w:rPr>
        <w:t>The statutes, regulations, and policy governing eligibility for SSI are found in Title XVI of the Social Security Act (42 U.S.C. Sections 1381 to 1383f), in the federal regulations promulgated pursuant to Title XVI (</w:t>
      </w:r>
      <w:r>
        <w:rPr>
          <w:rFonts w:ascii="Times New Roman" w:hAnsi="Times New Roman"/>
          <w:b w:val="false"/>
          <w:i w:val="false"/>
          <w:color w:val="000000"/>
          <w:sz w:val="22"/>
        </w:rPr>
        <w:t>20 CFR 416.101</w:t>
      </w:r>
      <w:r>
        <w:rPr>
          <w:rFonts w:ascii="Times New Roman" w:hAnsi="Times New Roman"/>
          <w:b w:val="false"/>
          <w:i w:val="false"/>
          <w:color w:val="000000"/>
          <w:sz w:val="22"/>
        </w:rPr>
        <w:t xml:space="preserve"> to </w:t>
      </w:r>
      <w:hyperlink r:id="rId191">
        <w:r>
          <w:rPr>
            <w:rStyle w:val="Hyperlink"/>
            <w:rFonts w:ascii="Times New Roman" w:hAnsi="Times New Roman"/>
            <w:b w:val="false"/>
            <w:i w:val="false"/>
            <w:color w:val="000000"/>
            <w:sz w:val="22"/>
          </w:rPr>
          <w:t>416.2227</w:t>
        </w:r>
      </w:hyperlink>
      <w:r>
        <w:rPr>
          <w:rFonts w:ascii="Times New Roman" w:hAnsi="Times New Roman"/>
          <w:b w:val="false"/>
          <w:i w:val="false"/>
          <w:color w:val="000000"/>
          <w:sz w:val="22"/>
        </w:rPr>
        <w:t>), and in Part 5 of the Program Operations Manual System published by the United States Social Security Administration. The Program Operations Manual System is available at Social Security Administration offices in Ames, Burlington, Carroll, Cedar Rapids, Clinton, Council Bluffs, Creston, Davenport, Decorah, Des Moines, Dubuque, Fort Dodge, Iowa City, Marshalltown, Mason City, Oskaloosa, Ottumwa, Sioux City, Spencer, Storm Lake, and Waterloo, or through the Department of Human Services, Division of Financial, Health, and Work Supports, Hoover State Office Building, 1305 East Walnut,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For SSI-related Medicaid eligibility purposes,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Trust contributions. </w:t>
      </w:r>
      <w:r>
        <w:rPr>
          <w:rFonts w:ascii="Times New Roman" w:hAnsi="Times New Roman"/>
          <w:b w:val="false"/>
          <w:i w:val="false"/>
          <w:color w:val="000000"/>
          <w:sz w:val="22"/>
        </w:rPr>
        <w:t xml:space="preserve">Income that a person contributes to a trust as specified at </w:t>
      </w:r>
      <w:hyperlink r:id="rId192">
        <w:r>
          <w:rPr>
            <w:rStyle w:val="Hyperlink"/>
            <w:rFonts w:ascii="Times New Roman" w:hAnsi="Times New Roman"/>
            <w:b w:val="false"/>
            <w:i w:val="false"/>
            <w:color w:val="000000"/>
            <w:sz w:val="22"/>
          </w:rPr>
          <w:t>75.24(3)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not be considered for purposes of determining eligibility for SSI-related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Conditional eligibility. </w:t>
      </w:r>
      <w:r>
        <w:rPr>
          <w:rFonts w:ascii="Times New Roman" w:hAnsi="Times New Roman"/>
          <w:b w:val="false"/>
          <w:i w:val="false"/>
          <w:color w:val="000000"/>
          <w:sz w:val="22"/>
        </w:rPr>
        <w:t xml:space="preserve">For purposes of determining eligibility for SSI-related Medicaid, the SSI conditional eligibility process, by which a client may receive SSI benefits while attempting to sell excess resources, found at </w:t>
      </w:r>
      <w:r>
        <w:rPr>
          <w:rFonts w:ascii="Times New Roman" w:hAnsi="Times New Roman"/>
          <w:b w:val="false"/>
          <w:i w:val="false"/>
          <w:color w:val="000000"/>
          <w:sz w:val="22"/>
        </w:rPr>
        <w:t>20 CFR 416.1240</w:t>
      </w:r>
      <w:r>
        <w:rPr>
          <w:rFonts w:ascii="Times New Roman" w:hAnsi="Times New Roman"/>
          <w:b w:val="false"/>
          <w:i w:val="false"/>
          <w:color w:val="000000"/>
          <w:sz w:val="22"/>
        </w:rPr>
        <w:t xml:space="preserve"> to </w:t>
      </w:r>
      <w:hyperlink r:id="rId193">
        <w:r>
          <w:rPr>
            <w:rStyle w:val="Hyperlink"/>
            <w:rFonts w:ascii="Times New Roman" w:hAnsi="Times New Roman"/>
            <w:b w:val="false"/>
            <w:i w:val="false"/>
            <w:color w:val="000000"/>
            <w:sz w:val="22"/>
          </w:rPr>
          <w:t>416.1245</w:t>
        </w:r>
      </w:hyperlink>
      <w:r>
        <w:rPr>
          <w:rFonts w:ascii="Times New Roman" w:hAnsi="Times New Roman"/>
          <w:b w:val="false"/>
          <w:i w:val="false"/>
          <w:color w:val="000000"/>
          <w:sz w:val="22"/>
        </w:rPr>
        <w:t>, is not considered an eligibility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estates and remainder interests. </w:t>
      </w:r>
      <w:r>
        <w:rPr>
          <w:rFonts w:ascii="Times New Roman" w:hAnsi="Times New Roman"/>
          <w:b w:val="false"/>
          <w:i w:val="false"/>
          <w:color w:val="000000"/>
          <w:sz w:val="22"/>
        </w:rPr>
        <w:t>In the absence of other evidence, the value of a life estate or remainder interest in property shall be determined using the following table by multiplying the fair market value of the entire underlying property (including all life estates and all remainder interests) by the life estate or remainder interest decimal corresponding to the age of the life estate holder or other person whose life controls the life estate.</w:t>
      </w:r>
    </w:p>
    <w:p>
      <w:pPr>
        <w:spacing w:before="0" w:after="0"/>
        <w:ind w:left="120"/>
        <w:jc w:val="both"/>
      </w:pPr>
      <w:r>
        <w:rPr>
          <w:rFonts w:ascii="Times New Roman" w:hAnsi="Times New Roman"/>
          <w:b w:val="false"/>
          <w:i w:val="false"/>
          <w:color w:val="000000"/>
          <w:sz w:val="22"/>
        </w:rPr>
        <w:t>If a Medicaid applicant or recipient disputes the value determined using the following table, the applicant or recipient may submit other evidence and the value of the life estate or remainder interest shall be determined based on the preponderance of all the evidence submitted to or obtained by the department, including the value given by the following table.</w:t>
      </w:r>
    </w:p>
    <w:tbl>
      <w:tblPr>
        <w:tblW w:w="5000" w:type="pct"/>
        <w:tblCellSpacing w:w="0" w:type="auto"/>
        <w:tblBorders>
          <w:top w:val="single" w:color="000000" w:sz="8"/>
          <w:left w:val="none"/>
          <w:bottom w:val="none"/>
          <w:right w:val="none"/>
          <w:insideH w:val="none"/>
          <w:insideV w:val="none"/>
        </w:tblBorders>
        <w:tblLayout w:type="fixed"/>
      </w:tblPr>
      <w:tblGrid>
        <w:gridCol w:w="901"/>
        <w:gridCol w:w="1278"/>
        <w:gridCol w:w="1354"/>
        <w:gridCol w:w="298"/>
        <w:gridCol w:w="900"/>
        <w:gridCol w:w="1278"/>
        <w:gridCol w:w="1353"/>
        <w:gridCol w:w="298"/>
        <w:gridCol w:w="900"/>
        <w:gridCol w:w="1277"/>
        <w:gridCol w:w="1353"/>
      </w:tblGrid>
      <w:tr>
        <w:trPr>
          <w:trHeight w:val="405" w:hRule="atLeast"/>
        </w:trPr>
        <w:tc>
          <w:tcPr>
            <w:tcW w:w="90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r>
      <w:tr>
        <w:trPr>
          <w:trHeight w:val="225"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.97188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.02812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.93026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.06974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.92567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.07433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.52149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.47851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.99017</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.00983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.92083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.07917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.51441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.49559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.99008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.00992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.91571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.08429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.48742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.51258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.98981</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.91030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.08970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.47049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.52951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.98938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.01062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.90457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.09543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.45357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.98884</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.01116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.89855</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.10145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.43569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.56341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.98822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.89221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.10779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.41967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.58033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.98748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.01252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.88558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.11442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.40295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.59705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.98663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.01337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.87863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.12137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.38642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.61358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.98565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.01435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.87137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.12863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.36998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.63002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.98453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.01547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.86374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.13626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.35359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.98329</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.01671</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.85578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.14422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.33764</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.66236</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.98198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.01802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.84743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.15257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.67738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.98066</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.01934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.83674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.16126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.30859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.69141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.97937</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.02063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.82969</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.17031</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.29526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.70474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.97815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.02185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.82028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.17972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.28221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.71779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.97700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.02300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.81054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.18946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.26955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.73045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.97590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.02410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.80046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.19954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.25771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.74229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.97480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.02520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.20994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.24692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.75308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.97365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.02635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.77931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.22069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.23728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.76272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.97245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.02755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.76822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.23178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.22887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.77113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.97120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.02880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.75675</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.24325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.22181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.77819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.96986</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.03014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.74491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.25509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.21550</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.78450</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.96841</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.73267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.26733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.21000</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.79000</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.96678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.03322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.72002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.27998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.20486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.79514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.96495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.03505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.70696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.29304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.19975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.80025</w:t>
            </w:r>
          </w:p>
        </w:tc>
      </w:tr>
      <w:tr>
        <w:trPr>
          <w:trHeight w:val="27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.96290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.69352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.30648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.19532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.80468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.96062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.03938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.67970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.32030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.19054</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.80946</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.95813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.04187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.66551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.33449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.18437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.81563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.95543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.04457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.65098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.343902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.17856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.82144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.95254</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.63610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.363690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.16962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.83038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.94942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.05058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.62086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.37914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.15488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.84512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.94608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.05392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.60522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.13409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.86591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.94250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.05750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.58914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.41086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.10068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.89932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.93868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.06132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.57261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.42739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.04545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.95455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.93460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.06540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.55571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.44429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Resource eligibility for SSI-related Medicaid for children. </w:t>
      </w:r>
      <w:r>
        <w:rPr>
          <w:rFonts w:ascii="Times New Roman" w:hAnsi="Times New Roman"/>
          <w:b w:val="false"/>
          <w:i w:val="false"/>
          <w:color w:val="000000"/>
          <w:sz w:val="22"/>
        </w:rPr>
        <w:t xml:space="preserve">Resources of all household members shall be disregarded when determining eligibility for children under any SSI-related coverage group except for those groups at subrules </w:t>
      </w:r>
      <w:hyperlink r:id="rId194">
        <w:r>
          <w:rPr>
            <w:rStyle w:val="Hyperlink"/>
            <w:rFonts w:ascii="Times New Roman" w:hAnsi="Times New Roman"/>
            <w:b w:val="false"/>
            <w:i w:val="false"/>
            <w:color w:val="000000"/>
            <w:sz w:val="22"/>
          </w:rPr>
          <w:t>75.1(3)</w:t>
        </w:r>
      </w:hyperlink>
      <w:r>
        <w:rPr>
          <w:rFonts w:ascii="Times New Roman" w:hAnsi="Times New Roman"/>
          <w:b w:val="false"/>
          <w:i w:val="false"/>
          <w:color w:val="000000"/>
          <w:sz w:val="22"/>
        </w:rPr>
        <w:t xml:space="preserve">, </w:t>
      </w:r>
      <w:hyperlink r:id="rId195">
        <w:r>
          <w:rPr>
            <w:rStyle w:val="Hyperlink"/>
            <w:rFonts w:ascii="Times New Roman" w:hAnsi="Times New Roman"/>
            <w:b w:val="false"/>
            <w:i w:val="false"/>
            <w:color w:val="000000"/>
            <w:sz w:val="22"/>
          </w:rPr>
          <w:t>75.1(4)</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75.1(6)</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75.1(9)</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75.1(10)</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75.1(23)</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75.1(25)</w:t>
        </w:r>
      </w:hyperlink>
      <w:r>
        <w:rPr>
          <w:rFonts w:ascii="Times New Roman" w:hAnsi="Times New Roman"/>
          <w:b w:val="false"/>
          <w:i w:val="false"/>
          <w:color w:val="000000"/>
          <w:sz w:val="22"/>
        </w:rPr>
        <w:t xml:space="preserve">, </w:t>
      </w:r>
      <w:hyperlink r:id="rId203">
        <w:r>
          <w:rPr>
            <w:rStyle w:val="Hyperlink"/>
            <w:rFonts w:ascii="Times New Roman" w:hAnsi="Times New Roman"/>
            <w:b w:val="false"/>
            <w:i w:val="false"/>
            <w:color w:val="000000"/>
            <w:sz w:val="22"/>
          </w:rPr>
          <w:t>75.1(29)</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75.1(33)</w:t>
        </w:r>
      </w:hyperlink>
      <w:r>
        <w:rPr>
          <w:rFonts w:ascii="Times New Roman" w:hAnsi="Times New Roman"/>
          <w:b w:val="false"/>
          <w:i w:val="false"/>
          <w:color w:val="000000"/>
          <w:sz w:val="22"/>
        </w:rPr>
        <w:t xml:space="preserve">, </w:t>
      </w:r>
      <w:hyperlink r:id="rId205">
        <w:r>
          <w:rPr>
            <w:rStyle w:val="Hyperlink"/>
            <w:rFonts w:ascii="Times New Roman" w:hAnsi="Times New Roman"/>
            <w:b w:val="false"/>
            <w:i w:val="false"/>
            <w:color w:val="000000"/>
            <w:sz w:val="22"/>
          </w:rPr>
          <w:t>75.1(34)</w:t>
        </w:r>
      </w:hyperlink>
      <w:r>
        <w:rPr>
          <w:rFonts w:ascii="Times New Roman" w:hAnsi="Times New Roman"/>
          <w:b w:val="false"/>
          <w:i w:val="false"/>
          <w:color w:val="000000"/>
          <w:sz w:val="22"/>
        </w:rPr>
        <w:t xml:space="preserve">, </w:t>
      </w:r>
      <w:hyperlink r:id="rId206">
        <w:r>
          <w:rPr>
            <w:rStyle w:val="Hyperlink"/>
            <w:rFonts w:ascii="Times New Roman" w:hAnsi="Times New Roman"/>
            <w:b w:val="false"/>
            <w:i w:val="false"/>
            <w:color w:val="000000"/>
            <w:sz w:val="22"/>
          </w:rPr>
          <w:t>75.1(36)</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75.1(37)</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75.1(38)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441—75.14</w:t>
      </w:r>
      <w:r>
        <w:rPr>
          <w:rFonts w:ascii="Times New Roman" w:hAnsi="Times New Roman"/>
          <w:b/>
          <w:i w:val="false"/>
          <w:color w:val="000000"/>
          <w:sz w:val="22"/>
        </w:rPr>
        <w:t xml:space="preserve">(249A) </w:t>
      </w:r>
      <w:r>
        <w:rPr>
          <w:rFonts w:ascii="Times New Roman" w:hAnsi="Times New Roman"/>
          <w:b/>
          <w:i w:val="false"/>
          <w:color w:val="000000"/>
          <w:sz w:val="22"/>
        </w:rPr>
        <w:t xml:space="preserve">Establishing paternity and obtaining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adult Medicaid applicants and members in households with an absent parent shall cooperate in obtaining medical support for themselves and for any other person in the household for whom Medicaid is requested and for whom the applicant or member can legally assign rights for medical support, except when the applicant or member has good cause for refusal to cooperate as defined in subrule </w:t>
      </w:r>
      <w:hyperlink r:id="rId210">
        <w:r>
          <w:rPr>
            <w:rStyle w:val="Hyperlink"/>
            <w:rFonts w:ascii="Times New Roman" w:hAnsi="Times New Roman"/>
            <w:b w:val="false"/>
            <w:i w:val="false"/>
            <w:color w:val="000000"/>
            <w:sz w:val="22"/>
          </w:rPr>
          <w:t>75.14(8)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 applicant or member shall cooperate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medical support and payments for medical care for the applicant or member and for a child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2/3/93</w:t>
      </w:r>
      <w:r>
        <w:rPr>
          <w:rFonts w:ascii="Times New Roman" w:hAnsi="Times New Roman"/>
          <w:b w:val="false"/>
          <w:i w:val="false"/>
          <w:color w:val="000000"/>
          <w:sz w:val="22"/>
        </w:rPr>
        <w:t>, effective 4/1/93.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adult applicant or member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Appearing at the income maintenance unit or the child support recovery unit to provide verbal or written information or documentary evidence known to, possessed by or reasonably obtainable by the applicant or member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applicant or member shall cooperate with the department in supplying information with respect to the absent parent, the receipt of medical support or payments for medical care, and the establishment of paternity, to the extent necessary to establish eligibility for assistance and permit an appropriate referral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applicant or member shall cooperate with the child support recovery unit to the extent of supplying all known information and documents pertaining to the location of the absent parent and taking action as may be necessary to secure medical support and payments for medical care or to establish paternity.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make the determination of whether or not the adult applicant or member has cooperated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Failure of an adult applicant or member to cooperate shall result in denial or cancellation of the noncooperating adult’s Medicaid benefits. In family medical assistance program (FMAP)-related Medicaid cases, all deductions and disregards described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allowed when otherwise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Medicaid applicant or member who is required to cooperate with the child support recovery unit shall have the opportunity to claim good cause for refusing to cooperate in establishing paternity or securing medical support and payments for medical care. The provisions set forth in subrules </w:t>
      </w:r>
      <w:hyperlink r:id="rId211">
        <w:r>
          <w:rPr>
            <w:rStyle w:val="Hyperlink"/>
            <w:rFonts w:ascii="Times New Roman" w:hAnsi="Times New Roman"/>
            <w:b w:val="false"/>
            <w:i w:val="false"/>
            <w:color w:val="000000"/>
            <w:sz w:val="22"/>
          </w:rPr>
          <w:t>75.14(8)</w:t>
        </w:r>
      </w:hyperlink>
      <w:r>
        <w:rPr>
          <w:rFonts w:ascii="Times New Roman" w:hAnsi="Times New Roman"/>
          <w:b w:val="false"/>
          <w:i w:val="false"/>
          <w:color w:val="000000"/>
          <w:sz w:val="22"/>
        </w:rPr>
        <w:t xml:space="preserve"> to </w:t>
      </w:r>
      <w:hyperlink r:id="rId212">
        <w:r>
          <w:rPr>
            <w:rStyle w:val="Hyperlink"/>
            <w:rFonts w:ascii="Times New Roman" w:hAnsi="Times New Roman"/>
            <w:b w:val="false"/>
            <w:i w:val="false"/>
            <w:color w:val="000000"/>
            <w:sz w:val="22"/>
          </w:rPr>
          <w:t>75.14(12)</w:t>
        </w:r>
      </w:hyperlink>
      <w:r>
        <w:rPr>
          <w:rFonts w:ascii="Times New Roman" w:hAnsi="Times New Roman"/>
          <w:b w:val="false"/>
          <w:i w:val="false"/>
          <w:color w:val="000000"/>
          <w:sz w:val="22"/>
        </w:rPr>
        <w:t xml:space="preserve"> shall be used when making a determination of the existence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val="false"/>
          <w:color w:val="000000"/>
          <w:sz w:val="22"/>
        </w:rPr>
        <w:t>Each Medicaid applicant or member shall assign to the department any rights to medical support and payments for medical care from any other person for which the person can legally make assignment. This shall include rights to medical support and payments for medical care on the applicant’s or member’s own behalf or on behalf of any other family member for whom the applicant or member is applying. An assignment is effective the same date the eligibility information is entered into the automated benefit calculation system and is effective for the entire period for which eligibility is granted. Support payments not intended for medical support shall not be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6/2/10</w:t>
      </w:r>
      <w:r>
        <w:rPr>
          <w:rFonts w:ascii="Times New Roman" w:hAnsi="Times New Roman"/>
          <w:b w:val="false"/>
          <w:i w:val="false"/>
          <w:color w:val="000000"/>
          <w:sz w:val="22"/>
        </w:rPr>
        <w:t>, effective 8/1/10.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75.14(6)</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establishing eligibility under the mothers and children (MAC) coverage group as provided at subrule </w:t>
      </w:r>
      <w:hyperlink r:id="rId213">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shall be exempt from the provisions in this rule for any born child for whom the pregnant woman applies for or receives Medicaid. Additionally, any previously pregnant woman eligible for postpartum coverage under the provision of subrule </w:t>
      </w:r>
      <w:hyperlink r:id="rId21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shall not be subject to the provisions in this rule until after the end of the month in which the 60-day postpartum period expires. Pregnant women establishing eligibility under any other coverage groups except those set forth in subrule </w:t>
      </w:r>
      <w:hyperlink r:id="rId215">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or </w:t>
      </w:r>
      <w:hyperlink r:id="rId216">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shall be subject to the provisions in this rule when establishing eligibility for born children. However, when a pregnant woman who is subject to these provisions fails to cooperate, the woman shall lose eligibility under her current coverage group and her eligibility for Medicaid shall be automatically redetermined under subrule </w:t>
      </w:r>
      <w:hyperlink r:id="rId217">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18">
        <w:r>
          <w:rPr>
            <w:rStyle w:val="Hyperlink"/>
            <w:rFonts w:ascii="Times New Roman" w:hAnsi="Times New Roman"/>
            <w:b w:val="false"/>
            <w:i w:val="false"/>
            <w:color w:val="000000"/>
            <w:sz w:val="22"/>
          </w:rPr>
          <w:t>75.14(6)</w:t>
        </w:r>
      </w:hyperlink>
      <w:r>
        <w:rPr>
          <w:rFonts w:ascii="Times New Roman" w:hAnsi="Times New Roman"/>
          <w:b w:val="false"/>
          <w:i w:val="false"/>
          <w:color w:val="000000"/>
          <w:sz w:val="22"/>
        </w:rPr>
        <w:t xml:space="preserve">, any pregnant woman or previously pregnant woman establishing eligibility under subrule </w:t>
      </w:r>
      <w:hyperlink r:id="rId219">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or </w:t>
      </w:r>
      <w:hyperlink r:id="rId220">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shall not be exempt from the provisions of </w:t>
      </w:r>
      <w:hyperlink r:id="rId221">
        <w:r>
          <w:rPr>
            <w:rStyle w:val="Hyperlink"/>
            <w:rFonts w:ascii="Times New Roman" w:hAnsi="Times New Roman"/>
            <w:b w:val="false"/>
            <w:i w:val="false"/>
            <w:color w:val="000000"/>
            <w:sz w:val="22"/>
          </w:rPr>
          <w:t>75.14(4)</w:t>
        </w:r>
      </w:hyperlink>
      <w:r>
        <w:rPr>
          <w:rFonts w:ascii="Times New Roman" w:hAnsi="Times New Roman"/>
          <w:b w:val="false"/>
          <w:i w:val="false"/>
          <w:color w:val="000000"/>
          <w:sz w:val="22"/>
        </w:rPr>
        <w:t xml:space="preserve"> that require an adult applicant or member to assign any rights to medical support and payments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75.14(8)</w:t>
      </w:r>
      <w:r>
        <w:rPr>
          <w:rFonts w:ascii="Times New Roman" w:hAnsi="Times New Roman"/>
          <w:b w:val="false"/>
          <w:i w:val="false"/>
          <w:color w:val="000000"/>
          <w:sz w:val="22"/>
        </w:rPr>
        <w:t> </w:t>
      </w:r>
      <w:r>
        <w:rPr>
          <w:rFonts w:ascii="Times New Roman" w:hAnsi="Times New Roman"/>
          <w:b w:val="false"/>
          <w:i w:val="false"/>
          <w:color w:val="000000"/>
          <w:sz w:val="22"/>
        </w:rPr>
        <w:t>Good cause for refusal to cooperate. Good cause shall exist when it is determined that cooperation in establishing paternity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the applicant’s or member’s cooperation in establishing paternity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specified relative with whom the child is living which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harm to the parent or specified relative with whom the child is living which reduces the person’s capacity to care for the child adequately;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harm to the parent or specified relative with whom the child is living of a nature or degree that it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at least one of the following circumstances exists, and the income maintenance unit believes that because of the existence of that circumstance, in the particular case, proceeding to establish paternity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shall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specified relative,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paternity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75.14(9)</w:t>
      </w:r>
      <w:r>
        <w:rPr>
          <w:rFonts w:ascii="Times New Roman" w:hAnsi="Times New Roman"/>
          <w:b w:val="false"/>
          <w:i w:val="false"/>
          <w:color w:val="000000"/>
          <w:sz w:val="22"/>
        </w:rPr>
        <w:t> </w:t>
      </w:r>
      <w:r>
        <w:rPr>
          <w:rFonts w:ascii="Times New Roman" w:hAnsi="Times New Roman"/>
          <w:b w:val="false"/>
          <w:i w:val="false"/>
          <w:color w:val="000000"/>
          <w:sz w:val="22"/>
        </w:rPr>
        <w:t>Claiming good cause. Each Medicaid applicant or member who is required to cooperate with the child support recovery unit shall have the opportunity to claim good cause for refusing to cooperate in establishing paternity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department shall notify the applicant or member using Form 470-0169 or 470-0169(S), Requirements of Support Enforcement,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of the potential benefits the child may derive from the establishment of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by law cooperation in establishing paternity and securing support is a condition of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good cause for refusal to cooperate may be claimed and that if the income maintenance unit determines, in accordance with these rules, that there is good cause, the applicant or member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upon request, or following a claim of good cause, the income maintenance unit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makes a claim of good cause or requests additional information regarding the right to file a claim of good cause, the income maintenance unit shall issue a second notice, Form 470-0170, Requirements of Claiming Good Cause. To claim good cause, the applicant or member shall sign and date Form 470-0170 and return it to the income maintenance unit.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applicant or member must provide corroborative evidence of good cause circumstance and must, when requested, furnish sufficient information to permit the county office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upon request, the income maintenance unit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on the basis of the corroborative evidence supplied and the agency’s investigation when necessary, the income maintenance unit shall determine whether cooperation would be against the best interests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the child support recovery unit may review the income maintenance unit’s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the child support recovery unit may attempt to establish paternity and collect support in those cases where the income maintenance unit determines that this can be done without risk to the applicant or member if done without the applicant’s or member’s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who refuses to cooperate and who claims to have good cause for refusing to cooperate has the burden of establishing the existence of a good cause circumstance. Failure to meet these requirements shall constitute a sufficient basis for the income maintenance unit to determine that good cause does not exist. The applicant or member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applicant or member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75.14(10)</w:t>
      </w:r>
      <w:r>
        <w:rPr>
          <w:rFonts w:ascii="Times New Roman" w:hAnsi="Times New Roman"/>
          <w:b w:val="false"/>
          <w:i w:val="false"/>
          <w:color w:val="000000"/>
          <w:sz w:val="22"/>
        </w:rPr>
        <w:t> </w:t>
      </w:r>
      <w:r>
        <w:rPr>
          <w:rFonts w:ascii="Times New Roman" w:hAnsi="Times New Roman"/>
          <w:b w:val="false"/>
          <w:i w:val="false"/>
          <w:color w:val="000000"/>
          <w:sz w:val="22"/>
        </w:rPr>
        <w:t>Determination of good cause. The income maintenance unit shall determine whether good cause exists for each Medicaid applicant or member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notify the applicant or member of its determination that good cause does or does not exist. The determination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or not good cause exists shall be made within 45 days from the day the good cause claim is made. The income maintenance unit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income maintenance unit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222">
        <w:r>
          <w:rPr>
            <w:rStyle w:val="Hyperlink"/>
            <w:rFonts w:ascii="Times New Roman" w:hAnsi="Times New Roman"/>
            <w:b w:val="false"/>
            <w:i w:val="false"/>
            <w:color w:val="000000"/>
            <w:sz w:val="22"/>
          </w:rPr>
          <w:t>75.14(11)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shall be so notified and be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loss of Medicaid for the person who refuses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make a good cause determination based on the corroborative evidence supplied by the applicant or member only after the income maintenance unit has examined the evidence and found that it actually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the child support recovery unit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participate in any appeal hearing that results from an applicant’s or member’s appeal of an agency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shall not be denied, delayed, or discontinued pending a determination of good cause for refusal to cooperate when the applicant or member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75.14(11)</w:t>
      </w:r>
      <w:r>
        <w:rPr>
          <w:rFonts w:ascii="Times New Roman" w:hAnsi="Times New Roman"/>
          <w:b w:val="false"/>
          <w:i w:val="false"/>
          <w:color w:val="000000"/>
          <w:sz w:val="22"/>
        </w:rPr>
        <w:t> </w:t>
      </w:r>
      <w:r>
        <w:rPr>
          <w:rFonts w:ascii="Times New Roman" w:hAnsi="Times New Roman"/>
          <w:b w:val="false"/>
          <w:i w:val="false"/>
          <w:color w:val="000000"/>
          <w:sz w:val="22"/>
        </w:rPr>
        <w:t>Proof of good cause. The applicant or member who claims good cause shall provide corroborative evidence within 20 days from the day the claim was made. In exceptional cases where the income maintenance unit determines that the applicant or member requires additional time because of the difficulty in obtaining the corroborative evidence, the income maintenance unit shall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which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which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which indicate that the putative father or absent parent might inflict physical or emotional harm on the child or specified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which indicate emotional health history and present emotional health status of the specified relative or the children for whom support would be sought; or written statements from a mental health professional indicating a diagnosis or prognosis concerning the emotional health of the specified relative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applicant or member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member with knowledge of the circumstances which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member, the income maintenance unit wishes to request additional corroborative evidence which is needed to permit a good cause determination,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member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which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requests assistance in securing evidence,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which the applicant or member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applicant’s or member’s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investigate the good cause claim when the office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shall be found when the claimant’s statement and investigation which is conducted satisfies the county office that the applicant or member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shall be reviewed and approved or disapproved by the worker’s immediate supervisor and the findings shall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may further verify the good cause claim when the applicant’s or member’s statement of the claim together with the corroborative evidence do not provide sufficient basis for making a determination. When the income maintenance unit determines that it is necessary, the unit may conduct an investigation of good cause claims to determine that good cause does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absent parent or putative father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making the necessary contact, notify the applicant or member so the applicant or member may present additional corroborative evidence or information so that contact with the parent or putative father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75.14(12)</w:t>
      </w:r>
      <w:r>
        <w:rPr>
          <w:rFonts w:ascii="Times New Roman" w:hAnsi="Times New Roman"/>
          <w:b w:val="false"/>
          <w:i w:val="false"/>
          <w:color w:val="000000"/>
          <w:sz w:val="22"/>
        </w:rPr>
        <w:t> </w:t>
      </w:r>
      <w:r>
        <w:rPr>
          <w:rFonts w:ascii="Times New Roman" w:hAnsi="Times New Roman"/>
          <w:b w:val="false"/>
          <w:i w:val="false"/>
          <w:color w:val="000000"/>
          <w:sz w:val="22"/>
        </w:rPr>
        <w:t>Enforcement without specified relative’s cooperation. When the income maintenance unit makes a determination that good cause exists, the unit shall also make a determination of whether or not child support enforcement can proceed without risk of harm to the child or specified relative when the enforcement or collection activities do not involve their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have an opportunity to review and comment on the findings and basis for the proposed determination and the income maintenance unit shall consider any recommendations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shall be in writing, contain the income maintenance unit’s findings and basis for the determination, and be entered into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excuses cooperation but determines that the child support recovery unit may proceed to establish paternity or enforce support, the income maintenance unit shall notify the applicant or member to enable the individual to withdraw the application for assistance or have the case closed.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441—75.15</w:t>
      </w:r>
      <w:r>
        <w:rPr>
          <w:rFonts w:ascii="Times New Roman" w:hAnsi="Times New Roman"/>
          <w:b/>
          <w:i w:val="false"/>
          <w:color w:val="000000"/>
          <w:sz w:val="22"/>
        </w:rPr>
        <w:t xml:space="preserve">(249A) </w:t>
      </w:r>
      <w:r>
        <w:rPr>
          <w:rFonts w:ascii="Times New Roman" w:hAnsi="Times New Roman"/>
          <w:b/>
          <w:i w:val="false"/>
          <w:color w:val="000000"/>
          <w:sz w:val="22"/>
        </w:rPr>
        <w:t xml:space="preserve">Disqualification for long-term care assistance due to substantial home equity. </w:t>
      </w:r>
      <w:r>
        <w:rPr>
          <w:rFonts w:ascii="Times New Roman" w:hAnsi="Times New Roman"/>
          <w:b w:val="false"/>
          <w:i w:val="false"/>
          <w:color w:val="000000"/>
          <w:sz w:val="22"/>
        </w:rPr>
        <w:t xml:space="preserve">Notwithstanding any other provision of this chapter, if an individual’s equity interest in the individual’s home exceeds $500,000, the individual shall not be eligible for medical assistance with respect to nursing facility services or other long-term care services except as provided in </w:t>
      </w:r>
      <w:hyperlink r:id="rId225">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This provision is effective for all applications or requests for payment of long-term care services filed on or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75.15(1)</w:t>
      </w:r>
      <w:r>
        <w:rPr>
          <w:rFonts w:ascii="Times New Roman" w:hAnsi="Times New Roman"/>
          <w:b w:val="false"/>
          <w:i w:val="false"/>
          <w:color w:val="000000"/>
          <w:sz w:val="22"/>
        </w:rPr>
        <w:t> </w:t>
      </w:r>
      <w:r>
        <w:rPr>
          <w:rFonts w:ascii="Times New Roman" w:hAnsi="Times New Roman"/>
          <w:b w:val="false"/>
          <w:i w:val="false"/>
          <w:color w:val="000000"/>
          <w:sz w:val="22"/>
        </w:rPr>
        <w:t>The limit on the equity interest in the individual’s home for purposes of this rule shall be increased from year to year, beginning with 2011, based on the percentage increase in the consumer price index for all urban consumers (all items; United States city average), rounded to the nearest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75.15(2)</w:t>
      </w:r>
      <w:r>
        <w:rPr>
          <w:rFonts w:ascii="Times New Roman" w:hAnsi="Times New Roman"/>
          <w:b w:val="false"/>
          <w:i w:val="false"/>
          <w:color w:val="000000"/>
          <w:sz w:val="22"/>
        </w:rPr>
        <w:t> </w:t>
      </w:r>
      <w:r>
        <w:rPr>
          <w:rFonts w:ascii="Times New Roman" w:hAnsi="Times New Roman"/>
          <w:b w:val="false"/>
          <w:i w:val="false"/>
          <w:color w:val="000000"/>
          <w:sz w:val="22"/>
        </w:rPr>
        <w:t>Disqualification based on equity interest in the individual’s home shall not apply when one of the following persons is lawfully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child who is under age 21 or is blind or disabled as defined in Section 1614 of the federal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441—75.16</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in payment for medical institution care. </w:t>
      </w:r>
      <w:r>
        <w:rPr>
          <w:rFonts w:ascii="Times New Roman" w:hAnsi="Times New Roman"/>
          <w:b w:val="false"/>
          <w:i w:val="false"/>
          <w:color w:val="000000"/>
          <w:sz w:val="22"/>
        </w:rPr>
        <w:t>Medicaid clients are required to participate in the cost of medical institution care. However, no client participation is charged when the combination of Medicare payments and the Medicaid benefits available to qualified Medicare beneficiaries covers the cost of institutional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in determining client participation. </w:t>
      </w:r>
      <w:r>
        <w:rPr>
          <w:rFonts w:ascii="Times New Roman" w:hAnsi="Times New Roman"/>
          <w:b w:val="false"/>
          <w:i w:val="false"/>
          <w:color w:val="000000"/>
          <w:sz w:val="22"/>
        </w:rPr>
        <w:t>The department determines the amount of client participation based on the client’s total monthly income. Income is determined pursuant to the supplemental security income program under Title XVI of the Social Security Act (42 U.S.C. §1396r-5(f)(2)(A)(i))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FMAP-related clients. </w:t>
      </w:r>
      <w:r>
        <w:rPr>
          <w:rFonts w:ascii="Times New Roman" w:hAnsi="Times New Roman"/>
          <w:b w:val="false"/>
          <w:i w:val="false"/>
          <w:color w:val="000000"/>
          <w:sz w:val="22"/>
        </w:rPr>
        <w:t>The income of a client and family whose eligibility is FMAP-related is not available for client participation when both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has a parent or child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income is considered together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SSI-related clients who are employed. </w:t>
      </w:r>
      <w:r>
        <w:rPr>
          <w:rFonts w:ascii="Times New Roman" w:hAnsi="Times New Roman"/>
          <w:b w:val="false"/>
          <w:i w:val="false"/>
          <w:color w:val="000000"/>
          <w:sz w:val="22"/>
        </w:rPr>
        <w:t>If a client receives SSI and is substantially gainfully employed, as determined by the Social Security Administration, the client shall have the SSI and any mandatory state supplementary assistance payment exempt from client participation for the two full months after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SSI-related clients returning home within three months. </w:t>
      </w:r>
      <w:r>
        <w:rPr>
          <w:rFonts w:ascii="Times New Roman" w:hAnsi="Times New Roman"/>
          <w:b w:val="false"/>
          <w:i w:val="false"/>
          <w:color w:val="000000"/>
          <w:sz w:val="22"/>
        </w:rPr>
        <w:t>If the Social Security Administration continues a client’s SSI or federally administered state supplementary assistance payments for three months because it is expected that the client will return home within three months, these payments shall be exempt from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Institutionalized spouse and community spouse. If there is a community spouse, only the institutionalized person’s income shall be considered in determining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spouses institutionalized. Client participation for each partner in a marriage shall be based on one-half of the couple’s combined income when the partners are considered together for eligibility. Client participation for each partner who is considered individually for eligibility shall be determined individually from each person’s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7/11/90</w:t>
      </w:r>
      <w:r>
        <w:rPr>
          <w:rFonts w:ascii="Times New Roman" w:hAnsi="Times New Roman"/>
          <w:b w:val="false"/>
          <w:i w:val="false"/>
          <w:color w:val="000000"/>
          <w:sz w:val="22"/>
        </w:rPr>
        <w:t>, effective 7/1/90.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The amount of client participation that a client paid under the state supplementary assistance program is not available for Medicaid client participation in the month of the client’s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Foster care recipients. </w:t>
      </w:r>
      <w:r>
        <w:rPr>
          <w:rFonts w:ascii="Times New Roman" w:hAnsi="Times New Roman"/>
          <w:b w:val="false"/>
          <w:i w:val="false"/>
          <w:color w:val="000000"/>
          <w:sz w:val="22"/>
        </w:rPr>
        <w:t>The amount of income paid for foster care for the days that a child is in foster care in the same month as entry to a medical institution is not available for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Clients receiving a VA pension. </w:t>
      </w:r>
      <w:r>
        <w:rPr>
          <w:rFonts w:ascii="Times New Roman" w:hAnsi="Times New Roman"/>
          <w:b w:val="false"/>
          <w:i w:val="false"/>
          <w:color w:val="000000"/>
          <w:sz w:val="22"/>
        </w:rPr>
        <w:t xml:space="preserve">The amount of $90 of veteran’s pension income shall be exempt from client participation if the client is a veteran or a surviving spouse of a veteran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Receives a reduced pension pursuant to 38 U.S.C. Section 5503(d)(2),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Resides at the Iowa Veterans Home and does not have a spouse or minor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75.16(2)</w:t>
      </w:r>
      <w:r>
        <w:rPr>
          <w:rFonts w:ascii="Times New Roman" w:hAnsi="Times New Roman"/>
          <w:b w:val="false"/>
          <w:i w:val="false"/>
          <w:color w:val="000000"/>
          <w:sz w:val="22"/>
        </w:rPr>
        <w:t> </w:t>
      </w:r>
      <w:r>
        <w:rPr>
          <w:rFonts w:ascii="Times New Roman" w:hAnsi="Times New Roman"/>
          <w:b w:val="false"/>
          <w:i/>
          <w:color w:val="000000"/>
          <w:sz w:val="22"/>
        </w:rPr>
        <w:t xml:space="preserve">Allowable deductions from income. </w:t>
      </w:r>
      <w:r>
        <w:rPr>
          <w:rFonts w:ascii="Times New Roman" w:hAnsi="Times New Roman"/>
          <w:b w:val="false"/>
          <w:i w:val="false"/>
          <w:color w:val="000000"/>
          <w:sz w:val="22"/>
        </w:rPr>
        <w:t>In determining the amount of client participation, the department allows the following deductions from the client’s income, taken in the order they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Ongoing personal needs allowance. </w:t>
      </w:r>
      <w:r>
        <w:rPr>
          <w:rFonts w:ascii="Times New Roman" w:hAnsi="Times New Roman"/>
          <w:b w:val="false"/>
          <w:i w:val="false"/>
          <w:color w:val="000000"/>
          <w:sz w:val="22"/>
        </w:rPr>
        <w:t xml:space="preserve">All clients shall retain $50 of their monthly income for a personal needs allowance. (See rules </w:t>
      </w:r>
      <w:hyperlink r:id="rId227">
        <w:r>
          <w:rPr>
            <w:rStyle w:val="Hyperlink"/>
            <w:rFonts w:ascii="Times New Roman" w:hAnsi="Times New Roman"/>
            <w:b w:val="false"/>
            <w:i w:val="false"/>
            <w:color w:val="000000"/>
            <w:sz w:val="22"/>
          </w:rPr>
          <w:t>441—81.23</w:t>
        </w:r>
      </w:hyperlink>
      <w:r>
        <w:rPr>
          <w:rFonts w:ascii="Times New Roman" w:hAnsi="Times New Roman"/>
          <w:b w:val="false"/>
          <w:i w:val="false"/>
          <w:color w:val="000000"/>
          <w:sz w:val="22"/>
        </w:rPr>
        <w:t xml:space="preserve">(249A), </w:t>
      </w:r>
      <w:hyperlink r:id="rId228">
        <w:r>
          <w:rPr>
            <w:rStyle w:val="Hyperlink"/>
            <w:rFonts w:ascii="Times New Roman" w:hAnsi="Times New Roman"/>
            <w:b w:val="false"/>
            <w:i w:val="false"/>
            <w:color w:val="000000"/>
            <w:sz w:val="22"/>
          </w:rPr>
          <w:t>441—82.19</w:t>
        </w:r>
      </w:hyperlink>
      <w:r>
        <w:rPr>
          <w:rFonts w:ascii="Times New Roman" w:hAnsi="Times New Roman"/>
          <w:b w:val="false"/>
          <w:i w:val="false"/>
          <w:color w:val="000000"/>
          <w:sz w:val="22"/>
        </w:rPr>
        <w:t xml:space="preserve">(249A), and </w:t>
      </w:r>
      <w:hyperlink r:id="rId229">
        <w:r>
          <w:rPr>
            <w:rStyle w:val="Hyperlink"/>
            <w:rFonts w:ascii="Times New Roman" w:hAnsi="Times New Roman"/>
            <w:b w:val="false"/>
            <w:i w:val="false"/>
            <w:color w:val="000000"/>
            <w:sz w:val="22"/>
          </w:rPr>
          <w:t>441—85.47</w:t>
        </w:r>
      </w:hyperlink>
      <w:r>
        <w:rPr>
          <w:rFonts w:ascii="Times New Roman" w:hAnsi="Times New Roman"/>
          <w:b w:val="false"/>
          <w:i w:val="false"/>
          <w:color w:val="000000"/>
          <w:sz w:val="22"/>
        </w:rPr>
        <w:t>(249A) regarding potential state-funded personal needs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client has a trust described in Section 1917(d)(4) of the Social Security Act (including medical assistance income trusts and special needs trusts), a reasonable amount paid or set aside for necessary expenses of the trust is added to the personal needs allowance. This amount shall not exceed $10 per month except with court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client has earned income, an additional $65 is added to the ongoing personal needs allowance from the earned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7/1/07.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entry.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person. A single person shall be given an allowance for stated home living expenses during the month of entry, up to the amount of the SSI benefit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Spouses entering institutions together and living together. Partners in a marriage who enter a medical institution in the same month and live in the same room shall be given an allowance for stated home living expenses during the month of entry, up to the amount of the SSI benefit for a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Spouses entering an institution together but living apart. Partners in a marriage who enter a medical institution during the same month and who are considered separately for eligibility shall each be given an allowance for stated home living expenses during the month of entry, up to one-half of the amount of the SSI benefit for a married couple. However, if the income of one spouse is less than one-half of the SSI benefit for a couple, the remainder of the allowance shall be given to the other spouse. If the couple’s eligibility is determined together, an allowance for stated home living expenses shall be given to them during the month of entry up to the SSI benefit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spouse enters a medical institution. When the second member of a married couple enters a medical institution in a later month, that spouse shall be given an allowance for stated expenses during the month of entry, up to the amount of the SSI benefit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discharge. </w:t>
      </w:r>
      <w:r>
        <w:rPr>
          <w:rFonts w:ascii="Times New Roman" w:hAnsi="Times New Roman"/>
          <w:b w:val="false"/>
          <w:i w:val="false"/>
          <w:color w:val="000000"/>
          <w:sz w:val="22"/>
        </w:rPr>
        <w:t>The client shall be allowed a deduction for home living expenses in the month of discharge. The amount of the deduction shall be the SSI benefit for one person (or for a couple, if both members are discharged in the same month). This deduction does not apply when a spouse is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spouse and other dependents.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covered. An ongoing allowance shall be given for the maintenance needs of a community spouse. The allowance is limited to the extent that income of the institutionalized spouse is made available to or for the benefit of the community spouse. If there are minor or dependent children, dependent parents, or dependent siblings of either spouse who live with the community spouse, an ongoing allowance shall also be given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considered. The verified gross income of the spouse and dependents shall be considered in determining maintenance needs. The gross income of the spouse and dependent shall include all monthly earned and unearned income and assistance from the family investment program (FIP), supplemental security income (SSI), and state supplementary assistance (SSA). It shall also include the proceeds of any annuity or contract for sale of real property. Otherwise, the income shall be considered as the SSI program considers income. In addition, the spouse and dependents shall be required to apply for every income benefit for which they are eligible except that they shall not be required to accept SSI, FIP or SSA in lieu of the maintenance needs allowance. Failure to apply for all benefits shall mean reduction of the maintenance needs allowance by the amount of the anticipated income from the source not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of spouse. The maintenance needs of the spouse shall be determined by subtracting the spouse’s gross income from the maximum amount allowed as a minimum monthly maintenance needs allowance for the community spouse by Section 1924(d)(3)(C) of the Social Security Act (42 U.S.C. § 1396r-5(d)(3)(C)). (This amount is indexed for inflation annually according to the consumer price index.)</w:t>
      </w:r>
    </w:p>
    <w:p>
      <w:pPr>
        <w:spacing w:before="0" w:after="0"/>
        <w:ind w:left="120"/>
        <w:jc w:val="both"/>
      </w:pPr>
      <w:r>
        <w:rPr>
          <w:rFonts w:ascii="Times New Roman" w:hAnsi="Times New Roman"/>
          <w:b w:val="false"/>
          <w:i w:val="false"/>
          <w:color w:val="000000"/>
          <w:sz w:val="22"/>
        </w:rPr>
        <w:t>However, if either spouse has established through the appeal process that the community spouse needs income above the minimum monthly maintenance needs allowance, due to exceptional circumstances resulting in significant financial duress, an amount adequate to provide additional income as is necessary shall be substituted.</w:t>
      </w:r>
    </w:p>
    <w:p>
      <w:pPr>
        <w:spacing w:before="0" w:after="0"/>
        <w:ind w:left="120"/>
        <w:jc w:val="both"/>
      </w:pPr>
      <w:r>
        <w:rPr>
          <w:rFonts w:ascii="Times New Roman" w:hAnsi="Times New Roman"/>
          <w:b w:val="false"/>
          <w:i w:val="false"/>
          <w:color w:val="000000"/>
          <w:sz w:val="22"/>
        </w:rPr>
        <w:t>Also, if a court has entered an order against an institutionalized spouse for monthly income to support the community spouse, then the community spouse income allowance shall not be less than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other dependents. The maintenance needs of the other dependents shall be established by subtracting each person’s gross income from 133 percent of the monthly federal poverty level for a family of two and dividing the result by three. (Effective July 1, 1992, the percent shall be 150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children (without spouse). </w:t>
      </w:r>
      <w:r>
        <w:rPr>
          <w:rFonts w:ascii="Times New Roman" w:hAnsi="Times New Roman"/>
          <w:b w:val="false"/>
          <w:i w:val="false"/>
          <w:color w:val="000000"/>
          <w:sz w:val="22"/>
        </w:rPr>
        <w:t>When the client has children under 21 at home, an ongoing allowance shall be given to meet the children’s maintenance needs.</w:t>
      </w:r>
    </w:p>
    <w:p>
      <w:pPr>
        <w:spacing w:before="0" w:after="0"/>
        <w:ind w:left="120"/>
        <w:jc w:val="both"/>
      </w:pPr>
      <w:r>
        <w:rPr>
          <w:rFonts w:ascii="Times New Roman" w:hAnsi="Times New Roman"/>
          <w:b w:val="false"/>
          <w:i w:val="false"/>
          <w:color w:val="000000"/>
          <w:sz w:val="22"/>
        </w:rPr>
        <w:t>The income of the children is considered in determining maintenance needs. The children’s countable income shall be their gross income less the disregards allowed in the FIP program.</w:t>
      </w:r>
    </w:p>
    <w:p>
      <w:pPr>
        <w:spacing w:before="0" w:after="0"/>
        <w:ind w:left="120"/>
        <w:jc w:val="both"/>
      </w:pPr>
      <w:r>
        <w:rPr>
          <w:rFonts w:ascii="Times New Roman" w:hAnsi="Times New Roman"/>
          <w:b w:val="false"/>
          <w:i w:val="false"/>
          <w:color w:val="000000"/>
          <w:sz w:val="22"/>
        </w:rPr>
        <w:t>The children’s maintenance needs shall be determined by subtracting the children’s countable income from the FIP payment standard for that number of children. (However, if the children receive FIP, no deduction is allowed for their maintenance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Client’s medical expenses. </w:t>
      </w:r>
      <w:r>
        <w:rPr>
          <w:rFonts w:ascii="Times New Roman" w:hAnsi="Times New Roman"/>
          <w:b w:val="false"/>
          <w:i w:val="false"/>
          <w:color w:val="000000"/>
          <w:sz w:val="22"/>
        </w:rPr>
        <w:t xml:space="preserve">A deduction shall be allowed for the client’s incurred expenses for medical or remedial care that are not subject to payment by a third party and were not incurred for long-term care services during the imposition of a transfer of assets penalty period pursuant to rule </w:t>
      </w:r>
      <w:hyperlink r:id="rId23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This includes Medicare premiums and other health insurance premiums, deductibles or coinsurance, and necessary medical or remedial care recognized under state law but not covered under the state Medicaid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441—75.17</w:t>
      </w:r>
      <w:r>
        <w:rPr>
          <w:rFonts w:ascii="Times New Roman" w:hAnsi="Times New Roman"/>
          <w:b/>
          <w:i w:val="false"/>
          <w:color w:val="000000"/>
          <w:sz w:val="22"/>
        </w:rPr>
        <w:t xml:space="preserve">(249A) </w:t>
      </w:r>
      <w:r>
        <w:rPr>
          <w:rFonts w:ascii="Times New Roman" w:hAnsi="Times New Roman"/>
          <w:b/>
          <w:i w:val="false"/>
          <w:color w:val="000000"/>
          <w:sz w:val="22"/>
        </w:rPr>
        <w:t xml:space="preserve">Verification of pregnancy. </w:t>
      </w:r>
      <w:r>
        <w:rPr>
          <w:rFonts w:ascii="Times New Roman" w:hAnsi="Times New Roman"/>
          <w:b w:val="false"/>
          <w:i w:val="false"/>
          <w:color w:val="000000"/>
          <w:sz w:val="22"/>
        </w:rPr>
        <w:t>For the purpose of establishing Medicaid eligibility for pregnant women under this chapter, the applicant’s self-declaration of the pregnancy and the date of conception shall serve as verification of pregnancy, unless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75.17(1)</w:t>
      </w:r>
      <w:r>
        <w:rPr>
          <w:rFonts w:ascii="Times New Roman" w:hAnsi="Times New Roman"/>
          <w:b w:val="false"/>
          <w:i w:val="false"/>
          <w:color w:val="000000"/>
          <w:sz w:val="22"/>
        </w:rPr>
        <w:t> </w:t>
      </w:r>
      <w:r>
        <w:rPr>
          <w:rFonts w:ascii="Times New Roman" w:hAnsi="Times New Roman"/>
          <w:b w:val="false"/>
          <w:i/>
          <w:color w:val="000000"/>
          <w:sz w:val="22"/>
        </w:rPr>
        <w:t xml:space="preserve">Multiple pregnancy. </w:t>
      </w:r>
      <w:r>
        <w:rPr>
          <w:rFonts w:ascii="Times New Roman" w:hAnsi="Times New Roman"/>
          <w:b w:val="false"/>
          <w:i w:val="false"/>
          <w:color w:val="000000"/>
          <w:sz w:val="22"/>
        </w:rPr>
        <w:t>If the pregnant woman claims to be carrying more than one fetus, a medical professional who has examined the woman must verify the number of fetuses in order for more than one to be considered in the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75.17(2)</w:t>
      </w:r>
      <w:r>
        <w:rPr>
          <w:rFonts w:ascii="Times New Roman" w:hAnsi="Times New Roman"/>
          <w:b w:val="false"/>
          <w:i w:val="false"/>
          <w:color w:val="000000"/>
          <w:sz w:val="22"/>
        </w:rPr>
        <w:t> </w:t>
      </w:r>
      <w:r>
        <w:rPr>
          <w:rFonts w:ascii="Times New Roman" w:hAnsi="Times New Roman"/>
          <w:b w:val="false"/>
          <w:i/>
          <w:color w:val="000000"/>
          <w:sz w:val="22"/>
        </w:rPr>
        <w:t xml:space="preserve">Cost of examination. </w:t>
      </w:r>
      <w:r>
        <w:rPr>
          <w:rFonts w:ascii="Times New Roman" w:hAnsi="Times New Roman"/>
          <w:b w:val="false"/>
          <w:i w:val="false"/>
          <w:color w:val="000000"/>
          <w:sz w:val="22"/>
        </w:rPr>
        <w:t>When an examination is required and other medical resources are not available to meet the expense of the examination, the provider shall be authorized to make the examination and submit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441—75.18</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pregnant women. </w:t>
      </w:r>
      <w:r>
        <w:rPr>
          <w:rFonts w:ascii="Times New Roman" w:hAnsi="Times New Roman"/>
          <w:b w:val="false"/>
          <w:i w:val="false"/>
          <w:color w:val="000000"/>
          <w:sz w:val="22"/>
        </w:rPr>
        <w:t xml:space="preserve">A pregnant woman who applies for Medicaid prior to the end of her pregnancy and subsequently establishes initial Medicaid eligibility under the provisions of this chapter shall remain continuously eligible throughout the pregnancy and the 60-day postpartum period, as provided in subrule </w:t>
      </w:r>
      <w:hyperlink r:id="rId23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regardless of any changes in family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441—75.19</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children. </w:t>
      </w:r>
      <w:r>
        <w:rPr>
          <w:rFonts w:ascii="Times New Roman" w:hAnsi="Times New Roman"/>
          <w:b w:val="false"/>
          <w:i w:val="false"/>
          <w:color w:val="000000"/>
          <w:sz w:val="22"/>
        </w:rPr>
        <w:t>A child under the age of 19 who is determined eligible for ongoing Medicaid shall retain that eligibility for up to 12 months regardless of changes in family circumstances except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75.19(1)</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coverage. </w:t>
      </w:r>
      <w:r>
        <w:rPr>
          <w:rFonts w:ascii="Times New Roman" w:hAnsi="Times New Roman"/>
          <w:b w:val="false"/>
          <w:i w:val="false"/>
          <w:color w:val="000000"/>
          <w:sz w:val="22"/>
        </w:rPr>
        <w:t>This rule does not apply to the following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newborn coverage group described at subrule </w:t>
      </w:r>
      <w:hyperlink r:id="rId236">
        <w:r>
          <w:rPr>
            <w:rStyle w:val="Hyperlink"/>
            <w:rFonts w:ascii="Times New Roman" w:hAnsi="Times New Roman"/>
            <w:b w:val="false"/>
            <w:i w:val="false"/>
            <w:color w:val="000000"/>
            <w:sz w:val="22"/>
          </w:rPr>
          <w:t>75.1(20)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medically needy coverage group described at subrule </w:t>
      </w:r>
      <w:hyperlink r:id="rId237">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whose medical assistance is state-funded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citizenship is not verified within the “reasonable period” described at paragraph </w:t>
      </w:r>
      <w:hyperlink r:id="rId238">
        <w:r>
          <w:rPr>
            <w:rStyle w:val="Hyperlink"/>
            <w:rFonts w:ascii="Times New Roman" w:hAnsi="Times New Roman"/>
            <w:b w:val="false"/>
            <w:i w:val="false"/>
            <w:color w:val="000000"/>
            <w:sz w:val="22"/>
          </w:rPr>
          <w:t>75.11(2)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 who are eligible only in a retroactive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75.19(2)</w:t>
      </w:r>
      <w:r>
        <w:rPr>
          <w:rFonts w:ascii="Times New Roman" w:hAnsi="Times New Roman"/>
          <w:b w:val="false"/>
          <w:i w:val="false"/>
          <w:color w:val="000000"/>
          <w:sz w:val="22"/>
        </w:rPr>
        <w:t> </w:t>
      </w:r>
      <w:r>
        <w:rPr>
          <w:rFonts w:ascii="Times New Roman" w:hAnsi="Times New Roman"/>
          <w:b w:val="false"/>
          <w:i/>
          <w:color w:val="000000"/>
          <w:sz w:val="22"/>
        </w:rPr>
        <w:t xml:space="preserve">Duration of coverage. </w:t>
      </w:r>
      <w:r>
        <w:rPr>
          <w:rFonts w:ascii="Times New Roman" w:hAnsi="Times New Roman"/>
          <w:b w:val="false"/>
          <w:i w:val="false"/>
          <w:color w:val="000000"/>
          <w:sz w:val="22"/>
        </w:rPr>
        <w:t>Coverage under this rule shall extend through the earliest of the following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the household’s annual eligibility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 when the child reaches the age of 19;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 when the child moves out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75.19(3)</w:t>
      </w:r>
      <w:r>
        <w:rPr>
          <w:rFonts w:ascii="Times New Roman" w:hAnsi="Times New Roman"/>
          <w:b w:val="false"/>
          <w:i w:val="false"/>
          <w:color w:val="000000"/>
          <w:sz w:val="22"/>
        </w:rPr>
        <w:t> </w:t>
      </w:r>
      <w:r>
        <w:rPr>
          <w:rFonts w:ascii="Times New Roman" w:hAnsi="Times New Roman"/>
          <w:b w:val="false"/>
          <w:i/>
          <w:color w:val="000000"/>
          <w:sz w:val="22"/>
        </w:rPr>
        <w:t xml:space="preserve">Assignment of review date. </w:t>
      </w:r>
      <w:r>
        <w:rPr>
          <w:rFonts w:ascii="Times New Roman" w:hAnsi="Times New Roman"/>
          <w:b w:val="false"/>
          <w:i w:val="false"/>
          <w:color w:val="000000"/>
          <w:sz w:val="22"/>
        </w:rPr>
        <w:t>Children entering an existing Medicaid household shall be assigned the same annual eligibility review date as that established for the household.</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3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2539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8786B</w:t>
      </w:r>
      <w:r>
        <w:rPr>
          <w:rFonts w:ascii="Times New Roman" w:hAnsi="Times New Roman"/>
          <w:b w:val="false"/>
          <w:i w:val="false"/>
          <w:color w:val="000000"/>
          <w:sz w:val="16"/>
        </w:rPr>
        <w:t>, IAB 6/2/10,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Disability requirements for SSI-related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color w:val="000000"/>
          <w:sz w:val="22"/>
        </w:rPr>
        <w:t xml:space="preserve">Applicants receiving federal benefits. </w:t>
      </w:r>
      <w:r>
        <w:rPr>
          <w:rFonts w:ascii="Times New Roman" w:hAnsi="Times New Roman"/>
          <w:b w:val="false"/>
          <w:i w:val="false"/>
          <w:color w:val="000000"/>
          <w:sz w:val="22"/>
        </w:rPr>
        <w:t>An applicant receiving supplemental security income on the basis of disability, social security disability benefits under Title II of the Social Security Act, or railroad retirement benefits based on the Social Security law definition of disability by the Railroad Retirement Board, shall be deemed disabled without further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color w:val="000000"/>
          <w:sz w:val="22"/>
        </w:rPr>
        <w:t xml:space="preserve">Applicants not receiving federal benefits. </w:t>
      </w:r>
      <w:r>
        <w:rPr>
          <w:rFonts w:ascii="Times New Roman" w:hAnsi="Times New Roman"/>
          <w:b w:val="false"/>
          <w:i w:val="false"/>
          <w:color w:val="000000"/>
          <w:sz w:val="22"/>
        </w:rPr>
        <w:t>When disability has not been established based on the receipt of social security disability or railroad retirement benefits based on the same disability criteria as used by the Social Security Administration, the department shall determine eligibility for SSI-related Medicaid based on disability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Security Administration (SSA) disability determination under either a social security disability (Title II) application or a supplemental security income application is binding on the department until changed by SSA unless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alleges a disabling condition different from, or in addition to, that considered by SSA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alleges more than 12 months after the most recent SSA determination denying disability that the applicant’s condition has changed or deteriorated since that SSA determination and alleges a new period of disability which meets the durational requirements, and has not applied to SSA for a determination with respect to these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alleges less than 12 months after the most recent SSA determination denying disability that the applicant’s condition has changed or deteriorated since that SSA determination, alleges a new period of disability which meets the durational requirements,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has applied to SSA for reconsideration or reopening of its disability decision and SSA refused to consider the new allegations,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no longer meets the nondisability requirements for SSI but may meet the department’s nondisability requirements for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binding SSA decision and the department is required to establish eligibility for SSI-related Medicaid based on disability, initial determinations shall be made by disability determination services, a bureau of the Iowa department of education under the division of vocational rehabilitation services. The applicant or the applicant’s authorized representative shall complete and submit Form 470-4459 or 470-4459(S), Authorization to Disclose Information to the Department of Human Services,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470-2465, Disability Report for Adults, if the applicant is aged 18 or over;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470-3912, Disability Report for Children, if the applicant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SSA decision on disability is pending when the person applies for Medicaid or when the person applies for either Title II benefits or SSI within ten working days of the Medicaid application, the department shall stay a decision on disability pending the SSA decision on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decisions. </w:t>
      </w:r>
      <w:r>
        <w:rPr>
          <w:rFonts w:ascii="Times New Roman" w:hAnsi="Times New Roman"/>
          <w:b w:val="false"/>
          <w:i w:val="false"/>
          <w:color w:val="000000"/>
          <w:sz w:val="22"/>
        </w:rPr>
        <w:t>Determination of eligibility based on disability shall be completed within 90 days unless the applicant or an examining physician delays or fails to take a required action, or there is an administrative or other emergency beyond the department’s or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color w:val="000000"/>
          <w:sz w:val="22"/>
        </w:rPr>
        <w:t xml:space="preserve">Reviews of disability. </w:t>
      </w:r>
      <w:r>
        <w:rPr>
          <w:rFonts w:ascii="Times New Roman" w:hAnsi="Times New Roman"/>
          <w:b w:val="false"/>
          <w:i w:val="false"/>
          <w:color w:val="000000"/>
          <w:sz w:val="22"/>
        </w:rPr>
        <w:t xml:space="preserve">In connection with any independent determination of disability, the department will determine whether reexamination of the member’s disability will be required for periodic eligibility reviews. When a disability review is required, the member or the member’s authorized representative shall complete and submit the same forms as required in paragraph </w:t>
      </w:r>
      <w:hyperlink r:id="rId240">
        <w:r>
          <w:rPr>
            <w:rStyle w:val="Hyperlink"/>
            <w:rFonts w:ascii="Times New Roman" w:hAnsi="Times New Roman"/>
            <w:b w:val="false"/>
            <w:i w:val="false"/>
            <w:color w:val="000000"/>
            <w:sz w:val="22"/>
          </w:rPr>
          <w:t>75.20(2)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color w:val="000000"/>
          <w:sz w:val="22"/>
        </w:rPr>
        <w:t xml:space="preserve">Members whose disability was determined by the department. </w:t>
      </w:r>
      <w:r>
        <w:rPr>
          <w:rFonts w:ascii="Times New Roman" w:hAnsi="Times New Roman"/>
          <w:b w:val="false"/>
          <w:i w:val="false"/>
          <w:color w:val="000000"/>
          <w:sz w:val="22"/>
        </w:rPr>
        <w:t>When a Medicaid member has been approved for Medicaid based on disability determined by the department and later is determined by SSA not to be disabled for SSI, the member shall continue to be considered disabled for Medicaid eligibility purposes for 65 days from the date of the SSA denial. If at the end of the 65 days there is no appeal to the SSA, Medicaid shall be canceled with timely notice. If there is an appeal within 65 days, the member shall continue to be considered disabled for Medicaid eligibility purposes until a final SSA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75.20(6)</w:t>
      </w:r>
      <w:r>
        <w:rPr>
          <w:rFonts w:ascii="Times New Roman" w:hAnsi="Times New Roman"/>
          <w:b w:val="false"/>
          <w:i w:val="false"/>
          <w:color w:val="000000"/>
          <w:sz w:val="22"/>
        </w:rPr>
        <w:t> </w:t>
      </w:r>
      <w:r>
        <w:rPr>
          <w:rFonts w:ascii="Times New Roman" w:hAnsi="Times New Roman"/>
          <w:b w:val="false"/>
          <w:i/>
          <w:color w:val="000000"/>
          <w:sz w:val="22"/>
        </w:rPr>
        <w:t xml:space="preserve">Disability redeterminations for members who attain age 18. </w:t>
      </w:r>
      <w:r>
        <w:rPr>
          <w:rFonts w:ascii="Times New Roman" w:hAnsi="Times New Roman"/>
          <w:b w:val="false"/>
          <w:i w:val="false"/>
          <w:color w:val="000000"/>
          <w:sz w:val="22"/>
        </w:rPr>
        <w:t>If a member is eligible based on an independent determination of disability made under the standards applicable to persons under 18 years of age, the department shall redetermine the member’s disability after the member attains the age of 18 years. The member’s disability shall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standards applicable to persons who are 18 years of age or 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Regardless of whether a review of the member’s disability would otherwise be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9044B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441—75.21</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program. </w:t>
      </w:r>
      <w:r>
        <w:rPr>
          <w:rFonts w:ascii="Times New Roman" w:hAnsi="Times New Roman"/>
          <w:b w:val="false"/>
          <w:i w:val="false"/>
          <w:color w:val="000000"/>
          <w:sz w:val="22"/>
        </w:rPr>
        <w:t>Under the HIPP program, the department shall pay for the cost of premiums, coinsurance, copayments, and deductibles for Medicaid-eligible individuals when the department determines that those costs will be less than the cost of paying for the individual’s care through Medicaid including managed care capitation fees. Payment shall include only the cost to the Medicaid-eligible individual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“Absent parent” </w:t>
      </w:r>
      <w:r>
        <w:rPr>
          <w:rFonts w:ascii="Times New Roman" w:hAnsi="Times New Roman"/>
          <w:b w:val="false"/>
          <w:i w:val="false"/>
          <w:color w:val="000000"/>
          <w:sz w:val="22"/>
        </w:rPr>
        <w:t>means a noncustodial parent, or a parent who is not living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w:t>
      </w:r>
      <w:hyperlink r:id="rId242">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payment” </w:t>
      </w:r>
      <w:r>
        <w:rPr>
          <w:rFonts w:ascii="Times New Roman" w:hAnsi="Times New Roman"/>
          <w:b w:val="false"/>
          <w:i w:val="false"/>
          <w:color w:val="000000"/>
          <w:sz w:val="22"/>
        </w:rPr>
        <w:t>means a monthly payment to the managed care contractor on behalf of each member for the provision of health services under the managed care entity contract. Payment is made by the department regardless of whether the member receives services during the month. The managed care capitation payment varies based on the eligible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“Cost-effective” </w:t>
      </w:r>
      <w:r>
        <w:rPr>
          <w:rFonts w:ascii="Times New Roman" w:hAnsi="Times New Roman"/>
          <w:b w:val="false"/>
          <w:i w:val="false"/>
          <w:color w:val="000000"/>
          <w:sz w:val="22"/>
        </w:rPr>
        <w:t>means a determination has been made that a savings will accrue to the department by paying the insurance premium, cost sharing, wrap benefits, and administrative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portions of in-network health care costs not covered by an insurance plan. “Cost sharing” includes copayments, coinsurance and deductibles, which vary among health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person recognized as representing the interests of the member for Medicaid assistance. When the member reaches the age of 18 and the custodian is not used in determining Medicaid eligibility, there shall be legal documentation in place that the custodian is now the responsible person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“Employer-sponsored insurance” </w:t>
      </w:r>
      <w:r>
        <w:rPr>
          <w:rFonts w:ascii="Times New Roman" w:hAnsi="Times New Roman"/>
          <w:b w:val="false"/>
          <w:i w:val="false"/>
          <w:color w:val="000000"/>
          <w:sz w:val="22"/>
        </w:rPr>
        <w:t xml:space="preserve">or </w:t>
      </w:r>
      <w:r>
        <w:rPr>
          <w:rFonts w:ascii="Times New Roman" w:hAnsi="Times New Roman"/>
          <w:b w:val="false"/>
          <w:i/>
          <w:color w:val="000000"/>
          <w:sz w:val="22"/>
        </w:rPr>
        <w:t>“ESI”</w:t>
      </w:r>
      <w:r>
        <w:rPr>
          <w:rFonts w:ascii="Times New Roman" w:hAnsi="Times New Roman"/>
          <w:b w:val="false"/>
          <w:i w:val="false"/>
          <w:color w:val="000000"/>
          <w:sz w:val="22"/>
        </w:rPr>
        <w:t xml:space="preserve"> means any health insurance plan paid for by a business on behalf of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“High-deductible health plan” </w:t>
      </w:r>
      <w:r>
        <w:rPr>
          <w:rFonts w:ascii="Times New Roman" w:hAnsi="Times New Roman"/>
          <w:b w:val="false"/>
          <w:i w:val="false"/>
          <w:color w:val="000000"/>
          <w:sz w:val="22"/>
        </w:rPr>
        <w:t xml:space="preserve">or </w:t>
      </w:r>
      <w:r>
        <w:rPr>
          <w:rFonts w:ascii="Times New Roman" w:hAnsi="Times New Roman"/>
          <w:b w:val="false"/>
          <w:i/>
          <w:color w:val="000000"/>
          <w:sz w:val="22"/>
        </w:rPr>
        <w:t>“HDHP”</w:t>
      </w:r>
      <w:r>
        <w:rPr>
          <w:rFonts w:ascii="Times New Roman" w:hAnsi="Times New Roman"/>
          <w:b w:val="false"/>
          <w:i w:val="false"/>
          <w:color w:val="000000"/>
          <w:sz w:val="22"/>
        </w:rPr>
        <w:t xml:space="preserve"> means a health insurance plan that meets the definition found in </w:t>
      </w:r>
      <w:r>
        <w:rPr>
          <w:rFonts w:ascii="Times New Roman" w:hAnsi="Times New Roman"/>
          <w:b w:val="false"/>
          <w:i w:val="false"/>
          <w:color w:val="000000"/>
          <w:sz w:val="22"/>
        </w:rPr>
        <w:t>Section 223(c)(2)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“HIPP-eligible member” </w:t>
      </w:r>
      <w:r>
        <w:rPr>
          <w:rFonts w:ascii="Times New Roman" w:hAnsi="Times New Roman"/>
          <w:b w:val="false"/>
          <w:i w:val="false"/>
          <w:color w:val="000000"/>
          <w:sz w:val="22"/>
        </w:rPr>
        <w:t>means a person whose Medicaid eligibility is calculated in the cost-effective determination for HIPP. “HIPP-eligible member” is also referred to as HIPP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group of people who are used in the budgeting and size when determining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plan” </w:t>
      </w:r>
      <w:r>
        <w:rPr>
          <w:rFonts w:ascii="Times New Roman" w:hAnsi="Times New Roman"/>
          <w:b w:val="false"/>
          <w:i w:val="false"/>
          <w:color w:val="000000"/>
          <w:sz w:val="22"/>
        </w:rPr>
        <w:t>means an insurance plan purchased through a government-run health insurance marketplace or through a local broker or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plan” </w:t>
      </w:r>
      <w:r>
        <w:rPr>
          <w:rFonts w:ascii="Times New Roman" w:hAnsi="Times New Roman"/>
          <w:b w:val="false"/>
          <w:i w:val="false"/>
          <w:color w:val="000000"/>
          <w:sz w:val="22"/>
        </w:rPr>
        <w:t>means major medical comprehensive health coverage provided through an employer, the Consolidated Omnibus Budget Reconciliation Act of 1985 (COBRA), a government-run health insurance marketplace, or a local broker or agent. Dental and vision plans are not considered to be insurance plans for purposes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 individual who has been determined eligible for Medicaid assistance and is enrolled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“Policyholder” </w:t>
      </w:r>
      <w:r>
        <w:rPr>
          <w:rFonts w:ascii="Times New Roman" w:hAnsi="Times New Roman"/>
          <w:b w:val="false"/>
          <w:i w:val="false"/>
          <w:color w:val="000000"/>
          <w:sz w:val="22"/>
        </w:rPr>
        <w:t>means the person in whose name an insurance policy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 individual recognized by the department pursuant to </w:t>
      </w:r>
      <w:hyperlink r:id="rId243">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“Wrap benefits” </w:t>
      </w:r>
      <w:r>
        <w:rPr>
          <w:rFonts w:ascii="Times New Roman" w:hAnsi="Times New Roman"/>
          <w:b w:val="false"/>
          <w:i w:val="false"/>
          <w:color w:val="000000"/>
          <w:sz w:val="22"/>
        </w:rPr>
        <w:t>means the services covered under the Medicaid state plans that are not paid for by insurance plans (i.e., waiver services,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75.21(2)</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w:t>
      </w:r>
      <w:r>
        <w:rPr>
          <w:rFonts w:ascii="Times New Roman" w:hAnsi="Times New Roman"/>
          <w:b w:val="false"/>
          <w:i w:val="false"/>
          <w:color w:val="000000"/>
          <w:sz w:val="22"/>
        </w:rPr>
        <w:t>Participation in an insurance plan is not a condition of Medicaid eligibility. The department shall pay for the cost of the insurance plan premiums, coinsurance, copayment, and deductibles of an insurance plan for a member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is enrolled in or can be added to the insurance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plan is cost-effective as defined in </w:t>
      </w:r>
      <w:hyperlink r:id="rId244">
        <w:r>
          <w:rPr>
            <w:rStyle w:val="Hyperlink"/>
            <w:rFonts w:ascii="Times New Roman" w:hAnsi="Times New Roman"/>
            <w:b w:val="false"/>
            <w:i w:val="false"/>
            <w:color w:val="000000"/>
            <w:sz w:val="22"/>
          </w:rPr>
          <w:t>subrule 75.21(3)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75.21(3)</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An insurance plan shall be considered cost-effective when the amount the department would pay for the member’s insurance premiums, cost sharing, wrap benefits, and administrative costs is likely to be less than the amount the department would pay through Medicaid including managed care capitation fees. When determining the cost-effectiveness of an insurance plan, the following data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to the member or household for the insurance premium, coinsurance, copayments and deductibles. No costs paid by an employer or other plan sponsor shall be considered in the cost-effectiveness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care through Medicaid including managed care capitation fees the department would pay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cost of wrap benefits per member based on the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health-related circumstances of the members covered under the health plan. Form 470-2868, HIPP Medical History Questionnaire, shall be used to obtain this information. When the information indicates any health conditions that could be expected to result prospectively in higher-than-average bills for any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covered by the insurance plan, the department shall request from the policyholder, or the responsible person for the member, an insurance summary of the member’s paid claims for the previous 12 months. If there is sufficient evidence to indicate that such claims can be expected to continue in the next 12 months, the claims will be considered in determining the cost-effectiveness of the insurance plan. The cost of the insurance plan premium, member’s cost sharing, and administrative cost are compared to the actual claims to determine the cost-effectiveness of providing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was not covered by the health plan in the previous 12 months, fee-for-service paid Medicaid claims may be used to project the cost-effectiveness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administrative expenditures of $150 per HIPP member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estimated savings to the department for members covered under the health insurance plan is at least $5 per month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75.21(4)</w:t>
      </w:r>
      <w:r>
        <w:rPr>
          <w:rFonts w:ascii="Times New Roman" w:hAnsi="Times New Roman"/>
          <w:b w:val="false"/>
          <w:i w:val="false"/>
          <w:color w:val="000000"/>
          <w:sz w:val="22"/>
        </w:rPr>
        <w:t> </w:t>
      </w:r>
      <w:r>
        <w:rPr>
          <w:rFonts w:ascii="Times New Roman" w:hAnsi="Times New Roman"/>
          <w:b w:val="false"/>
          <w:i/>
          <w:color w:val="000000"/>
          <w:sz w:val="22"/>
        </w:rPr>
        <w:t xml:space="preserve">Coverage of non-Medicaid-eligible family members. </w:t>
      </w:r>
      <w:r>
        <w:rPr>
          <w:rFonts w:ascii="Times New Roman" w:hAnsi="Times New Roman"/>
          <w:b w:val="false"/>
          <w:i w:val="false"/>
          <w:color w:val="000000"/>
          <w:sz w:val="22"/>
        </w:rPr>
        <w:t>When an insurance plan is determined to be cost-effective, the department shall pay for insurance premiums for non-Medicaid-eligible family members if a non-Medicaid-eligible family member must be enrolled in the insurance plan in order to obtain coverage for the Medicaid-eligible family members.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non-Medicaid-eligible family members shall not be taken into consideration when determining cost-effectiveness;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deductibles, coinsurances or other cost-sharing obligations shall not be made on behalf of family members who are not Medicaid-eligible.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75.21(5)</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ineligible for reimbursement. </w:t>
      </w:r>
      <w:r>
        <w:rPr>
          <w:rFonts w:ascii="Times New Roman" w:hAnsi="Times New Roman"/>
          <w:b w:val="false"/>
          <w:i w:val="false"/>
          <w:color w:val="000000"/>
          <w:sz w:val="22"/>
        </w:rPr>
        <w:t>Premiums shall not be paid for insurance plans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plan is that of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indemnity policy which supplements the policyholder’s income or pays only a predetermined amount for services covered under the policy (e.g., $50 per day for hospital services instead of 80 percent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school plan offered on the basis of attendance or enrollment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premium is used to meet a spenddown obligation under the medically needy program, as provided in </w:t>
      </w:r>
      <w:hyperlink r:id="rId245">
        <w:r>
          <w:rPr>
            <w:rStyle w:val="Hyperlink"/>
            <w:rFonts w:ascii="Times New Roman" w:hAnsi="Times New Roman"/>
            <w:b w:val="false"/>
            <w:i w:val="false"/>
            <w:color w:val="000000"/>
            <w:sz w:val="22"/>
          </w:rPr>
          <w:t>subrule 75.1(35)</w:t>
        </w:r>
      </w:hyperlink>
      <w:r>
        <w:rPr>
          <w:rFonts w:ascii="Times New Roman" w:hAnsi="Times New Roman"/>
          <w:b w:val="false"/>
          <w:i w:val="false"/>
          <w:color w:val="000000"/>
          <w:sz w:val="22"/>
        </w:rPr>
        <w:t>, when all persons in the household are eligible or potentially eligible only under the medically needy program. When some of the household members are eligible for full Medicaid benefits under coverage groups other than medically needy, the premium shall be paid if it is determined to be cost-effective when considering only the persons receiving full Medicaid coverage. In those cases, the insurance premium shall not be allowed as a deduction to meet the spenddown obligation for those persons in the household participating in the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insurance plan is designed to provide coverage only for a temporary period of time (e.g., 30 to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covered under the insurance plan are not Medicaid-eligible on the date the decision regarding eligibility for the HIPP program is made. No retroactive payments shall be made if the case is not Medicaid-eligible on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only for a coverage group that does not provide full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coverage is provided through the health insurance plan of Iowa (HIPIOWA), in accordance with Iowa Code chapter </w:t>
      </w:r>
      <w:hyperlink r:id="rId246">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Insurance on the member(s) is maintained by someone who does not live with the member(s), is not the legal guardian of the member(s), is not a responsible person, or does not have legal permission to access the Medicaid information of the member(s) (e.g., self-supporting adult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member has Medicare. If other members in the household are covered by the insurance plan, cost-effectiveness is determined without including the Medicare-covered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insurance plan does not provide major medical coverage but pays only for specific situations (i.e., accident plans) or illnesses (i.e., cancer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health plan pays secondary to another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only Medicaid member is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active for Medicaid under Medicaid for children with disabilities (i.e., Medicaid for kids with special needs (MKSN)), pursuant to </w:t>
      </w:r>
      <w:hyperlink r:id="rId247">
        <w:r>
          <w:rPr>
            <w:rStyle w:val="Hyperlink"/>
            <w:rFonts w:ascii="Times New Roman" w:hAnsi="Times New Roman"/>
            <w:b w:val="false"/>
            <w:i w:val="false"/>
            <w:color w:val="000000"/>
            <w:sz w:val="22"/>
          </w:rPr>
          <w:t>subrule 75.1(43)</w:t>
        </w:r>
      </w:hyperlink>
      <w:r>
        <w:rPr>
          <w:rFonts w:ascii="Times New Roman" w:hAnsi="Times New Roman"/>
          <w:b w:val="false"/>
          <w:i w:val="false"/>
          <w:color w:val="000000"/>
          <w:sz w:val="22"/>
        </w:rPr>
        <w:t>. Any other Medicaid members in the household who are covered by the health plan shall be determined for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insurance plan is limited due to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subsidized insurance plan purchased through a government-run health insurance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On the date the decision regarding eligibility for the HIPP program is made, the insurance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HDHP.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75.21(6)</w:t>
      </w:r>
      <w:r>
        <w:rPr>
          <w:rFonts w:ascii="Times New Roman" w:hAnsi="Times New Roman"/>
          <w:b w:val="false"/>
          <w:i w:val="false"/>
          <w:color w:val="000000"/>
          <w:sz w:val="22"/>
        </w:rPr>
        <w:t> </w:t>
      </w:r>
      <w:r>
        <w:rPr>
          <w:rFonts w:ascii="Times New Roman" w:hAnsi="Times New Roman"/>
          <w:b w:val="false"/>
          <w:i/>
          <w:color w:val="000000"/>
          <w:sz w:val="22"/>
        </w:rPr>
        <w:t xml:space="preserve">Department evaluation of ESI plans. </w:t>
      </w:r>
      <w:r>
        <w:rPr>
          <w:rFonts w:ascii="Times New Roman" w:hAnsi="Times New Roman"/>
          <w:b w:val="false"/>
          <w:i w:val="false"/>
          <w:color w:val="000000"/>
          <w:sz w:val="22"/>
        </w:rPr>
        <w:t>When evaluating ESI plans available through an employer, if there is more than one cost-effective insurance plan available, the department shall pay the premium for only one plan. The member may choose the cost-effective plan in which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The effective date of premium payments for a cost-effective health plan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payments shall begin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month in which Form 470-2844, Employer’s Statement of Earnings; Form 470-2875, Health Insurance Premium Payment (HIPP) Program Application; or Form H301-1, the automated HIPP referral; is received by the HIPP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in which the health plan is determined to be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is not enrolled in the insurance plan when eligibility for participation in the HIPP program is established, premium payments shall begin in the month in which the first premium payment is due after enrollment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was a lapse in coverage during the application process (e.g., the health plan is dropped and reenrollment occurs at a later date), premium payments shall not be made for any period of time before the current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shall payments be made for premiums that were used as a deduction to income for determining client participation or the amount of the spenddown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 470-3036, Employer Verification of Insurance Coverage, shall be used to verify the effective date of coverage and costs for persons enrolled in group health plans through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of an insurance plan not obtained through an employer shall be verified by a copy of the certificate of coverage for the plan or by some other verification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75.21(8)</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Payments of premiums will be made directly to the insurance carrier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payment to an employer in order to circumvent a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employer will not agree to accept premium payments from the department in lieu of a payroll deduction to the employee’s wages, the department shall reimburse the employee directly for payroll deductions or for payments made directly to the employer for the payment of premiums. The department shall issue reimbursement to the employee five working days before the employee’s pay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premium payments are occurring through an automatic withdrawal from a bank account by the insurance carrier, the department may reimburse the policyholder for those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for COBRA coverage shall be made directly to the insurance carrier, the COBRA administrator, or the former employer. Payments may be made directly to the former employee only in those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cannot be obtained for direct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pays for only part of the total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75.21(9)</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Claims from medical providers for persons participating in this program shall be paid in the same manner as claims are paid for other persons with a third-party resource in accordance with the provisions of </w:t>
      </w:r>
      <w:hyperlink r:id="rId248">
        <w:r>
          <w:rPr>
            <w:rStyle w:val="Hyperlink"/>
            <w:rFonts w:ascii="Times New Roman" w:hAnsi="Times New Roman"/>
            <w:b w:val="false"/>
            <w:i w:val="false"/>
            <w:color w:val="000000"/>
            <w:sz w:val="22"/>
          </w:rPr>
          <w:t>441—Chapters 79</w:t>
        </w:r>
      </w:hyperlink>
      <w:r>
        <w:rPr>
          <w:rFonts w:ascii="Times New Roman" w:hAnsi="Times New Roman"/>
          <w:b w:val="false"/>
          <w:i w:val="false"/>
          <w:color w:val="000000"/>
          <w:sz w:val="22"/>
        </w:rPr>
        <w:t xml:space="preserve"> and </w:t>
      </w:r>
      <w:hyperlink r:id="rId249">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75.21(10)</w:t>
      </w:r>
      <w:r>
        <w:rPr>
          <w:rFonts w:ascii="Times New Roman" w:hAnsi="Times New Roman"/>
          <w:b w:val="false"/>
          <w:i w:val="false"/>
          <w:color w:val="000000"/>
          <w:sz w:val="22"/>
        </w:rPr>
        <w:t> </w:t>
      </w:r>
      <w:r>
        <w:rPr>
          <w:rFonts w:ascii="Times New Roman" w:hAnsi="Times New Roman"/>
          <w:b w:val="false"/>
          <w:i/>
          <w:color w:val="000000"/>
          <w:sz w:val="22"/>
        </w:rPr>
        <w:t xml:space="preserve">Reviews of cost-effectiveness and eligibility. </w:t>
      </w:r>
      <w:r>
        <w:rPr>
          <w:rFonts w:ascii="Times New Roman" w:hAnsi="Times New Roman"/>
          <w:b w:val="false"/>
          <w:i w:val="false"/>
          <w:color w:val="000000"/>
          <w:sz w:val="22"/>
        </w:rPr>
        <w:t>Reviews of cost-effectiveness and eligibility shall be completed annually and may be conducted more frequently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review of ESI cost-effectiveness and eligibility shall be completed using Form 470-3016, Health Insurance Premium Payment (HIPP) Program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review of individual health plan cost-effectiveness and eligibility shall be completed using Form 470-3017, HIPP Private Policy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household to cooperate in the annual review process shall result in cancellation of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Redeterminations shall be completed whenever: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premium rate, copayment, deductible, or coinsurance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covered under the policy loses full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hours of employment affect the availability of an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insurance carrier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policyholder leaves the Medicaid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decrease in the services covered under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Medicaid category of coverage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report changes that may affect the availability of the insurance plan reimbursed by the HIPP program, or changes that affect the cost-effectiveness of the policy, within ten calendar days from the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change in the number of members in the Medicaid household causes the health plan not to be cost-effective, lesser health plan options, as defined in </w:t>
      </w:r>
      <w:hyperlink r:id="rId250">
        <w:r>
          <w:rPr>
            <w:rStyle w:val="Hyperlink"/>
            <w:rFonts w:ascii="Times New Roman" w:hAnsi="Times New Roman"/>
            <w:b w:val="false"/>
            <w:i w:val="false"/>
            <w:color w:val="000000"/>
            <w:sz w:val="22"/>
          </w:rPr>
          <w:t>paragraph 75.21(15)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considered if available and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employment ends, hours of employment are reduced, or some other qualifying event affecting the availability of the group health plan occurs, the department shall verify whether coverage may be continued under the provisions of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470-3037, Employer Verification of COBRA Eligibility, may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cost-effective to do so, the department shall pay premiums to maintain insurance coverage for members after the occurrence of the event which would otherwise result in termination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determining cost-effectiveness. </w:t>
      </w:r>
      <w:r>
        <w:rPr>
          <w:rFonts w:ascii="Times New Roman" w:hAnsi="Times New Roman"/>
          <w:b w:val="false"/>
          <w:i w:val="false"/>
          <w:color w:val="000000"/>
          <w:sz w:val="22"/>
        </w:rPr>
        <w:t xml:space="preserve">The department shall determine cost-effectiveness of the insurance plan and notify the applicant of the decision regarding payment of the premiums within 65 calendar days from the date an application or referral (as defined in </w:t>
      </w:r>
      <w:hyperlink r:id="rId251">
        <w:r>
          <w:rPr>
            <w:rStyle w:val="Hyperlink"/>
            <w:rFonts w:ascii="Times New Roman" w:hAnsi="Times New Roman"/>
            <w:b w:val="false"/>
            <w:i w:val="false"/>
            <w:color w:val="000000"/>
            <w:sz w:val="22"/>
          </w:rPr>
          <w:t>subrule 75.21(7)</w:t>
        </w:r>
      </w:hyperlink>
      <w:r>
        <w:rPr>
          <w:rFonts w:ascii="Times New Roman" w:hAnsi="Times New Roman"/>
          <w:b w:val="false"/>
          <w:i w:val="false"/>
          <w:color w:val="000000"/>
          <w:sz w:val="22"/>
        </w:rPr>
        <w:t>) is received. Additional time may be taken when, for reasons beyond the control of the department or the applicant, information needed to establish cost-effectiveness cannot be obtained within the 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75.21(12)</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notice shall be provided to the household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of the initial decision on cost-effectiveness and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that premium payments are being discontinued because Medicaid eligibility has been lost by all persons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insurance plan is no longer available to the family (e.g., the employer no longer provides health insurance coverage or the policy is terminated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timely and adequate notice as defined in rule </w:t>
      </w:r>
      <w:hyperlink r:id="rId252">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to inform the household of a decision to discontinue payment of the health insurance premium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the insurance plan is no longer cost-effective;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failed to cooperate in providing information necessary to establish continued eligibility for the HIPP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75.21(13)</w:t>
      </w:r>
      <w:r>
        <w:rPr>
          <w:rFonts w:ascii="Times New Roman" w:hAnsi="Times New Roman"/>
          <w:b w:val="false"/>
          <w:i w:val="false"/>
          <w:color w:val="000000"/>
          <w:sz w:val="22"/>
        </w:rPr>
        <w:t> </w:t>
      </w:r>
      <w:r>
        <w:rPr>
          <w:rFonts w:ascii="Times New Roman" w:hAnsi="Times New Roman"/>
          <w:b w:val="false"/>
          <w:i/>
          <w:color w:val="000000"/>
          <w:sz w:val="22"/>
        </w:rPr>
        <w:t xml:space="preserve">Rate refund. </w:t>
      </w:r>
      <w:r>
        <w:rPr>
          <w:rFonts w:ascii="Times New Roman" w:hAnsi="Times New Roman"/>
          <w:b w:val="false"/>
          <w:i w:val="false"/>
          <w:color w:val="000000"/>
          <w:sz w:val="22"/>
        </w:rPr>
        <w:t>The department shall be entitled to any rate refund made when the insurance carrier determines a return of premiums to the policyholder is due for any time period for which the department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HIPP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eligibility for the HIPP program is canceled because the persons covered under the insurance plan lose Medicaid eligibility, HIPP eligibility shall be reinstated when Medicaid eligibility is reestablished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HIPP eligibility is canceled because of the policyholder’s failure to cooperate in providing information necessary to establish continued eligibility for the HIPP program, benefits shall be reinstated the first day of the first month in which cooperation occurs,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75.21(15)</w:t>
      </w:r>
      <w:r>
        <w:rPr>
          <w:rFonts w:ascii="Times New Roman" w:hAnsi="Times New Roman"/>
          <w:b w:val="false"/>
          <w:i w:val="false"/>
          <w:color w:val="000000"/>
          <w:sz w:val="22"/>
        </w:rPr>
        <w:t> </w:t>
      </w:r>
      <w:r>
        <w:rPr>
          <w:rFonts w:ascii="Times New Roman" w:hAnsi="Times New Roman"/>
          <w:b w:val="false"/>
          <w:i/>
          <w:color w:val="000000"/>
          <w:sz w:val="22"/>
        </w:rPr>
        <w:t xml:space="preserve">Amount of insurance premium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ESI plans, the policyholder shall provide verification of the cost of all possible insurance plan options (i.e., single, employee/children,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HIPP program shall pay only for the option that provides coverage to the cost-effective 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HIPP program shall not pay the portion of the premium cost which is the responsibility of the employer or other plan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individual health plans, the HIPP program shall pay the cost of covering the cost-effective members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plans, if another household member must be covered to obtain coverage for the members, the HIPP program shall pay the cost of covering that household member if the coverage is cost-effective as determined pursuant to </w:t>
      </w:r>
      <w:hyperlink r:id="rId253">
        <w:r>
          <w:rPr>
            <w:rStyle w:val="Hyperlink"/>
            <w:rFonts w:ascii="Times New Roman" w:hAnsi="Times New Roman"/>
            <w:b w:val="false"/>
            <w:i w:val="false"/>
            <w:color w:val="000000"/>
            <w:sz w:val="22"/>
          </w:rPr>
          <w:t>subrules 75.21(3)</w:t>
        </w:r>
      </w:hyperlink>
      <w:r>
        <w:rPr>
          <w:rFonts w:ascii="Times New Roman" w:hAnsi="Times New Roman"/>
          <w:b w:val="false"/>
          <w:i w:val="false"/>
          <w:color w:val="000000"/>
          <w:sz w:val="22"/>
        </w:rPr>
        <w:t xml:space="preserve"> and </w:t>
      </w:r>
      <w:hyperlink r:id="rId254">
        <w:r>
          <w:rPr>
            <w:rStyle w:val="Hyperlink"/>
            <w:rFonts w:ascii="Times New Roman" w:hAnsi="Times New Roman"/>
            <w:b w:val="false"/>
            <w:i w:val="false"/>
            <w:color w:val="000000"/>
            <w:sz w:val="22"/>
          </w:rPr>
          <w:t>75.21(4)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75.21(16)</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Failure to report and verify changes may result in cancellation of HIPP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verify changes by providing a pay stub, a summary of benefits and coverage, a rate sheet, or a letter from the insurance carrier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the employment-related insurance carrier shall be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benefits paid during a period in which there was ineligibility for HIPP due to unreported changes shall be subject to recovery in accordance with the provisions of </w:t>
      </w:r>
      <w:hyperlink r:id="rId25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underpayment that results from an unreported change shall be paid effective the first day of the month in which the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premium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household loses Medicaid eligibility, premium payments shall be discontinued as of the month of Medicaid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part of the household loses Medicaid eligibility, the department shall complete a review in order to ascertain whether payment of the health insurance premium continues to be cost-effective. If the department determines that the insurance plan is no longer cost-effective, premium payment shall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household fails to cooperate in providing information necessary to establish ongoing eligibility for the HIPP program, the department shall discontinue premium payment after timely and adequate notice. The department shall request all information in writing and allow the household ten calendar days in which to provide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policyholder leaves the Medicaid household, premium payments shall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insurance plan is no longer available or the policy has lapsed, premium payments shall be discontinued as of the effective date of the termination of the coverage.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3493C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441—75.22</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health insurance premium payment program. </w:t>
      </w:r>
      <w:r>
        <w:rPr>
          <w:rFonts w:ascii="Times New Roman" w:hAnsi="Times New Roman"/>
          <w:b w:val="false"/>
          <w:i w:val="false"/>
          <w:color w:val="000000"/>
          <w:sz w:val="22"/>
        </w:rPr>
        <w:t xml:space="preserve">For the purposes of this rule, “AIDS” and “HIV” are defined in accordance with Iowa Code section </w:t>
      </w:r>
      <w:hyperlink r:id="rId257">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w:t>
      </w:r>
      <w:r>
        <w:rPr>
          <w:rFonts w:ascii="Times New Roman" w:hAnsi="Times New Roman"/>
          <w:b w:val="false"/>
          <w:i w:val="false"/>
          <w:color w:val="000000"/>
          <w:sz w:val="22"/>
        </w:rPr>
        <w:t> </w:t>
      </w:r>
      <w:r>
        <w:rPr>
          <w:rFonts w:ascii="Times New Roman" w:hAnsi="Times New Roman"/>
          <w:b w:val="false"/>
          <w:i/>
          <w:color w:val="000000"/>
          <w:sz w:val="22"/>
        </w:rPr>
        <w:t xml:space="preserve">Conditions of eligibility. </w:t>
      </w:r>
      <w:r>
        <w:rPr>
          <w:rFonts w:ascii="Times New Roman" w:hAnsi="Times New Roman"/>
          <w:b w:val="false"/>
          <w:i w:val="false"/>
          <w:color w:val="000000"/>
          <w:sz w:val="22"/>
        </w:rPr>
        <w:t>The department shall pay for the cost of continuing health insurance coverage to persons with AIDS or HIV-related illnesses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HIV-related illness shall be the policyholder, or the spouse of the policyholder, of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resident of Iowa in accordance with the provisions of rule </w:t>
      </w:r>
      <w:hyperlink r:id="rId258">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not be eligible for Medicaid. The person shall be required to apply for Medicaid benefits when it appears Medicaid eligibility may exist. Persons who are required to meet a spenddown obligation under the medically needy program, as provided in subrule </w:t>
      </w:r>
      <w:hyperlink r:id="rId259">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are not considered Medicaid-eligible for the purpose of establishing eligibility under these provisions.</w:t>
      </w:r>
    </w:p>
    <w:p>
      <w:pPr>
        <w:spacing w:before="0" w:after="0"/>
        <w:ind w:left="120"/>
        <w:jc w:val="both"/>
      </w:pPr>
      <w:r>
        <w:rPr>
          <w:rFonts w:ascii="Times New Roman" w:hAnsi="Times New Roman"/>
          <w:b w:val="false"/>
          <w:i w:val="false"/>
          <w:color w:val="000000"/>
          <w:sz w:val="22"/>
        </w:rPr>
        <w:t xml:space="preserve">When Medicaid eligibility is attained, premium payments shall be made under the provisions of rule </w:t>
      </w:r>
      <w:hyperlink r:id="rId26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if all criteria of that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physician’s statement shall be provided verifying the policyholder or the spouse of the policyholder suffers from AIDS or an HIV-related illness. The physician’s statement shall also verify that the policyholder or the spouse of the policyholder is or will be unable to continue employment in the person’s current position or that hours of employment will be significantly reduced due to AIDS or HIV-related illness. The Physician’s Verification of Diagnosis, Form 470-2958, shall be used to obtain this information from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income shall not exceed 300 percent of the federal poverty level for a family of the same size. The gross income of all family members shall be counted using the definition of gross income under the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Liquid resources shall not exceed $10,000 per household. The following are examples of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Unobligated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Stocks, bonds, certificates of deposit, excluding Internal Revenue Service defined retirement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insurance plan must be cost-effective based on the amount of the premium and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applying for participation in this program shall complete the AIDS/HIV Health Insurance Premium Payment Application, Form 470-2953. The applicant shall be required to provide documentation of income and assets. The application shall be available from and may be filed at any county departmental office or at the Division of Medical Services, Department of Human Services, Hoover State Office Building, 1305 East Walnut, Des Moines, Iowa 50319-0114.</w:t>
      </w:r>
    </w:p>
    <w:p>
      <w:pPr>
        <w:spacing w:before="0" w:after="0"/>
        <w:ind w:left="120"/>
        <w:jc w:val="both"/>
      </w:pPr>
      <w:r>
        <w:rPr>
          <w:rFonts w:ascii="Times New Roman" w:hAnsi="Times New Roman"/>
          <w:b w:val="false"/>
          <w:i w:val="false"/>
          <w:color w:val="000000"/>
          <w:sz w:val="22"/>
        </w:rPr>
        <w:t>An application shall be considered as filed on the date an AIDS/HIV Health Insurance Premium Payment Application, Form 470-2953, containing the applicant’s name, address and signature is received and date-stamped in any county departmental office or the division of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Every reasonable effort will be made to render a decision within 30 days. Additional time for rendering a decision may be taken when, due to circumstances beyond the control of the applicant or the department, a decision regarding the applicant’s eligibility cannot be reached within 30 days (e.g., verification from a third party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on the day of decision. </w:t>
      </w:r>
      <w:r>
        <w:rPr>
          <w:rFonts w:ascii="Times New Roman" w:hAnsi="Times New Roman"/>
          <w:b w:val="false"/>
          <w:i w:val="false"/>
          <w:color w:val="000000"/>
          <w:sz w:val="22"/>
        </w:rPr>
        <w:t>No payments will be made for current or retroactive premiums if the person with AIDS or an HIV-related illness is deceased prior to a final eligibility determination being made on the application, if the insurance plan has lapsed, or if the person has otherwise lost coverage under the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appropriated for this purpose are obligated, pending applications shall be denied by the division of medical services. A denial shall require a notice of decision to be mailed within ten calendar days following the determination that funds have been obligated. The notice shall state that the applicant meets eligibility requirements but no funds are available and that the applicant will be placed on the waiting list, or that the applicant does not meet eligibility requirements. Applicants not awarded funding who meet the eligibility requirements will be placed on a statewide waiting list according to the order in which the completed applications were filed. In the event that more than one application is received at one time, applicants shall be entered on the waiting list on the basis of the day of the month of the applicant’s birthday, lowest number being first on the waiting list. Any subsequent tie shall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75.22(3)</w:t>
      </w:r>
      <w:r>
        <w:rPr>
          <w:rFonts w:ascii="Times New Roman" w:hAnsi="Times New Roman"/>
          <w:b w:val="false"/>
          <w:i w:val="false"/>
          <w:color w:val="000000"/>
          <w:sz w:val="22"/>
        </w:rPr>
        <w:t> </w:t>
      </w:r>
      <w:r>
        <w:rPr>
          <w:rFonts w:ascii="Times New Roman" w:hAnsi="Times New Roman"/>
          <w:b w:val="false"/>
          <w:i/>
          <w:color w:val="000000"/>
          <w:sz w:val="22"/>
        </w:rPr>
        <w:t xml:space="preserve">Presumed eligibility </w:t>
      </w:r>
      <w:r>
        <w:rPr>
          <w:rFonts w:ascii="Times New Roman" w:hAnsi="Times New Roman"/>
          <w:b w:val="false"/>
          <w:i w:val="false"/>
          <w:color w:val="000000"/>
          <w:sz w:val="22"/>
        </w:rPr>
        <w:t>The applicant may be presumed eligible to participate in the program for a period of two calendar months or until a decision regarding eligibility can be made, whichever is earlier. Presumed eligibility shall be granted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completed Physician’s Verification of Diagnosis, Form 470-2958.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premium statement from the insurance carrier indicating the policy will lapse before an eligibility determination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can be reasonably anticipated that the applicant will be determined eligible from income and resource statements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75.22(4)</w:t>
      </w:r>
      <w:r>
        <w:rPr>
          <w:rFonts w:ascii="Times New Roman" w:hAnsi="Times New Roman"/>
          <w:b w:val="false"/>
          <w:i w:val="false"/>
          <w:color w:val="000000"/>
          <w:sz w:val="22"/>
        </w:rPr>
        <w:t> </w:t>
      </w:r>
      <w:r>
        <w:rPr>
          <w:rFonts w:ascii="Times New Roman" w:hAnsi="Times New Roman"/>
          <w:b w:val="false"/>
          <w:i/>
          <w:color w:val="000000"/>
          <w:sz w:val="22"/>
        </w:rPr>
        <w:t xml:space="preserve">Family coverage. </w:t>
      </w:r>
      <w:r>
        <w:rPr>
          <w:rFonts w:ascii="Times New Roman" w:hAnsi="Times New Roman"/>
          <w:b w:val="false"/>
          <w:i w:val="false"/>
          <w:color w:val="000000"/>
          <w:sz w:val="22"/>
        </w:rPr>
        <w:t>When the person is enrolled in a policy that provides health insurance coverage to other members of the family, only that portion of the premium required to maintain coverage for the policyholder or the policyholder’s spouse with AIDS or an HIV-related illness shall be paid under this rule unless modification of the policy would result in a loss of coverage for the person with AIDS or an HIV-related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 xml:space="preserve">Premiums shall be paid in accordance with the provisions of subrule </w:t>
      </w:r>
      <w:hyperlink r:id="rId261">
        <w:r>
          <w:rPr>
            <w:rStyle w:val="Hyperlink"/>
            <w:rFonts w:ascii="Times New Roman" w:hAnsi="Times New Roman"/>
            <w:b w:val="false"/>
            <w:i w:val="false"/>
            <w:color w:val="000000"/>
            <w:sz w:val="22"/>
          </w:rPr>
          <w:t>75.21(8)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Premium payments shall be effective with the month of application or the effective date of eligibility,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75.22(7)</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The circumstances of persons participating in the program shall be reviewed quarterly to ensure eligibility criteria continues to be met. The AIDS/HIV Health Insurance Premium Payment Program Review, Form 470-2877, shall be completed by the recipient or someone acting on the recipient’s behalf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w:t>
      </w:r>
      <w:r>
        <w:rPr>
          <w:rFonts w:ascii="Times New Roman" w:hAnsi="Times New Roman"/>
          <w:b w:val="false"/>
          <w:i w:val="false"/>
          <w:color w:val="000000"/>
          <w:sz w:val="22"/>
        </w:rPr>
        <w:t>Premium payments for otherwise eligible persons shall be paid under this rule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becomes eligible for Medicaid. In which case, premium payments shall be paid in accordance with the provisions of rule </w:t>
      </w:r>
      <w:hyperlink r:id="rId262">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coverage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the insurance plan is no longer considered the most cost-effective way to pay for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appropriated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provide requested information necessary to establish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75.22(9)</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notice as defined in </w:t>
      </w:r>
      <w:hyperlink r:id="rId263">
        <w:r>
          <w:rPr>
            <w:rStyle w:val="Hyperlink"/>
            <w:rFonts w:ascii="Times New Roman" w:hAnsi="Times New Roman"/>
            <w:b w:val="false"/>
            <w:i w:val="false"/>
            <w:color w:val="000000"/>
            <w:sz w:val="22"/>
          </w:rPr>
          <w:t>441—subrule 16.3(2)</w:t>
        </w:r>
      </w:hyperlink>
      <w:r>
        <w:rPr>
          <w:rFonts w:ascii="Times New Roman" w:hAnsi="Times New Roman"/>
          <w:b w:val="false"/>
          <w:i w:val="false"/>
          <w:color w:val="000000"/>
          <w:sz w:val="22"/>
        </w:rPr>
        <w:t xml:space="preserve"> shall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applicant of the initial decision regarding eligibility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inform the recipient that premium payments are being discontinued under these provisions because Medicaid eligibility has been attained and premium payments will be made under the provisions of rule </w:t>
      </w:r>
      <w:hyperlink r:id="rId264">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the policy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funding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and adequate notice as defined in rule </w:t>
      </w:r>
      <w:hyperlink r:id="rId265">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shall be provided to the recipient informing the recipient of a decision to discontinue payment of the health insurance premium when the recipient no longer meets the eligibility requirements of the program or fails to cooperate in providing information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 shall protect the confidentiality of persons participating in the program in accordance with Iowa Code section </w:t>
      </w:r>
      <w:hyperlink r:id="rId266">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When it is necessary for the department to contact a third party to obtain information in order to determine initial or ongoing eligibility, a Consent to Obtain and Release Information, Form 470-0429, shall be signed by the recipient authorizing the department to make the contact.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441—75.23</w:t>
      </w:r>
      <w:r>
        <w:rPr>
          <w:rFonts w:ascii="Times New Roman" w:hAnsi="Times New Roman"/>
          <w:b/>
          <w:i w:val="false"/>
          <w:color w:val="000000"/>
          <w:sz w:val="22"/>
        </w:rPr>
        <w:t xml:space="preserve">(249A) </w:t>
      </w:r>
      <w:r>
        <w:rPr>
          <w:rFonts w:ascii="Times New Roman" w:hAnsi="Times New Roman"/>
          <w:b/>
          <w:i w:val="false"/>
          <w:color w:val="000000"/>
          <w:sz w:val="22"/>
        </w:rPr>
        <w:t xml:space="preserve">Disposal of assets for less than fair market value after August 10, 1993. </w:t>
      </w:r>
      <w:r>
        <w:rPr>
          <w:rFonts w:ascii="Times New Roman" w:hAnsi="Times New Roman"/>
          <w:b w:val="false"/>
          <w:i w:val="false"/>
          <w:color w:val="000000"/>
          <w:sz w:val="22"/>
        </w:rPr>
        <w:t xml:space="preserve">In determining Medicaid eligibility for persons described in </w:t>
      </w:r>
      <w:hyperlink r:id="rId268">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269">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a transfer of assets occurring after August 10, 1993, will affect Medicaid payment for medical services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services. </w:t>
      </w:r>
      <w:r>
        <w:rPr>
          <w:rFonts w:ascii="Times New Roman" w:hAnsi="Times New Roman"/>
          <w:b w:val="false"/>
          <w:i w:val="false"/>
          <w:color w:val="000000"/>
          <w:sz w:val="22"/>
        </w:rPr>
        <w:t xml:space="preserve">When an individual or spouse has transferred or disposed of assets for less than fair market value as defined in </w:t>
      </w:r>
      <w:hyperlink r:id="rId270">
        <w:r>
          <w:rPr>
            <w:rStyle w:val="Hyperlink"/>
            <w:rFonts w:ascii="Times New Roman" w:hAnsi="Times New Roman"/>
            <w:b w:val="false"/>
            <w:i w:val="false"/>
            <w:color w:val="000000"/>
            <w:sz w:val="22"/>
          </w:rPr>
          <w:t>75.23(11)</w:t>
        </w:r>
      </w:hyperlink>
      <w:r>
        <w:rPr>
          <w:rFonts w:ascii="Times New Roman" w:hAnsi="Times New Roman"/>
          <w:b w:val="false"/>
          <w:i w:val="false"/>
          <w:color w:val="000000"/>
          <w:sz w:val="22"/>
        </w:rPr>
        <w:t xml:space="preserve"> on or after the look-back date specified in </w:t>
      </w:r>
      <w:hyperlink r:id="rId271">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the individual shall be ineligible for medical assistance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 xml:space="preserve">When an institutionalized individual or the spouse of the individual disposed of assets for less than fair market value on or after the look-back date, the institutionalized individual is ineligible for medical assistance payment for nursing facility services, a level of care in any institution equivalent to that of nursing facility services, and home- and community-based waiver services. The period of ineligibility is equal to the number of months specified in </w:t>
      </w:r>
      <w:hyperlink r:id="rId272">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shall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transfer of assets was made before February 8, 2006, the period of ineligibility shall begin on the first day of the first month during which the assets were transferred, except as provided in subparagraph </w:t>
      </w:r>
      <w:r>
        <w:rPr>
          <w:rFonts w:ascii="Times New Roman" w:hAnsi="Times New Roman"/>
          <w:b w:val="false"/>
          <w:i w:val="false"/>
          <w:color w:val="000000"/>
          <w:sz w:val="22"/>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r>
        <w:rPr>
          <w:rFonts w:ascii="Times New Roman" w:hAnsi="Times New Roman"/>
          <w:b w:val="false"/>
          <w:i w:val="false"/>
          <w:color w:val="000000"/>
          <w:sz w:val="22"/>
        </w:rPr>
        <w:t>(3)</w:t>
      </w:r>
      <w:r>
        <w:rPr>
          <w:rFonts w:ascii="Times New Roman" w:hAnsi="Times New Roman"/>
          <w:b w:val="false"/>
          <w:i w:val="false"/>
          <w:color w:val="000000"/>
          <w:sz w:val="22"/>
        </w:rPr>
        <w:t>, when the transfer of assets was made on or after February 8, 2006, the period of ineligibility shall begin on the later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individual is eligible for medical assistance under this chapter and would be receiving nursing facility services, a level of care in any institution equivalent to that of nursing facility services, or home- and community-based waiver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shall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individual. </w:t>
      </w:r>
      <w:r>
        <w:rPr>
          <w:rFonts w:ascii="Times New Roman" w:hAnsi="Times New Roman"/>
          <w:b w:val="false"/>
          <w:i w:val="false"/>
          <w:color w:val="000000"/>
          <w:sz w:val="22"/>
        </w:rPr>
        <w:t xml:space="preserve">When a noninstitutionalized individual or the spouse of the individual disposed of assets for less than fair market value on or after the look-back date, the individual is ineligible for medical assistance payment for home health care services, home and community care for functionally disabled elderly individuals, personal care services, and other long-term care services. The period of ineligibility is equal to the number of months specified in </w:t>
      </w:r>
      <w:hyperlink r:id="rId27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shall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transfer of assets was made before February 8, 2006, the period of ineligibility shall begin on the first day of the first month during which the assets were transferred, except as provided in subparagraph </w:t>
      </w:r>
      <w:r>
        <w:rPr>
          <w:rFonts w:ascii="Times New Roman" w:hAnsi="Times New Roman"/>
          <w:b w:val="false"/>
          <w:i w:val="false"/>
          <w:color w:val="000000"/>
          <w:sz w:val="22"/>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r>
        <w:rPr>
          <w:rFonts w:ascii="Times New Roman" w:hAnsi="Times New Roman"/>
          <w:b w:val="false"/>
          <w:i w:val="false"/>
          <w:color w:val="000000"/>
          <w:sz w:val="22"/>
        </w:rPr>
        <w:t>(3)</w:t>
      </w:r>
      <w:r>
        <w:rPr>
          <w:rFonts w:ascii="Times New Roman" w:hAnsi="Times New Roman"/>
          <w:b w:val="false"/>
          <w:i w:val="false"/>
          <w:color w:val="000000"/>
          <w:sz w:val="22"/>
        </w:rPr>
        <w:t>, when the transfer of assets was made on or after February 8, 2006, the period of ineligibility shall begin on the later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individual is eligible for medical assistance under this chapter and would be receiving home health care services, home and community care for functionally disabled elderly individuals, personal care services, or other long-term care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shall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after period of ineligibility. </w:t>
      </w:r>
      <w:r>
        <w:rPr>
          <w:rFonts w:ascii="Times New Roman" w:hAnsi="Times New Roman"/>
          <w:b w:val="false"/>
          <w:i w:val="false"/>
          <w:color w:val="000000"/>
          <w:sz w:val="22"/>
        </w:rPr>
        <w:t xml:space="preserve">Expenses incurred for long-term care services during a transfer of assets penalty period may not be deducted as medical expenses in determining client participation pursuant to subrule </w:t>
      </w:r>
      <w:hyperlink r:id="rId274">
        <w:r>
          <w:rPr>
            <w:rStyle w:val="Hyperlink"/>
            <w:rFonts w:ascii="Times New Roman" w:hAnsi="Times New Roman"/>
            <w:b w:val="false"/>
            <w:i w:val="false"/>
            <w:color w:val="000000"/>
            <w:sz w:val="22"/>
          </w:rPr>
          <w:t>75.16(2)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75.23(2)</w:t>
      </w:r>
      <w:r>
        <w:rPr>
          <w:rFonts w:ascii="Times New Roman" w:hAnsi="Times New Roman"/>
          <w:b w:val="false"/>
          <w:i w:val="false"/>
          <w:color w:val="000000"/>
          <w:sz w:val="22"/>
        </w:rPr>
        <w:t> </w:t>
      </w:r>
      <w:r>
        <w:rPr>
          <w:rFonts w:ascii="Times New Roman" w:hAnsi="Times New Roman"/>
          <w:b w:val="false"/>
          <w:i/>
          <w:color w:val="000000"/>
          <w:sz w:val="22"/>
        </w:rPr>
        <w:t xml:space="preserve">Look-back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before February 8, 2006. </w:t>
      </w:r>
      <w:r>
        <w:rPr>
          <w:rFonts w:ascii="Times New Roman" w:hAnsi="Times New Roman"/>
          <w:b w:val="false"/>
          <w:i w:val="false"/>
          <w:color w:val="000000"/>
          <w:sz w:val="22"/>
        </w:rPr>
        <w:t>For transfers made before February 8, 2006, the look-back date is the date that is 36 months (or, in the case of payments from a trust or portion of a trust that are treated as assets disposed of by the individual,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on or after February 8, 2006. </w:t>
      </w:r>
      <w:r>
        <w:rPr>
          <w:rFonts w:ascii="Times New Roman" w:hAnsi="Times New Roman"/>
          <w:b w:val="false"/>
          <w:i w:val="false"/>
          <w:color w:val="000000"/>
          <w:sz w:val="22"/>
        </w:rPr>
        <w:t>For transfers made on or after February 8, 2006, the look-back date is the date that is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75.23(3)</w:t>
      </w:r>
      <w:r>
        <w:rPr>
          <w:rFonts w:ascii="Times New Roman" w:hAnsi="Times New Roman"/>
          <w:b w:val="false"/>
          <w:i w:val="false"/>
          <w:color w:val="000000"/>
          <w:sz w:val="22"/>
        </w:rPr>
        <w:t> </w:t>
      </w:r>
      <w:r>
        <w:rPr>
          <w:rFonts w:ascii="Times New Roman" w:hAnsi="Times New Roman"/>
          <w:b w:val="false"/>
          <w:i/>
          <w:color w:val="000000"/>
          <w:sz w:val="22"/>
        </w:rPr>
        <w:t xml:space="preserve">Period of ineligibility. </w:t>
      </w:r>
      <w:r>
        <w:rPr>
          <w:rFonts w:ascii="Times New Roman" w:hAnsi="Times New Roman"/>
          <w:b w:val="false"/>
          <w:i w:val="false"/>
          <w:color w:val="000000"/>
          <w:sz w:val="22"/>
        </w:rPr>
        <w:t xml:space="preserve">The number of months of ineligibility shall be equal to the total cumulative uncompensated value of all assets transferred by the individual (or the individual’s spouse) on or after the look-back date specified in subrule </w:t>
      </w:r>
      <w:hyperlink r:id="rId275">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divided by the statewide average private-pay rate for nursing facility services at the time of application. The department shall determine the average statewide cost to a private-pay resident for nursing facilities and update the cost annually. Current average statewide costs shall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75.23(4)</w:t>
      </w:r>
      <w:r>
        <w:rPr>
          <w:rFonts w:ascii="Times New Roman" w:hAnsi="Times New Roman"/>
          <w:b w:val="false"/>
          <w:i w:val="false"/>
          <w:color w:val="000000"/>
          <w:sz w:val="22"/>
        </w:rPr>
        <w:t> </w:t>
      </w:r>
      <w:r>
        <w:rPr>
          <w:rFonts w:ascii="Times New Roman" w:hAnsi="Times New Roman"/>
          <w:b w:val="false"/>
          <w:i/>
          <w:color w:val="000000"/>
          <w:sz w:val="22"/>
        </w:rPr>
        <w:t xml:space="preserve">Reduction of period of ineligibility. </w:t>
      </w:r>
      <w:r>
        <w:rPr>
          <w:rFonts w:ascii="Times New Roman" w:hAnsi="Times New Roman"/>
          <w:b w:val="false"/>
          <w:i w:val="false"/>
          <w:color w:val="000000"/>
          <w:sz w:val="22"/>
        </w:rPr>
        <w:t>The number of months of ineligibility otherwise determined with respect to the disposal of an asset shall be reduced by the months of ineligibility applicable to the individual prior to a change in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individual shall not be ineligible for medical assistance, under this rule,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assets transferred were a home and title to the home was transferred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of the individual who is under the age of 21 or is blind or permanently and totally disabled as defined in 42 U.S.C.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sibling of the individual who has an equity interest in the home and who was residing in the individual’s home for a period of at least one year immediately before the individual became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son or daughter of the individual who was residing in the individual’s home for a period of at least two years immediately before the date of institutionalization and who provided care to the individual which permitted the individual to reside at home rather than in an institution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individual’s spouse or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individual’s spouse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 child of the individual who is blind or permanently and totally disabled as defined in 42 U.S.C. Section 1382c or to a trust established solely for the benefit of such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 trust established solely for the benefit of an individual under 65 years of age who is disabled as defined in 42 U.S.C.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showing is made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intended to dispose of the assets either at fair market value, or for other valuable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 exclusively for a purpose other than to qualify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assets transferred for less than fair market value have been returned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denial of eligibility would work an undue hardship. Undue hardship shall exist only when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of the transfer of asset penalty would deprive the individual of medical care such that the individual’s health or life would be endangered or of food, clothing, shelter, or other necessities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transferred the resource or the person’s spouse has exhausted all means including legal remedies and consultation with an attorney to recover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remaining available resources (after the attribution for the community spouse) are less than the monthly statewide average cost of nursing facility services to a private pay resident, counting the value of all resources except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home if occupied by a dependent relative or if a licensed physician verifies that the person is expected to return home.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Household goods.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vehicle required by the client for transportation.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Funds for burial of $4,000 or less.</w:t>
      </w:r>
    </w:p>
    <w:p>
      <w:pPr>
        <w:spacing w:before="0" w:after="0"/>
        <w:ind w:left="120"/>
        <w:jc w:val="both"/>
      </w:pPr>
      <w:r>
        <w:rPr>
          <w:rFonts w:ascii="Times New Roman" w:hAnsi="Times New Roman"/>
          <w:b w:val="false"/>
          <w:i w:val="false"/>
          <w:color w:val="000000"/>
          <w:sz w:val="22"/>
        </w:rPr>
        <w:t>Hardship will not be found if the resource was transferred to a person who was handling the financial affairs of the client or to the spouse or children of a person handling the financial affairs of the client unless the client demonstrates that payments cannot be obtained from the funds of the person who handled the financial affairs to pay for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75.23(6)</w:t>
      </w:r>
      <w:r>
        <w:rPr>
          <w:rFonts w:ascii="Times New Roman" w:hAnsi="Times New Roman"/>
          <w:b w:val="false"/>
          <w:i w:val="false"/>
          <w:color w:val="000000"/>
          <w:sz w:val="22"/>
        </w:rPr>
        <w:t> </w:t>
      </w:r>
      <w:r>
        <w:rPr>
          <w:rFonts w:ascii="Times New Roman" w:hAnsi="Times New Roman"/>
          <w:b w:val="false"/>
          <w:i/>
          <w:color w:val="000000"/>
          <w:sz w:val="22"/>
        </w:rPr>
        <w:t xml:space="preserve">Assets held in common. </w:t>
      </w:r>
      <w:r>
        <w:rPr>
          <w:rFonts w:ascii="Times New Roman" w:hAnsi="Times New Roman"/>
          <w:b w:val="false"/>
          <w:i w:val="false"/>
          <w:color w:val="000000"/>
          <w:sz w:val="22"/>
        </w:rPr>
        <w:t>In the case of an asset held by an individual in common with another person or persons in a joint tenancy, tenancy in common, or similar arrangement, the asset, or the affected portion of the asset, shall be considered to be transferred by the individual when any action is taken, either by the individual or by any other person, that reduces or eliminates the individual’s ownership or control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75.23(7)</w:t>
      </w:r>
      <w:r>
        <w:rPr>
          <w:rFonts w:ascii="Times New Roman" w:hAnsi="Times New Roman"/>
          <w:b w:val="false"/>
          <w:i w:val="false"/>
          <w:color w:val="000000"/>
          <w:sz w:val="22"/>
        </w:rPr>
        <w:t> </w:t>
      </w:r>
      <w:r>
        <w:rPr>
          <w:rFonts w:ascii="Times New Roman" w:hAnsi="Times New Roman"/>
          <w:b w:val="false"/>
          <w:i/>
          <w:color w:val="000000"/>
          <w:sz w:val="22"/>
        </w:rPr>
        <w:t xml:space="preserve">Transfer by spouse. </w:t>
      </w:r>
      <w:r>
        <w:rPr>
          <w:rFonts w:ascii="Times New Roman" w:hAnsi="Times New Roman"/>
          <w:b w:val="false"/>
          <w:i w:val="false"/>
          <w:color w:val="000000"/>
          <w:sz w:val="22"/>
        </w:rPr>
        <w:t>In the case of a transfer by a spouse of an individual which results in a period of ineligibility for medical assistance under the state plan for the individual, the period of ineligibility shall be apportioned between the individual and the individual’s spouse if the spouse otherwise becomes eligible for medical assistance under the state plan. The remaining penalty period shall be evenly divided on a monthly basis, with any remaining month of penalty (prorated as a half month to each spouse) applied to the spouse who initiated the transfer action.</w:t>
      </w:r>
    </w:p>
    <w:p>
      <w:pPr>
        <w:spacing w:before="0" w:after="0"/>
        <w:ind w:left="120"/>
        <w:jc w:val="both"/>
      </w:pPr>
      <w:r>
        <w:rPr>
          <w:rFonts w:ascii="Times New Roman" w:hAnsi="Times New Roman"/>
          <w:b w:val="false"/>
          <w:i w:val="false"/>
          <w:color w:val="000000"/>
          <w:sz w:val="22"/>
        </w:rPr>
        <w:t>If a spouse subsequently dies prior to the end of the penalty period, the remaining penalty period shall be applied to the surviving spouse’s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In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shall include all income and resources of the individual and the individual’s spouse, including any income or resources which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or the individual’s spouse.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including a court or administrative body, with legal authority to act in place of or on behalf of the individual or the individual’s spouse.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including any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shall be defined by </w:t>
      </w:r>
      <w:r>
        <w:rPr>
          <w:rFonts w:ascii="Times New Roman" w:hAnsi="Times New Roman"/>
          <w:b w:val="false"/>
          <w:i w:val="false"/>
          <w:color w:val="000000"/>
          <w:sz w:val="22"/>
        </w:rPr>
        <w:t>42 U.S.C. Section 1382a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shall mean an individual who is an inpatient in a nursing facility, who is an inpatient in a medical institution and with respect to whom payment is made based on a level of care provided in a nursing facility or who is eligible for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shall be defined by </w:t>
      </w:r>
      <w:r>
        <w:rPr>
          <w:rFonts w:ascii="Times New Roman" w:hAnsi="Times New Roman"/>
          <w:b w:val="false"/>
          <w:i w:val="false"/>
          <w:color w:val="000000"/>
          <w:sz w:val="22"/>
        </w:rPr>
        <w:t>42 U.S.C. Section 1382b</w:t>
      </w:r>
      <w:r>
        <w:rPr>
          <w:rFonts w:ascii="Times New Roman" w:hAnsi="Times New Roman"/>
          <w:b w:val="false"/>
          <w:i w:val="false"/>
          <w:color w:val="000000"/>
          <w:sz w:val="22"/>
        </w:rPr>
        <w:t xml:space="preserve"> without regard (in the case of an institutionalized individual) to the exclusion of the home and land appertaining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or disposal of assets” </w:t>
      </w:r>
      <w:r>
        <w:rPr>
          <w:rFonts w:ascii="Times New Roman" w:hAnsi="Times New Roman"/>
          <w:b w:val="false"/>
          <w:i w:val="false"/>
          <w:color w:val="000000"/>
          <w:sz w:val="22"/>
        </w:rPr>
        <w:t>means any transfer or assignment of any legal or equitable interest in any asset as defined above,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Giving away or selling an interest in an asset;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Placing an interest in an asset in a trust that is not available to the grantor (see </w:t>
      </w:r>
      <w:hyperlink r:id="rId276">
        <w:r>
          <w:rPr>
            <w:rStyle w:val="Hyperlink"/>
            <w:rFonts w:ascii="Times New Roman" w:hAnsi="Times New Roman"/>
            <w:b w:val="false"/>
            <w:i w:val="false"/>
            <w:color w:val="000000"/>
            <w:sz w:val="22"/>
          </w:rPr>
          <w:t>75.24(2)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Removing or eliminating an interest in a jointly owned asset in favor of other owners;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Disclaiming an inheritance of any property, interest, or right pursuant to Iowa Code section </w:t>
      </w:r>
      <w:hyperlink r:id="rId277">
        <w:r>
          <w:rPr>
            <w:rStyle w:val="Hyperlink"/>
            <w:rFonts w:ascii="Times New Roman" w:hAnsi="Times New Roman"/>
            <w:b w:val="false"/>
            <w:i w:val="false"/>
            <w:color w:val="000000"/>
            <w:sz w:val="22"/>
          </w:rPr>
          <w:t>633.704</w:t>
        </w:r>
      </w:hyperlink>
      <w:r>
        <w:rPr>
          <w:rFonts w:ascii="Times New Roman" w:hAnsi="Times New Roman"/>
          <w:b w:val="false"/>
          <w:i w:val="false"/>
          <w:color w:val="000000"/>
          <w:sz w:val="22"/>
        </w:rPr>
        <w:t xml:space="preserve"> on or after July 1, 2000 (see Iowa Code section </w:t>
      </w:r>
      <w:hyperlink r:id="rId278">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to take a share of an estate as a surviving spouse (also known as “taking against a will”) on or after July 1, 2000, to the extent that the value received by taking against the will would have exceeded the value of the inheritance received under the will (see Iowa Code section </w:t>
      </w:r>
      <w:hyperlink r:id="rId279">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“d”</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Transferring or disclaiming the right to income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75.23(9)</w:t>
      </w:r>
      <w:r>
        <w:rPr>
          <w:rFonts w:ascii="Times New Roman" w:hAnsi="Times New Roman"/>
          <w:b w:val="false"/>
          <w:i w:val="false"/>
          <w:color w:val="000000"/>
          <w:sz w:val="22"/>
        </w:rPr>
        <w:t> </w:t>
      </w:r>
      <w:r>
        <w:rPr>
          <w:rFonts w:ascii="Times New Roman" w:hAnsi="Times New Roman"/>
          <w:b w:val="false"/>
          <w:i/>
          <w:color w:val="000000"/>
          <w:sz w:val="22"/>
        </w:rPr>
        <w:t xml:space="preserve">Purchase of annuities. </w:t>
      </w:r>
      <w:r>
        <w:rPr>
          <w:rFonts w:ascii="Times New Roman" w:hAnsi="Times New Roman"/>
          <w:b w:val="false"/>
          <w:i w:val="false"/>
          <w:color w:val="000000"/>
          <w:sz w:val="22"/>
        </w:rPr>
        <w:t>Funds used to purchase an annuity for more than its fair market value shall be treated as assets transferred for less than fair market value regardless of when the annuity was purchased or whether the conditions described in this subrule were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amount used to purchase an annuity on or after February 8, 2006, with a Medicaid applicant or member as the annuitant shall be treated as assets transferred for less than fair market value unless the annuity meets one of the conditions described in paragraph </w:t>
      </w:r>
      <w:hyperlink r:id="rId280">
        <w:r>
          <w:rPr>
            <w:rStyle w:val="Hyperlink"/>
            <w:rFonts w:ascii="Times New Roman" w:hAnsi="Times New Roman"/>
            <w:b w:val="false"/>
            <w:i w:val="false"/>
            <w:color w:val="000000"/>
            <w:sz w:val="22"/>
          </w:rPr>
          <w:t>75.23(9)</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also meets the condition described in paragraph </w:t>
      </w:r>
      <w:hyperlink r:id="rId281">
        <w:r>
          <w:rPr>
            <w:rStyle w:val="Hyperlink"/>
            <w:rFonts w:ascii="Times New Roman" w:hAnsi="Times New Roman"/>
            <w:b w:val="false"/>
            <w:i w:val="false"/>
            <w:color w:val="000000"/>
            <w:sz w:val="22"/>
          </w:rPr>
          <w:t>75.23(9)</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282">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annuity is an annuity described in Subsection (b) or (q) of Section 408 of the United States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annuity is purchased with proceeds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account or trust described in Subsection (a), (c), or (p) of Section 408 of the United States Internal Revenue Code of 1986;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simplified employee pension (within the meaning of Section 408(k) of the United States Internal Revenue Code of 1986);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Roth IRA described in Section 408A of the United States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irrevocable and nonassignable;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actuarially sound (as determined in accordance with actuarial publications of the Office of the Chief Actuary of the United States Social Security Administration);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for payments in equal amounts during the term of the annuity,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283">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have Iowa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an annuity on or after February 8, 2006, with the spouse of a Medicaid applicant or member as the annuitant shall be treated as assets transferred for less than fair market value unless Iowa is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75.23(10)</w:t>
      </w:r>
      <w:r>
        <w:rPr>
          <w:rFonts w:ascii="Times New Roman" w:hAnsi="Times New Roman"/>
          <w:b w:val="false"/>
          <w:i w:val="false"/>
          <w:color w:val="000000"/>
          <w:sz w:val="22"/>
        </w:rPr>
        <w:t> </w:t>
      </w:r>
      <w:r>
        <w:rPr>
          <w:rFonts w:ascii="Times New Roman" w:hAnsi="Times New Roman"/>
          <w:b w:val="false"/>
          <w:i/>
          <w:color w:val="000000"/>
          <w:sz w:val="22"/>
        </w:rPr>
        <w:t xml:space="preserve">Purchase of promissory notes, loans, or mortgages.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used to purchase a promissory note, loan, or mortgage after February 8, 2006, shall be treated as assets transferred for less than fair market value in the amount of the outstanding balance due on the note, loan, or mortgage as of the date of the individual’s application for medical assistance for services described in </w:t>
      </w:r>
      <w:hyperlink r:id="rId284">
        <w:r>
          <w:rPr>
            <w:rStyle w:val="Hyperlink"/>
            <w:rFonts w:ascii="Times New Roman" w:hAnsi="Times New Roman"/>
            <w:b w:val="false"/>
            <w:i w:val="false"/>
            <w:color w:val="000000"/>
            <w:sz w:val="22"/>
          </w:rPr>
          <w:t>75.23(1)</w:t>
        </w:r>
      </w:hyperlink>
      <w:r>
        <w:rPr>
          <w:rFonts w:ascii="Times New Roman" w:hAnsi="Times New Roman"/>
          <w:b w:val="false"/>
          <w:i w:val="false"/>
          <w:color w:val="000000"/>
          <w:sz w:val="22"/>
        </w:rPr>
        <w:t>, unless the note, loan, or mortgage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has a repayment term that is actuarially sound (as determined in accordance with actuarial publications of the Office of the Chief Actuary of the United States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provides for payments to be made in equal amounts during the term of the loan,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prohibits the cancellation of the balance upon the death of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promissory note, loan, or mortgage for less than its fair market value shall be treated as assets transferred for less than fair market value regardless of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was 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note, loan, or mortgage was purchased on or after February 8, 2006, and the conditions described in </w:t>
      </w:r>
      <w:hyperlink r:id="rId285">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were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75.23(11)</w:t>
      </w:r>
      <w:r>
        <w:rPr>
          <w:rFonts w:ascii="Times New Roman" w:hAnsi="Times New Roman"/>
          <w:b w:val="false"/>
          <w:i w:val="false"/>
          <w:color w:val="000000"/>
          <w:sz w:val="22"/>
        </w:rPr>
        <w:t> </w:t>
      </w:r>
      <w:r>
        <w:rPr>
          <w:rFonts w:ascii="Times New Roman" w:hAnsi="Times New Roman"/>
          <w:b w:val="false"/>
          <w:i/>
          <w:color w:val="000000"/>
          <w:sz w:val="22"/>
        </w:rPr>
        <w:t xml:space="preserve">Purchase of life estates.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 life estate in another individual’s home after February 8, 2006, shall be treated as assets transferred for less than fair market value, unless the purchaser resides in the home for at least one year after the date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life estate in another individual’s home for more than its fair market value shall be treated as assets transferred for less than fair market value regardless of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life estate was 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life estate was purchased on or after February 8, 2006, and the purchaser resided in the home for one year after the date of purchase.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8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8444B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8898B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9404B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9582B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0192C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0821C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1484C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2027C</w:t>
      </w:r>
      <w:r>
        <w:rPr>
          <w:rFonts w:ascii="Times New Roman" w:hAnsi="Times New Roman"/>
          <w:b w:val="false"/>
          <w:i w:val="false"/>
          <w:color w:val="000000"/>
          <w:sz w:val="16"/>
        </w:rPr>
        <w:t>, IAB 6/10/15,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2605C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3183C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3869C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4572C</w:t>
      </w:r>
      <w:r>
        <w:rPr>
          <w:rFonts w:ascii="Times New Roman" w:hAnsi="Times New Roman"/>
          <w:b w:val="false"/>
          <w:i w:val="false"/>
          <w:color w:val="000000"/>
          <w:sz w:val="16"/>
        </w:rPr>
        <w:t>, IAB 7/31/19, effective 7/11/19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441—75.24</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trusts established after August 10, 1993. </w:t>
      </w:r>
      <w:r>
        <w:rPr>
          <w:rFonts w:ascii="Times New Roman" w:hAnsi="Times New Roman"/>
          <w:b w:val="false"/>
          <w:i w:val="false"/>
          <w:color w:val="000000"/>
          <w:sz w:val="22"/>
        </w:rPr>
        <w:t xml:space="preserve">For purposes of determining an individual’s eligibility for, or the amount of, medical assistance benefits, trusts established after August 10, 1993, (except for trusts specified in </w:t>
      </w:r>
      <w:hyperlink r:id="rId288">
        <w:r>
          <w:rPr>
            <w:rStyle w:val="Hyperlink"/>
            <w:rFonts w:ascii="Times New Roman" w:hAnsi="Times New Roman"/>
            <w:b w:val="false"/>
            <w:i w:val="false"/>
            <w:color w:val="000000"/>
            <w:sz w:val="22"/>
          </w:rPr>
          <w:t>75.24(3)</w:t>
        </w:r>
      </w:hyperlink>
      <w:r>
        <w:rPr>
          <w:rFonts w:ascii="Times New Roman" w:hAnsi="Times New Roman"/>
          <w:b w:val="false"/>
          <w:i w:val="false"/>
          <w:color w:val="000000"/>
          <w:sz w:val="22"/>
        </w:rPr>
        <w:t xml:space="preserve">) shall be treated in accordance with </w:t>
      </w:r>
      <w:hyperlink r:id="rId289">
        <w:r>
          <w:rPr>
            <w:rStyle w:val="Hyperlink"/>
            <w:rFonts w:ascii="Times New Roman" w:hAnsi="Times New Roman"/>
            <w:b w:val="false"/>
            <w:i w:val="false"/>
            <w:color w:val="000000"/>
            <w:sz w:val="22"/>
          </w:rPr>
          <w:t>75.24(2)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individual shall be considered to have established a trust if assets of the individual were used to form all or part of the principal of the trust and if any of the following individuals established the trust other than by will: the individual, the individual’s spouse, a person (including a court or administrative body, with legal authority to act in place of or on behalf of the individual or the individual’s spouse), or a person (including a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“assets,” with respect to an individual, includes all income and resources of the individual and of the individual’s spouse, including any income or resources which the individual or the individual’s spouse is entitled to but does not receive because of action by the individual or the individual’s spouse, by a person (including a court or administrative body, with legal authority to act in place of or on behalf of the individual’s spouse), or by any person (including a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trust, the principal of which includes assets of an individual and assets of any other person or persons, the provisions of this rule shall apply to the portion of the trust attributable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shall apply without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a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trustees have or exercise any discretion under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restrictions on when or whether distribution may be made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 on the use of distributions from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“trust” includes any legal instrument or device that is similar to a trust, including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75.24(2)</w:t>
      </w:r>
      <w:r>
        <w:rPr>
          <w:rFonts w:ascii="Times New Roman" w:hAnsi="Times New Roman"/>
          <w:b w:val="false"/>
          <w:i w:val="false"/>
          <w:color w:val="000000"/>
          <w:sz w:val="22"/>
        </w:rPr>
        <w:t> </w:t>
      </w:r>
      <w:r>
        <w:rPr>
          <w:rFonts w:ascii="Times New Roman" w:hAnsi="Times New Roman"/>
          <w:b w:val="false"/>
          <w:i/>
          <w:color w:val="000000"/>
          <w:sz w:val="22"/>
        </w:rPr>
        <w:t xml:space="preserve">Treatment of revocable and irrevocable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principal of the trust shall be considered an available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from the trust to or for the benefit of the individual shall be considered income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payments from the trust shall be considered assets disposed of by the individual, subject to the penalties described at rule </w:t>
      </w:r>
      <w:hyperlink r:id="rId29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91">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an irrevocable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circumstances under which payment from the trust could be made to or for the benefit of the individual, the portion of the principal from which, or the income on the principal from which, payment to the individual could be made shall be considered an available resource to the individual and payments from that principal or income to or for the benefit of the individual shall be considered income to the individual. Payments for any other purpose shall be considered a transfer of assets by the individual subject to the penalties described at rule </w:t>
      </w:r>
      <w:hyperlink r:id="rId292">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93">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of the trust from which, or any income on the principal from which, no payment could under any circumstances be made to the individual shall be considered, as of the date of establishment of the trust (or, if later, the date on which payment to the individual was foreclosed) to be assets disposed of by the individual subject to the penalties specified at </w:t>
      </w:r>
      <w:hyperlink r:id="rId294">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xml:space="preserve"> and </w:t>
      </w:r>
      <w:hyperlink r:id="rId295">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 The value of the trust shall be determined for this purpose by including the amount of any payments made from this portion of the trust after this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shall not apply to any of the following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under the age of 65 who is disabled (as defined in Section 1614(a)(3) of the Social Security Act) and which is established for the benefit of the individual by a parent, grandparent, legal guardian of the individual, or a court if the state will receive all amounts remaining in the trust upon the death of the individual up to an amount equal to the total medical assistance paid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established for the benefit of an individual if the trust is composed only of pension, social security, and other income to the individual (and accumulated income of the trust), and the state will receive all amounts remaining in the trust upon the death of the individual up to the amount equal to the total medical assistance paid on behalf of the individual. For disposition of trust amounts pursuant to Iowa Code sections </w:t>
      </w:r>
      <w:hyperlink r:id="rId296">
        <w:r>
          <w:rPr>
            <w:rStyle w:val="Hyperlink"/>
            <w:rFonts w:ascii="Times New Roman" w:hAnsi="Times New Roman"/>
            <w:b w:val="false"/>
            <w:i w:val="false"/>
            <w:color w:val="000000"/>
            <w:sz w:val="22"/>
          </w:rPr>
          <w:t>633C.1 to 633C.5</w:t>
        </w:r>
      </w:hyperlink>
      <w:r>
        <w:rPr>
          <w:rFonts w:ascii="Times New Roman" w:hAnsi="Times New Roman"/>
          <w:b w:val="false"/>
          <w:i w:val="false"/>
          <w:color w:val="000000"/>
          <w:sz w:val="22"/>
        </w:rPr>
        <w:t>, the average statewide charges and Medicaid rates are updated annually and shall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who is disabled (as defined in 1614(a)(3) of the Social Security Act)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is established and managed by a nonprofit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 is maintained for each beneficiary of the trust, but, for purposes of investment and management of funds, the trust pools these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Accounts in the trust are established solely for the benefit of individuals who are disabled (as defined in 1614(a)(3) of the Social Security Act) by the parent, grandparent, or legal guardian of the individuals, by the individuals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that amounts remaining in the beneficiary’s account upon death of the beneficiary are not retained by the trust, the trust pays to the state from the remaining amounts in the account an amount equal to the total amount of medical assistance paid on behalf of the beneficiary.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8898B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9582B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0192C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0822C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0821C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1484C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1483C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2027C</w:t>
      </w:r>
      <w:r>
        <w:rPr>
          <w:rFonts w:ascii="Times New Roman" w:hAnsi="Times New Roman"/>
          <w:b w:val="false"/>
          <w:i w:val="false"/>
          <w:color w:val="000000"/>
          <w:sz w:val="16"/>
        </w:rPr>
        <w:t>, IAB 6/10/15,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2605C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3182C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3183C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3869C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3870C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4572C</w:t>
      </w:r>
      <w:r>
        <w:rPr>
          <w:rFonts w:ascii="Times New Roman" w:hAnsi="Times New Roman"/>
          <w:b w:val="false"/>
          <w:i w:val="false"/>
          <w:color w:val="000000"/>
          <w:sz w:val="16"/>
        </w:rPr>
        <w:t>, IAB 7/31/19, effective 7/11/19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441—75.25</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specified, the definitions in this rule shall apply to 441—Chapters 75 through 85 and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“Aged” </w:t>
      </w:r>
      <w:r>
        <w:rPr>
          <w:rFonts w:ascii="Times New Roman" w:hAnsi="Times New Roman"/>
          <w:b w:val="false"/>
          <w:i w:val="false"/>
          <w:color w:val="000000"/>
          <w:sz w:val="22"/>
        </w:rPr>
        <w:t>shall mean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shall mean a person who is requesting assistance, including recertification under the medically needy program, on the person’s own behalf or on behalf of another person. This also includes parents living in the home with the children and the nonparental relative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shall mean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 in assistance” </w:t>
      </w:r>
      <w:r>
        <w:rPr>
          <w:rFonts w:ascii="Times New Roman" w:hAnsi="Times New Roman"/>
          <w:b w:val="false"/>
          <w:i w:val="false"/>
          <w:color w:val="000000"/>
          <w:sz w:val="22"/>
        </w:rPr>
        <w:t>for medically needy shall mean the lapse of more than three months from the end of the medically needy certification period to the beginning of the next current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shall mean the state administrative office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for medically needy shall mean the period of time not to exceed two consecutive months in which a person is conditionally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shall mean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Medicaid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Medicaid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conditionally eligible for Medicaid;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whose income or assets are considered in determining eligibility for an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“CMAP-related medically needy” </w:t>
      </w:r>
      <w:r>
        <w:rPr>
          <w:rFonts w:ascii="Times New Roman" w:hAnsi="Times New Roman"/>
          <w:b w:val="false"/>
          <w:i w:val="false"/>
          <w:color w:val="000000"/>
          <w:sz w:val="22"/>
        </w:rPr>
        <w:t>shall mean those individuals under the age of 21 who would be eligible for the child medical assistance program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spouse” </w:t>
      </w:r>
      <w:r>
        <w:rPr>
          <w:rFonts w:ascii="Times New Roman" w:hAnsi="Times New Roman"/>
          <w:b w:val="false"/>
          <w:i w:val="false"/>
          <w:color w:val="000000"/>
          <w:sz w:val="22"/>
        </w:rPr>
        <w:t xml:space="preserve">shall mean a spouse of an institutionalized spouse for the purposes of rules </w:t>
      </w:r>
      <w:hyperlink r:id="rId298">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 xml:space="preserve">(249A), </w:t>
      </w:r>
      <w:hyperlink r:id="rId299">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and </w:t>
      </w:r>
      <w:hyperlink r:id="rId300">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“Conditionally eligible” </w:t>
      </w:r>
      <w:r>
        <w:rPr>
          <w:rFonts w:ascii="Times New Roman" w:hAnsi="Times New Roman"/>
          <w:b w:val="false"/>
          <w:i w:val="false"/>
          <w:color w:val="000000"/>
          <w:sz w:val="22"/>
        </w:rPr>
        <w:t>shall mean that a person has completed the application process and has been assigned a medically needy certification period and spenddown amount but has not met the spenddown amount for the certification period or has been assigned a monthly premium but has not yet paid the premium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“Coverage group” </w:t>
      </w:r>
      <w:r>
        <w:rPr>
          <w:rFonts w:ascii="Times New Roman" w:hAnsi="Times New Roman"/>
          <w:b w:val="false"/>
          <w:i w:val="false"/>
          <w:color w:val="000000"/>
          <w:sz w:val="22"/>
        </w:rPr>
        <w:t>shall mean a group of persons who meet certain common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w:t>
      </w:r>
      <w:r>
        <w:rPr>
          <w:rFonts w:ascii="Times New Roman" w:hAnsi="Times New Roman"/>
          <w:b w:val="false"/>
          <w:i w:val="false"/>
          <w:color w:val="000000"/>
          <w:sz w:val="22"/>
        </w:rPr>
        <w:t>shall mean a person who is unable to engage in any substantial gainful activity by reason of any medically determinable physical or mental impairment which has lasted or is expected to last for a continuous period of not less than 12 months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“FMAP-related medically needy” </w:t>
      </w:r>
      <w:r>
        <w:rPr>
          <w:rFonts w:ascii="Times New Roman" w:hAnsi="Times New Roman"/>
          <w:b w:val="false"/>
          <w:i w:val="false"/>
          <w:color w:val="000000"/>
          <w:sz w:val="22"/>
        </w:rPr>
        <w:t>shall mean those persons who would be eligible for the family medical assistance program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shall mean protection which provides payment of benefits for covered sickness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“Incurred medical expenses” </w:t>
      </w:r>
      <w:r>
        <w:rPr>
          <w:rFonts w:ascii="Times New Roman" w:hAnsi="Times New Roman"/>
          <w:b w:val="false"/>
          <w:i w:val="false"/>
          <w:color w:val="000000"/>
          <w:sz w:val="22"/>
        </w:rPr>
        <w:t>for medically needy shall mean (1) medical bills paid by a client, responsible relative, or state or political subdivision program other than Medicaid during the retroactive certification period or the certification period, or (2) unpaid medical expenses for which the client or responsible relative remains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person” </w:t>
      </w:r>
      <w:r>
        <w:rPr>
          <w:rFonts w:ascii="Times New Roman" w:hAnsi="Times New Roman"/>
          <w:b w:val="false"/>
          <w:i w:val="false"/>
          <w:color w:val="000000"/>
          <w:sz w:val="22"/>
        </w:rPr>
        <w:t xml:space="preserve">shall mean a person who is an inpatient in a nursing facility or a Medicare-certified skilled nursing facility, who is an inpatient in a medical institution and for whom payment is made based on a level of care provided in a nursing facility, or who is a person described in </w:t>
      </w:r>
      <w:hyperlink r:id="rId301">
        <w:r>
          <w:rPr>
            <w:rStyle w:val="Hyperlink"/>
            <w:rFonts w:ascii="Times New Roman" w:hAnsi="Times New Roman"/>
            <w:b w:val="false"/>
            <w:i w:val="false"/>
            <w:color w:val="000000"/>
            <w:sz w:val="22"/>
          </w:rPr>
          <w:t>75.1(18)</w:t>
        </w:r>
      </w:hyperlink>
      <w:r>
        <w:rPr>
          <w:rFonts w:ascii="Times New Roman" w:hAnsi="Times New Roman"/>
          <w:b w:val="false"/>
          <w:i w:val="false"/>
          <w:color w:val="000000"/>
          <w:sz w:val="22"/>
        </w:rPr>
        <w:t xml:space="preserve"> for the purposes of rule </w:t>
      </w:r>
      <w:hyperlink r:id="rId302">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w:t>
      </w:r>
      <w:r>
        <w:rPr>
          <w:rFonts w:ascii="Times New Roman" w:hAnsi="Times New Roman"/>
          <w:b w:val="false"/>
          <w:i w:val="false"/>
          <w:color w:val="000000"/>
          <w:sz w:val="22"/>
        </w:rPr>
        <w:t xml:space="preserve">shall mean a married person living in a medical institution, or nursing facility, or home- and community-based waiver setting who is likely to remain living in these circumstances for at least 30 consecutive days, and whose spouse is not in a medical institution or nursing facility for the purposes of rules </w:t>
      </w:r>
      <w:hyperlink r:id="rId303">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 xml:space="preserve">(249A), </w:t>
      </w:r>
      <w:hyperlink r:id="rId30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and </w:t>
      </w:r>
      <w:hyperlink r:id="rId305">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shall mean the county office of the department of human services or the mental health institute or hospital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r>
        <w:rPr>
          <w:rFonts w:ascii="Times New Roman" w:hAnsi="Times New Roman"/>
          <w:b w:val="false"/>
          <w:i w:val="false"/>
          <w:color w:val="000000"/>
          <w:sz w:val="22"/>
        </w:rPr>
        <w:t xml:space="preserve">shall mean 133 1/3 percent of the schedule of basic needs based on family size. (See subrule </w:t>
      </w:r>
      <w:hyperlink r:id="rId306">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shall mean a person who has been determined eligible for medical assistance under rule </w:t>
      </w:r>
      <w:hyperlink r:id="rId30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For the medically needy program, “member” shall mean a medically needy person who has income at or less than the medically needy income level (MNIL) or who has reduced countable income to the MNIL during the certification period through spenddown. “Member” may be used interchangeably with “recipient.” This definition does not apply to the phrase “household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medical and remedial services” </w:t>
      </w:r>
      <w:r>
        <w:rPr>
          <w:rFonts w:ascii="Times New Roman" w:hAnsi="Times New Roman"/>
          <w:b w:val="false"/>
          <w:i w:val="false"/>
          <w:color w:val="000000"/>
          <w:sz w:val="22"/>
        </w:rPr>
        <w:t>for medically needy shall mean medical services recognized by law which are currently covered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“Noncovered Medicaid services” </w:t>
      </w:r>
      <w:r>
        <w:rPr>
          <w:rFonts w:ascii="Times New Roman" w:hAnsi="Times New Roman"/>
          <w:b w:val="false"/>
          <w:i w:val="false"/>
          <w:color w:val="000000"/>
          <w:sz w:val="22"/>
        </w:rPr>
        <w:t>for medically needy shall mean medical services that are not covered under Medicaid because the provider was not enrolled in Medicaid, the services are ones which are otherwise not covered under Medicaid, the bill is for a responsible relative who is not in the Medicaid-eligible group or the bill is for services delivered before the start of a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services” </w:t>
      </w:r>
      <w:r>
        <w:rPr>
          <w:rFonts w:ascii="Times New Roman" w:hAnsi="Times New Roman"/>
          <w:b w:val="false"/>
          <w:i w:val="false"/>
          <w:color w:val="000000"/>
          <w:sz w:val="22"/>
        </w:rPr>
        <w:t xml:space="preserve">shall mean the level of care provided in a medical institution licensed for nursing services or skilled nursing services for the purposes of rule </w:t>
      </w:r>
      <w:hyperlink r:id="rId308">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“Obligated medical expense” </w:t>
      </w:r>
      <w:r>
        <w:rPr>
          <w:rFonts w:ascii="Times New Roman" w:hAnsi="Times New Roman"/>
          <w:b w:val="false"/>
          <w:i w:val="false"/>
          <w:color w:val="000000"/>
          <w:sz w:val="22"/>
        </w:rPr>
        <w:t>for medically needy shall mean a medical expense for which the client or responsible relative continues to be legally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for medically needy shall mean that eligibility continues for an SSI-related, CMAP-related, or FMAP-related medically needy person with a zero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and chase” </w:t>
      </w:r>
      <w:r>
        <w:rPr>
          <w:rFonts w:ascii="Times New Roman" w:hAnsi="Times New Roman"/>
          <w:b w:val="false"/>
          <w:i w:val="false"/>
          <w:color w:val="000000"/>
          <w:sz w:val="22"/>
        </w:rPr>
        <w:t>shall mean that the state pays the total amount allowed under the agency’s payment schedule and then seeks reimbursement from the liable third party. The pay and chase provision applies to Medicaid claims for preventive pediatric services and for 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“Payee” </w:t>
      </w:r>
      <w:r>
        <w:rPr>
          <w:rFonts w:ascii="Times New Roman" w:hAnsi="Times New Roman"/>
          <w:b w:val="false"/>
          <w:i w:val="false"/>
          <w:color w:val="000000"/>
          <w:sz w:val="22"/>
        </w:rPr>
        <w:t xml:space="preserve">refers to an SSI payee as defined in Iowa Code subsections </w:t>
      </w:r>
      <w:hyperlink r:id="rId309">
        <w:r>
          <w:rPr>
            <w:rStyle w:val="Hyperlink"/>
            <w:rFonts w:ascii="Times New Roman" w:hAnsi="Times New Roman"/>
            <w:b w:val="false"/>
            <w:i w:val="false"/>
            <w:color w:val="000000"/>
            <w:sz w:val="22"/>
          </w:rPr>
          <w:t>633.33(7)</w:t>
        </w:r>
      </w:hyperlink>
      <w:r>
        <w:rPr>
          <w:rFonts w:ascii="Times New Roman" w:hAnsi="Times New Roman"/>
          <w:b w:val="false"/>
          <w:i w:val="false"/>
          <w:color w:val="000000"/>
          <w:sz w:val="22"/>
        </w:rPr>
        <w:t xml:space="preserve"> and </w:t>
      </w:r>
      <w:hyperlink r:id="rId310">
        <w:r>
          <w:rPr>
            <w:rStyle w:val="Hyperlink"/>
            <w:rFonts w:ascii="Times New Roman" w:hAnsi="Times New Roman"/>
            <w:b w:val="false"/>
            <w:i w:val="false"/>
            <w:color w:val="000000"/>
            <w:sz w:val="22"/>
          </w:rPr>
          <w:t>633.3(20)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in the medically needy coverage group shall mean establishing a new certification period when the previous period has expired and there has not been a break in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shall mean a person who is receiving assistance including receiving assistance for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relative” </w:t>
      </w:r>
      <w:r>
        <w:rPr>
          <w:rFonts w:ascii="Times New Roman" w:hAnsi="Times New Roman"/>
          <w:b w:val="false"/>
          <w:i w:val="false"/>
          <w:color w:val="000000"/>
          <w:sz w:val="22"/>
        </w:rPr>
        <w:t>for medically needy shall mean a spouse, parent, or stepparent living in the household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certification period” </w:t>
      </w:r>
      <w:r>
        <w:rPr>
          <w:rFonts w:ascii="Times New Roman" w:hAnsi="Times New Roman"/>
          <w:b w:val="false"/>
          <w:i w:val="false"/>
          <w:color w:val="000000"/>
          <w:sz w:val="22"/>
        </w:rPr>
        <w:t>for medically needy shall mean one, two, or three calendar months prior to the date of application, as provided in 441—subrule 76.13(3). The retroactive certification period begins with the first month Medicaid-covered services were received and continues to the end of the month immediately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period” </w:t>
      </w:r>
      <w:r>
        <w:rPr>
          <w:rFonts w:ascii="Times New Roman" w:hAnsi="Times New Roman"/>
          <w:b w:val="false"/>
          <w:i w:val="false"/>
          <w:color w:val="000000"/>
          <w:sz w:val="22"/>
        </w:rPr>
        <w:t>shall mean the three or fewer calendar months immediately preceding the month in which an application is filed, pursuant to 441—subrule 76.13(3).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“Spenddown” </w:t>
      </w:r>
      <w:r>
        <w:rPr>
          <w:rFonts w:ascii="Times New Roman" w:hAnsi="Times New Roman"/>
          <w:b w:val="false"/>
          <w:i w:val="false"/>
          <w:color w:val="000000"/>
          <w:sz w:val="22"/>
        </w:rPr>
        <w:t>shall mean the process by which a medically needy person obligates excess income for allowable medical expenses to reduce income to the appropriate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“SSI-related” </w:t>
      </w:r>
      <w:r>
        <w:rPr>
          <w:rFonts w:ascii="Times New Roman" w:hAnsi="Times New Roman"/>
          <w:b w:val="false"/>
          <w:i w:val="false"/>
          <w:color w:val="000000"/>
          <w:sz w:val="22"/>
        </w:rPr>
        <w:t>shall mean those persons whose eligibility is derived from regulations governing the supplemental security income (SSI) program except that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“SSI-related medically needy” </w:t>
      </w:r>
      <w:r>
        <w:rPr>
          <w:rFonts w:ascii="Times New Roman" w:hAnsi="Times New Roman"/>
          <w:b w:val="false"/>
          <w:i w:val="false"/>
          <w:color w:val="000000"/>
          <w:sz w:val="22"/>
        </w:rPr>
        <w:t>shall mean those persons whose eligibility is derived from regulations governing the supplemental security income (SSI) program except for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w:t>
      </w:r>
      <w:r>
        <w:rPr>
          <w:rFonts w:ascii="Times New Roman" w:hAnsi="Times New Roman"/>
          <w:b w:val="false"/>
          <w:i w:val="false"/>
          <w:color w:val="000000"/>
          <w:sz w:val="22"/>
        </w:rPr>
        <w:t>shall mean the requested information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of assets” </w:t>
      </w:r>
      <w:r>
        <w:rPr>
          <w:rFonts w:ascii="Times New Roman" w:hAnsi="Times New Roman"/>
          <w:b w:val="false"/>
          <w:i w:val="false"/>
          <w:color w:val="000000"/>
          <w:sz w:val="22"/>
        </w:rPr>
        <w:t xml:space="preserve">shall mean transfer of resources or income for less than fair market value for the purposes of rule </w:t>
      </w:r>
      <w:hyperlink r:id="rId311">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For example, a transfer of resources or income could include establishing a trust, contributing to a charity, removing a name from a resource or income, or reducing ownership interest in a resource 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shall include an unborn child during the entire term of pregnancy.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2">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7935B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4208C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441—75.26</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References to the family investment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i w:val="false"/>
          <w:color w:val="000000"/>
          <w:sz w:val="22"/>
        </w:rPr>
        <w:t>441—75.27</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settlement payments. </w:t>
      </w:r>
      <w:r>
        <w:rPr>
          <w:rFonts w:ascii="Times New Roman" w:hAnsi="Times New Roman"/>
          <w:b w:val="false"/>
          <w:i w:val="false"/>
          <w:color w:val="000000"/>
          <w:sz w:val="22"/>
        </w:rPr>
        <w:t>The following payments are exempt as income and resources when determining eligibility for or the amount of Medicaid benefits under any coverage group if the payments are kept in a separate, identifiable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75.27(1)</w:t>
      </w:r>
      <w:r>
        <w:rPr>
          <w:rFonts w:ascii="Times New Roman" w:hAnsi="Times New Roman"/>
          <w:b w:val="false"/>
          <w:i w:val="false"/>
          <w:color w:val="000000"/>
          <w:sz w:val="22"/>
        </w:rPr>
        <w:t> </w:t>
      </w:r>
      <w:r>
        <w:rPr>
          <w:rFonts w:ascii="Times New Roman" w:hAnsi="Times New Roman"/>
          <w:b w:val="false"/>
          <w:i/>
          <w:color w:val="000000"/>
          <w:sz w:val="22"/>
        </w:rPr>
        <w:t xml:space="preserve">Class settlement payments. </w:t>
      </w:r>
      <w:r>
        <w:rPr>
          <w:rFonts w:ascii="Times New Roman" w:hAnsi="Times New Roman"/>
          <w:b w:val="false"/>
          <w:i w:val="false"/>
          <w:color w:val="000000"/>
          <w:sz w:val="22"/>
        </w:rPr>
        <w:t>Payments made from any fund established pursuant to a class settlement in the case of Susan Walker 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Bayer Corporation, et al., 96-C-5024 (N.D. Ill.)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75.27(2)</w:t>
      </w:r>
      <w:r>
        <w:rPr>
          <w:rFonts w:ascii="Times New Roman" w:hAnsi="Times New Roman"/>
          <w:b w:val="false"/>
          <w:i w:val="false"/>
          <w:color w:val="000000"/>
          <w:sz w:val="22"/>
        </w:rPr>
        <w:t> </w:t>
      </w:r>
      <w:r>
        <w:rPr>
          <w:rFonts w:ascii="Times New Roman" w:hAnsi="Times New Roman"/>
          <w:b w:val="false"/>
          <w:i/>
          <w:color w:val="000000"/>
          <w:sz w:val="22"/>
        </w:rPr>
        <w:t xml:space="preserve">Other settlement payments. </w:t>
      </w:r>
      <w:r>
        <w:rPr>
          <w:rFonts w:ascii="Times New Roman" w:hAnsi="Times New Roman"/>
          <w:b w:val="false"/>
          <w:i w:val="false"/>
          <w:color w:val="000000"/>
          <w:sz w:val="22"/>
        </w:rPr>
        <w:t xml:space="preserve">Payments made pursuant to a release of all claims in a case that is entered into in lieu of the class settlement referred to in subrule </w:t>
      </w:r>
      <w:hyperlink r:id="rId314">
        <w:r>
          <w:rPr>
            <w:rStyle w:val="Hyperlink"/>
            <w:rFonts w:ascii="Times New Roman" w:hAnsi="Times New Roman"/>
            <w:b w:val="false"/>
            <w:i w:val="false"/>
            <w:color w:val="000000"/>
            <w:sz w:val="22"/>
          </w:rPr>
          <w:t>75.27(1)</w:t>
        </w:r>
      </w:hyperlink>
      <w:r>
        <w:rPr>
          <w:rFonts w:ascii="Times New Roman" w:hAnsi="Times New Roman"/>
          <w:b w:val="false"/>
          <w:i w:val="false"/>
          <w:color w:val="000000"/>
          <w:sz w:val="22"/>
        </w:rPr>
        <w:t xml:space="preserve"> and that is signed by all affected parties in the cases on or before the later of December 31, 1997, or the date that is 270 days after the date on which the release is first sent to the person (or the legal representative of the person) to whom payment is to be made are exempt.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overpayment”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317">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“Premiums paid for medical assistance” </w:t>
      </w:r>
      <w:r>
        <w:rPr>
          <w:rFonts w:ascii="Times New Roman" w:hAnsi="Times New Roman"/>
          <w:b w:val="false"/>
          <w:i w:val="false"/>
          <w:color w:val="000000"/>
          <w:sz w:val="22"/>
        </w:rPr>
        <w:t>means monthly premiums assessed to a member or household for Medicaid, IowaCare or the Iowa Health and Wellness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shall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shall be promptly notified on Form 470-2891, Notice of Medical Assistance Overpayment,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shall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intermediate care facility for persons with an intellectual disability, or mental health institute enrolled as an inpatient psychiatric facility may be made by the client to the facility. The department shall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31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the estate of the member’s surviving spouse, or the estate of the member’s surviving child as provided in this subrule. Effective January 1, 2010, medical assistance that has been paid for Medicare cost sharing or for benefits described in Section 1902(a)(10)(E) of the Social Security Act is not subject to recovery. All assets included in the estate of the member, the surviving spouse, or the surviving child are subject to probate for the purposes of medical assistance estate recovery pursuant to Iowa Code section </w:t>
      </w:r>
      <w:hyperlink r:id="rId319">
        <w:r>
          <w:rPr>
            <w:rStyle w:val="Hyperlink"/>
            <w:rFonts w:ascii="Times New Roman" w:hAnsi="Times New Roman"/>
            <w:b w:val="false"/>
            <w:i w:val="false"/>
            <w:color w:val="000000"/>
            <w:sz w:val="22"/>
          </w:rPr>
          <w:t>249A.53(2)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classification of the debt is defined at Iowa Code section </w:t>
      </w:r>
      <w:hyperlink r:id="rId320">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“Capitated payment/rate”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“Estate.”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32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the age of 55;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resident of a nursing facility, an intermediate care facility for persons with an intellectual disability, or a mental health institute;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shall presume that the member cannot or could not reasonably be expected to be discharged and return home and a debt due shall be established. The department shall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shall be established until the department has made a decision on the member’s ability to return home. If the determination is that there is or was no ability to return home, a debt due shall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that the department determine if the member can or could have returned home, the determination shall be made by the Iowa Medicaid enterprise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cannot make a determination until the member has been in an institution at least six months or after the death of the member, whichever is earlier. The IME medical services unit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the IME medical services unit shall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IME medical services unit will notify the member or the member’s representative and the department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32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IME revenue collection unit upon the death of a member residing in the facility by submitting Form 470-4331, Estate Recovery Program Nursing Home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Form 470-4331 or a report of a member’s death through other means, the IME revenue collection unit will use Form 470-4339, Medical Assistance Debt Response, to request a statement of the member’s assets from the member’s personal representative. The representative shall sign and return Form 470-4339 indicating whether assets remain and, if so, what the assets are and what higher priority expenses exist. </w:t>
      </w: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probate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the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poverty level for a household of the same size, total household resources do not exceed $10,000, and application of estate recovery would result in deprivation of food, clothing, shelter, or medical care such that life or health would be endangered. For this purpose, “income” and “resources” shall be defined as being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323">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whether undue hardship exists on a case-by-case basis. Appeals of adverse decisions regarding an undue hardship determination may be filed in accordance with </w:t>
      </w:r>
      <w:hyperlink r:id="rId32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325">
        <w:r>
          <w:rPr>
            <w:rStyle w:val="Hyperlink"/>
            <w:rFonts w:ascii="Times New Roman" w:hAnsi="Times New Roman"/>
            <w:b w:val="false"/>
            <w:i w:val="false"/>
            <w:color w:val="000000"/>
            <w:sz w:val="22"/>
          </w:rPr>
          <w:t>75.28(7)</w:t>
        </w:r>
        <w:r>
          <w:rPr>
            <w:rFonts w:ascii="Times New Roman" w:hAnsi="Times New Roman"/>
            <w:b w:val="false"/>
            <w:i/>
            <w:color w:val="000000"/>
            <w:sz w:val="22"/>
          </w:rPr>
          <w:t>“g,”</w:t>
        </w:r>
      </w:hyperlink>
      <w:r>
        <w:rPr>
          <w:rFonts w:ascii="Times New Roman" w:hAnsi="Times New Roman"/>
          <w:b w:val="false"/>
          <w:i w:val="false"/>
          <w:color w:val="000000"/>
          <w:sz w:val="22"/>
        </w:rPr>
        <w:t xml:space="preserve"> to the extent that the person received the member’s estate, the amount waived shall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medical assistance under subrule </w:t>
      </w:r>
      <w:hyperlink r:id="rId326">
        <w:r>
          <w:rPr>
            <w:rStyle w:val="Hyperlink"/>
            <w:rFonts w:ascii="Times New Roman" w:hAnsi="Times New Roman"/>
            <w:b w:val="false"/>
            <w:i w:val="false"/>
            <w:color w:val="000000"/>
            <w:sz w:val="22"/>
          </w:rPr>
          <w:t>75.5(5)</w:t>
        </w:r>
      </w:hyperlink>
      <w:r>
        <w:rPr>
          <w:rFonts w:ascii="Times New Roman" w:hAnsi="Times New Roman"/>
          <w:b w:val="false"/>
          <w:i w:val="false"/>
          <w:color w:val="000000"/>
          <w:sz w:val="22"/>
        </w:rPr>
        <w:t xml:space="preserve"> shall not be subject to a claim for medical assistance paid on the member’s behalf up to the amount of the assets disregarded by asset disregard. Medical assistance paid on behalf of the member before these conditions shall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shall accrue on a debt due under this subrule at the rate provided pursuant to Iowa Code section </w:t>
      </w:r>
      <w:hyperlink r:id="rId327">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beginning six months after the death of a Medicaid member, the surviving spouse, or the surviving child, or upon the child’s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328">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shall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441—75.29</w:t>
      </w:r>
      <w:r>
        <w:rPr>
          <w:rFonts w:ascii="Times New Roman" w:hAnsi="Times New Roman"/>
          <w:b/>
          <w:i w:val="false"/>
          <w:color w:val="000000"/>
          <w:sz w:val="22"/>
        </w:rPr>
        <w:t xml:space="preserve">(249A) </w:t>
      </w:r>
      <w:r>
        <w:rPr>
          <w:rFonts w:ascii="Times New Roman" w:hAnsi="Times New Roman"/>
          <w:b/>
          <w:i w:val="false"/>
          <w:color w:val="000000"/>
          <w:sz w:val="22"/>
        </w:rPr>
        <w:t xml:space="preserve">Investigation by quality control or the department of inspections and appeals. </w:t>
      </w:r>
      <w:r>
        <w:rPr>
          <w:rFonts w:ascii="Times New Roman" w:hAnsi="Times New Roman"/>
          <w:b w:val="false"/>
          <w:i w:val="false"/>
          <w:color w:val="000000"/>
          <w:sz w:val="22"/>
        </w:rPr>
        <w:t xml:space="preserve">An applicant or member shall cooperate with the department when the applicant’s or member’s case is selected by quality control or the department of inspections and appeals for verification of eligibility unless the investigation revolves solely around the circumstances of a person whose income and resources do not affect medical assistance eligibility. (See department of inspections and appeals rules in </w:t>
      </w:r>
      <w:hyperlink r:id="rId329">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shall serve as a basis for denial of an application or cancellation of medical assistance unless the Medicaid eligibility is determined by the Social Security Administration. Once a person’s eligibility is denied or canceled for failure to cooperate, the person may reapply but shall not be determined eligible until cooperation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441—75.30</w:t>
      </w:r>
      <w:r>
        <w:rPr>
          <w:rFonts w:ascii="Times New Roman" w:hAnsi="Times New Roman"/>
          <w:b/>
          <w:i w:val="false"/>
          <w:color w:val="000000"/>
          <w:sz w:val="22"/>
        </w:rPr>
        <w:t xml:space="preserve">(249A) </w:t>
      </w:r>
      <w:r>
        <w:rPr>
          <w:rFonts w:ascii="Times New Roman" w:hAnsi="Times New Roman"/>
          <w:b/>
          <w:i w:val="false"/>
          <w:color w:val="000000"/>
          <w:sz w:val="22"/>
        </w:rPr>
        <w:t xml:space="preserve">Member lock-in. </w:t>
      </w:r>
      <w:r>
        <w:rPr>
          <w:rFonts w:ascii="Times New Roman" w:hAnsi="Times New Roman"/>
          <w:b w:val="false"/>
          <w:i w:val="false"/>
          <w:color w:val="000000"/>
          <w:sz w:val="22"/>
        </w:rPr>
        <w:t xml:space="preserve">Rescinded </w:t>
      </w:r>
      <w:r>
        <w:rPr>
          <w:rFonts w:ascii="Times New Roman" w:hAnsi="Times New Roman"/>
          <w:b/>
          <w:i w:val="false"/>
          <w:color w:val="000000"/>
          <w:sz w:val="22"/>
        </w:rPr>
        <w:t>ARC 2361C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1/6/16</w:t>
      </w:r>
      <w:r>
        <w:rPr>
          <w:rFonts w:ascii="Times New Roman" w:hAnsi="Times New Roman"/>
          <w:b w:val="false"/>
          <w:i w:val="false"/>
          <w:color w:val="000000"/>
          <w:sz w:val="22"/>
        </w:rPr>
        <w:t>, effective 1/1/16.</w:t>
      </w:r>
    </w:p>
    <w:p>
      <w:pPr>
        <w:spacing w:before="210" w:after="0"/>
        <w:ind w:left="120"/>
        <w:jc w:val="both"/>
      </w:pPr>
      <w:r>
        <w:rPr>
          <w:rFonts w:ascii="Times New Roman" w:hAnsi="Times New Roman"/>
          <w:b/>
          <w:i w:val="false"/>
          <w:color w:val="000000"/>
          <w:sz w:val="22"/>
        </w:rPr>
        <w:t>441—75.31</w:t>
      </w:r>
      <w:r>
        <w:rPr>
          <w:rFonts w:ascii="Times New Roman" w:hAnsi="Times New Roman"/>
          <w:b w:val="false"/>
          <w:i w:val="false"/>
          <w:color w:val="000000"/>
          <w:sz w:val="22"/>
        </w:rPr>
        <w:t xml:space="preserve"> to </w:t>
      </w:r>
      <w:r>
        <w:rPr>
          <w:rFonts w:ascii="Times New Roman" w:hAnsi="Times New Roman"/>
          <w:b/>
          <w:i w:val="false"/>
          <w:color w:val="000000"/>
          <w:sz w:val="22"/>
        </w:rPr>
        <w:t>75.49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ELIGIBILITY FACTORS SPECIFIC TO COVERAGE GROUPS RELATED TO</w:t>
      </w:r>
      <w:r>
        <w:br/>
      </w:r>
      <w:r>
        <w:rPr>
          <w:rFonts w:ascii="Times New Roman" w:hAnsi="Times New Roman"/>
          <w:b w:val="false"/>
          <w:i w:val="false"/>
          <w:color w:val="000000"/>
          <w:sz w:val="16"/>
        </w:rPr>
        <w:t>THE FAMILY MEDICAL ASSISTANCE PROGRAM (FMAP)</w:t>
      </w:r>
    </w:p>
    <w:p>
      <w:pPr>
        <w:spacing w:before="0" w:after="0"/>
        <w:ind w:left="120"/>
        <w:jc w:val="both"/>
      </w:pPr>
      <w:r>
        <w:rPr>
          <w:rFonts w:ascii="Times New Roman" w:hAnsi="Times New Roman"/>
          <w:b/>
          <w:i w:val="false"/>
          <w:color w:val="000000"/>
          <w:sz w:val="22"/>
        </w:rPr>
        <w:t>441—75.50</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division in addition to the definitions in rule </w:t>
      </w:r>
      <w:hyperlink r:id="rId330">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shall mean a person who is requesting assistance on the person’s own behalf or on behalf of another person, including recertification under the medically needy program. This also includes parents living in the home with the children and the nonparental relative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means the months beginning with the month in which the application is considered to be filed, through and including the month in which an eligibility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unit” </w:t>
      </w:r>
      <w:r>
        <w:rPr>
          <w:rFonts w:ascii="Times New Roman" w:hAnsi="Times New Roman"/>
          <w:b w:val="false"/>
          <w:i w:val="false"/>
          <w:color w:val="000000"/>
          <w:sz w:val="22"/>
        </w:rPr>
        <w:t>includes any person whose income is considered when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offer” </w:t>
      </w:r>
      <w:r>
        <w:rPr>
          <w:rFonts w:ascii="Times New Roman" w:hAnsi="Times New Roman"/>
          <w:b w:val="false"/>
          <w:i w:val="false"/>
          <w:color w:val="000000"/>
          <w:sz w:val="22"/>
        </w:rPr>
        <w:t>means an actual or genuine offer which includes a specific wage or a training opportunity at a specified place when used to determine whether the parent has refused an offer of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shall mean the state administrative office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income”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work expenses” </w:t>
      </w:r>
      <w:r>
        <w:rPr>
          <w:rFonts w:ascii="Times New Roman" w:hAnsi="Times New Roman"/>
          <w:b w:val="false"/>
          <w:i w:val="false"/>
          <w:color w:val="000000"/>
          <w:sz w:val="22"/>
        </w:rPr>
        <w:t>means a permanent change in the cost of dependent care or the beginning or ending of dependent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“dependent children” </w:t>
      </w:r>
      <w:r>
        <w:rPr>
          <w:rFonts w:ascii="Times New Roman" w:hAnsi="Times New Roman"/>
          <w:b w:val="false"/>
          <w:i w:val="false"/>
          <w:color w:val="000000"/>
          <w:sz w:val="22"/>
        </w:rPr>
        <w:t>means a child or children who meet the nonfinancial eligibility requirements of the applicable FMAP-related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in-kind” </w:t>
      </w:r>
      <w:r>
        <w:rPr>
          <w:rFonts w:ascii="Times New Roman" w:hAnsi="Times New Roman"/>
          <w:b w:val="false"/>
          <w:i w:val="false"/>
          <w:color w:val="000000"/>
          <w:sz w:val="22"/>
        </w:rPr>
        <w:t>is any gain or benefit which is not in the form of money payable directly to the eligible group including nonmonetary benefits, such as meals, clothing, and vendor payments. Vendor payments are money payments which are paid to a third party and not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two months” </w:t>
      </w:r>
      <w:r>
        <w:rPr>
          <w:rFonts w:ascii="Times New Roman" w:hAnsi="Times New Roman"/>
          <w:b w:val="false"/>
          <w:i w:val="false"/>
          <w:color w:val="000000"/>
          <w:sz w:val="22"/>
        </w:rPr>
        <w:t>means the first two consecutive months for which eligibility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when used in this division, shall mean a facility which is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Hospital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listed in </w:t>
      </w:r>
      <w:hyperlink r:id="rId331">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who meets all the eligibility requirements of the FMAP coverage group, listed in </w:t>
      </w:r>
      <w:hyperlink r:id="rId332">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lump sum unearned income” </w:t>
      </w:r>
      <w:r>
        <w:rPr>
          <w:rFonts w:ascii="Times New Roman" w:hAnsi="Times New Roman"/>
          <w:b w:val="false"/>
          <w:i w:val="false"/>
          <w:color w:val="000000"/>
          <w:sz w:val="22"/>
        </w:rPr>
        <w:t>means a payment in the nature of a windfall, for example, an inheritance, an insurance settlement for pain and suffering, an insurance death benefit, a gift, lottery winnings, or a retroactive payment of benefits such as social security, job insurance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legally recognized parent, including an adoptive parent, or a biological father if there is no legally recognized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budgeting” </w:t>
      </w:r>
      <w:r>
        <w:rPr>
          <w:rFonts w:ascii="Times New Roman" w:hAnsi="Times New Roman"/>
          <w:b w:val="false"/>
          <w:i w:val="false"/>
          <w:color w:val="000000"/>
          <w:sz w:val="22"/>
        </w:rPr>
        <w:t>means the determination of eligibility and the amount of assistance for a calendar month based on the best estimate of income and circumstances which will exist in that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for whom Medicaid is received as well as parents living in the home with the eligible children and other specified relatives as defined in subrule </w:t>
      </w:r>
      <w:hyperlink r:id="rId333">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who are receiving Medicaid for the children. Unless otherwise specified, a person is not a recipient for any month in which the assistance issued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means the total needs of a group as determined by the schedule of living costs, described at subrule </w:t>
      </w:r>
      <w:hyperlink r:id="rId334">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“Stepparent” </w:t>
      </w:r>
      <w:r>
        <w:rPr>
          <w:rFonts w:ascii="Times New Roman" w:hAnsi="Times New Roman"/>
          <w:b w:val="false"/>
          <w:i w:val="false"/>
          <w:color w:val="000000"/>
          <w:sz w:val="22"/>
        </w:rPr>
        <w:t>means a person who is not the parent of the dependent child, but is the legal spouse of the dependent child’s parent by ceremonial or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shall include an unborn child during the entire term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“Uniformed service” </w:t>
      </w:r>
      <w:r>
        <w:rPr>
          <w:rFonts w:ascii="Times New Roman" w:hAnsi="Times New Roman"/>
          <w:b w:val="false"/>
          <w:i w:val="false"/>
          <w:color w:val="000000"/>
          <w:sz w:val="22"/>
        </w:rPr>
        <w:t>means the Army, Navy, Air Force, Marine Corps, Coast Guard, National Oceanographic and Atmospheric Administration, or Public Health Service of the United States.</w:t>
      </w:r>
    </w:p>
    <w:p>
      <w:pPr>
        <w:spacing w:before="210" w:after="0"/>
        <w:ind w:left="120"/>
        <w:jc w:val="both"/>
      </w:pPr>
      <w:r>
        <w:rPr>
          <w:rFonts w:ascii="Times New Roman" w:hAnsi="Times New Roman"/>
          <w:b/>
          <w:i w:val="false"/>
          <w:color w:val="000000"/>
          <w:sz w:val="22"/>
        </w:rPr>
        <w:t>441—75.51</w:t>
      </w:r>
      <w:r>
        <w:rPr>
          <w:rFonts w:ascii="Times New Roman" w:hAnsi="Times New Roman"/>
          <w:b/>
          <w:i w:val="false"/>
          <w:color w:val="000000"/>
          <w:sz w:val="22"/>
        </w:rPr>
        <w:t xml:space="preserve">(249A) </w:t>
      </w:r>
      <w:r>
        <w:rPr>
          <w:rFonts w:ascii="Times New Roman" w:hAnsi="Times New Roman"/>
          <w:b/>
          <w:i w:val="false"/>
          <w:color w:val="000000"/>
          <w:sz w:val="22"/>
        </w:rPr>
        <w:t xml:space="preserve">Reinstatement of eligibility.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2/10/10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i w:val="false"/>
          <w:color w:val="000000"/>
          <w:sz w:val="22"/>
        </w:rPr>
        <w:t>441—75.52</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75.52(1)</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 xml:space="preserve">Eligibility factors shall be reviewed at least annually for the FMAP-related programs. Reviews shall be conducted using information contained in and verification supplied with the review form specified in subrule </w:t>
      </w:r>
      <w:hyperlink r:id="rId335">
        <w:r>
          <w:rPr>
            <w:rStyle w:val="Hyperlink"/>
            <w:rFonts w:ascii="Times New Roman" w:hAnsi="Times New Roman"/>
            <w:b w:val="false"/>
            <w:i w:val="false"/>
            <w:color w:val="000000"/>
            <w:sz w:val="22"/>
          </w:rPr>
          <w:t>75.52(3)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75.52(2)</w:t>
      </w:r>
      <w:r>
        <w:rPr>
          <w:rFonts w:ascii="Times New Roman" w:hAnsi="Times New Roman"/>
          <w:b w:val="false"/>
          <w:i w:val="false"/>
          <w:color w:val="000000"/>
          <w:sz w:val="22"/>
        </w:rPr>
        <w:t> </w:t>
      </w:r>
      <w:r>
        <w:rPr>
          <w:rFonts w:ascii="Times New Roman" w:hAnsi="Times New Roman"/>
          <w:b w:val="false"/>
          <w:i/>
          <w:color w:val="000000"/>
          <w:sz w:val="22"/>
        </w:rPr>
        <w:t xml:space="preserve">Additional reviews. </w:t>
      </w:r>
      <w:r>
        <w:rPr>
          <w:rFonts w:ascii="Times New Roman" w:hAnsi="Times New Roman"/>
          <w:b w:val="false"/>
          <w:i w:val="false"/>
          <w:color w:val="000000"/>
          <w:sz w:val="22"/>
        </w:rPr>
        <w:t>A redetermination of specific eligibility factors shall be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reports a change in circumstances (for example, a change in income, as defined at rule </w:t>
      </w:r>
      <w:hyperlink r:id="rId33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member’s circumstances comes to the attention of a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75.52(3)</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for the annual review shall be submitted on Form 470-2881, 470-2881(M), 470-2881(S), or 470-2881(MS), Review/Recertification Eligibility Document (RRED),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client has completed Form 470-0462 or 470-0466 (Spanish), Health and Financial Support Application, for another purpose, this form may be used as the review document for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for recertification of family medical assistance-related medically needy shall be submitted on Form 470-3118 or 470-3118(S), Medicaid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supply the review form to the client as needed, or upon request, and shall pay the cost of postage to return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issued in the department’s regular end-of-month mailing, the client shall return the completed form to the department by the fifth calendar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not issued in the department’s regular end-of-month mailing, the client shall return the completed form to the department by the seventh day after the date the form is mailed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 review form received by fax or electronically shall have the same effect as an original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information for foster children or children in subsidized adoption or subsidized guardianship shall be submitted on Form 470-2914, Foster Care, Adoption, and Guardianship Medicaid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75.52(4)</w:t>
      </w:r>
      <w:r>
        <w:rPr>
          <w:rFonts w:ascii="Times New Roman" w:hAnsi="Times New Roman"/>
          <w:b w:val="false"/>
          <w:i w:val="false"/>
          <w:color w:val="000000"/>
          <w:sz w:val="22"/>
        </w:rPr>
        <w:t> </w:t>
      </w:r>
      <w:r>
        <w:rPr>
          <w:rFonts w:ascii="Times New Roman" w:hAnsi="Times New Roman"/>
          <w:b w:val="false"/>
          <w:i/>
          <w:color w:val="000000"/>
          <w:sz w:val="22"/>
        </w:rPr>
        <w:t xml:space="preserve">Client responsibilities. </w:t>
      </w:r>
      <w:r>
        <w:rPr>
          <w:rFonts w:ascii="Times New Roman" w:hAnsi="Times New Roman"/>
          <w:b w:val="false"/>
          <w:i w:val="false"/>
          <w:color w:val="000000"/>
          <w:sz w:val="22"/>
        </w:rPr>
        <w:t>For the purposes of this subrule, “clients” shall include persons who received assistance subject to recoupment because the persons were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shall cooperate by giving complete and accurate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shall complete the required review form when requested by the department in accordance with subrule </w:t>
      </w:r>
      <w:hyperlink r:id="rId337">
        <w:r>
          <w:rPr>
            <w:rStyle w:val="Hyperlink"/>
            <w:rFonts w:ascii="Times New Roman" w:hAnsi="Times New Roman"/>
            <w:b w:val="false"/>
            <w:i w:val="false"/>
            <w:color w:val="000000"/>
            <w:sz w:val="22"/>
          </w:rPr>
          <w:t>75.52(3)</w:t>
        </w:r>
      </w:hyperlink>
      <w:r>
        <w:rPr>
          <w:rFonts w:ascii="Times New Roman" w:hAnsi="Times New Roman"/>
          <w:b w:val="false"/>
          <w:i w:val="false"/>
          <w:color w:val="000000"/>
          <w:sz w:val="22"/>
        </w:rPr>
        <w:t xml:space="preserve">. If the department does not receive a completed form, assistance shall be canceled. A completed form is one that has all items answered, is signed, is dated, and is accompanied by verification as required in paragraphs </w:t>
      </w:r>
      <w:hyperlink r:id="rId338">
        <w:r>
          <w:rPr>
            <w:rStyle w:val="Hyperlink"/>
            <w:rFonts w:ascii="Times New Roman" w:hAnsi="Times New Roman"/>
            <w:b w:val="false"/>
            <w:i w:val="false"/>
            <w:color w:val="000000"/>
            <w:sz w:val="22"/>
          </w:rPr>
          <w:t>75.57(1)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339">
        <w:r>
          <w:rPr>
            <w:rStyle w:val="Hyperlink"/>
            <w:rFonts w:ascii="Times New Roman" w:hAnsi="Times New Roman"/>
            <w:b w:val="false"/>
            <w:i w:val="false"/>
            <w:color w:val="000000"/>
            <w:sz w:val="22"/>
          </w:rPr>
          <w:t>75.57(2)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shall report any change in the following circumstances at the annual review or upon the addition of an individual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 including any change in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stepparent recovering from an incapacity.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Change of 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of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child support, alimony, or dependents as defined in paragraph </w:t>
      </w:r>
      <w:hyperlink r:id="rId340">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clients shall timely report any change in the following circumstances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Sources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Clients described at subrule </w:t>
      </w:r>
      <w:hyperlink r:id="rId341">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xml:space="preserve"> shall also timely report any change in income from any source and any change in care expenses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shall be considered timely when made within ten days from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enters or leaves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mailing or living address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source of income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health insurance premium or coverage change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 any change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Of any change in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is not reported as required in paragraphs </w:t>
      </w:r>
      <w:hyperlink r:id="rId342">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343">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any excess Medicaid paid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any circumstance is reported, its effect on eligibility shall be evaluated and eligibility shall be redetermined, if appropriate, regardless of whether the report of the change was required in paragraphs </w:t>
      </w:r>
      <w:hyperlink r:id="rId344">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345">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After assistance has been approved, eligibility for continuing assistance shall be effective as of the first of each month. Any change affecting eligibility reported during a month shall be effective the first day of the next calendar month, subject to timely notice requirements at rule </w:t>
      </w:r>
      <w:hyperlink r:id="rId34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for any adverse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creates ineligibility, eligibility under the current coverage group shall be canceled and an automatic redetermination of eligibility shall be completed in accordance with rule </w:t>
      </w:r>
      <w:hyperlink r:id="rId347">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individual included in the eligible group becomes ineligible, that individual’s Medicaid shall be canceled effective the first of the next month unless the action must be delayed due to timely notice requirements at rule </w:t>
      </w:r>
      <w:hyperlink r:id="rId348">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441—75.53</w:t>
      </w:r>
      <w:r>
        <w:rPr>
          <w:rFonts w:ascii="Times New Roman" w:hAnsi="Times New Roman"/>
          <w:b/>
          <w:i w:val="false"/>
          <w:color w:val="000000"/>
          <w:sz w:val="22"/>
        </w:rPr>
        <w:t xml:space="preserve">(249A) </w:t>
      </w:r>
      <w:r>
        <w:rPr>
          <w:rFonts w:ascii="Times New Roman" w:hAnsi="Times New Roman"/>
          <w:b/>
          <w:i w:val="false"/>
          <w:color w:val="000000"/>
          <w:sz w:val="22"/>
        </w:rPr>
        <w:t xml:space="preserve">Iowa residency policies specific to FMAP and FMAP-related coverage groups. </w:t>
      </w:r>
      <w:r>
        <w:rPr>
          <w:rFonts w:ascii="Times New Roman" w:hAnsi="Times New Roman"/>
          <w:b w:val="false"/>
          <w:i w:val="false"/>
          <w:color w:val="000000"/>
          <w:sz w:val="22"/>
        </w:rPr>
        <w:t xml:space="preserve">Notwithstanding the provisions of rule </w:t>
      </w:r>
      <w:hyperlink r:id="rId349">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the following rules shall apply when determining eligibility for persons under FMAP or FMAP-related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resident.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Who is living in Iowa voluntarily with the intention of making that person’s home there and not for a temporary purpose. A child is a resident of Iowa when living there on other than a temporary basis. Residence may not depend upon the reason for which the individual entered the state, except insofar as it may bear upon whether the individual is there voluntarily or for a temporary purpose;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 Under this definition the child is a resident of the state in which the specified relative is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residence.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75.53(3)</w:t>
      </w:r>
      <w:r>
        <w:rPr>
          <w:rFonts w:ascii="Times New Roman" w:hAnsi="Times New Roman"/>
          <w:b w:val="false"/>
          <w:i w:val="false"/>
          <w:color w:val="000000"/>
          <w:sz w:val="22"/>
        </w:rPr>
        <w:t> </w:t>
      </w:r>
      <w:r>
        <w:rPr>
          <w:rFonts w:ascii="Times New Roman" w:hAnsi="Times New Roman"/>
          <w:b w:val="false"/>
          <w:i/>
          <w:color w:val="000000"/>
          <w:sz w:val="22"/>
        </w:rPr>
        <w:t xml:space="preserve">Suitability of home. </w:t>
      </w:r>
      <w:r>
        <w:rPr>
          <w:rFonts w:ascii="Times New Roman" w:hAnsi="Times New Roman"/>
          <w:b w:val="false"/>
          <w:i w:val="false"/>
          <w:color w:val="000000"/>
          <w:sz w:val="22"/>
        </w:rPr>
        <w:t>The home shall be deemed suitable until the court has ruled it unsuitable and, as a result of such action, the child has been removed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75.53(4)</w:t>
      </w:r>
      <w:r>
        <w:rPr>
          <w:rFonts w:ascii="Times New Roman" w:hAnsi="Times New Roman"/>
          <w:b w:val="false"/>
          <w:i w:val="false"/>
          <w:color w:val="000000"/>
          <w:sz w:val="22"/>
        </w:rPr>
        <w:t> </w:t>
      </w:r>
      <w:r>
        <w:rPr>
          <w:rFonts w:ascii="Times New Roman" w:hAnsi="Times New Roman"/>
          <w:b w:val="false"/>
          <w:i/>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absent from the home shall not be included in the eligible group, except as described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is a convicted offender but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is occasioned solely by reason of the performance of active duty in the uniformed services of the United States is considered absent from the home.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who is temporarily out of the home are included in the eligible group if otherwise eligible. A temporary absence exists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is anticipated to be in the medical institution for less than a year, as verified by a physician’s statement. Failure to return within one year from the date of entry into the medical institution will result in the individual’s needs being removed from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is out of the home to secure education or training as defined in paragraph </w:t>
      </w:r>
      <w:hyperlink r:id="rId350">
        <w:r>
          <w:rPr>
            <w:rStyle w:val="Hyperlink"/>
            <w:rFonts w:ascii="Times New Roman" w:hAnsi="Times New Roman"/>
            <w:b w:val="false"/>
            <w:i w:val="false"/>
            <w:color w:val="000000"/>
            <w:sz w:val="22"/>
          </w:rPr>
          <w:t>75.54(1)</w:t>
        </w:r>
        <w:r>
          <w:rPr>
            <w:rFonts w:ascii="Times New Roman" w:hAnsi="Times New Roman"/>
            <w:b w:val="false"/>
            <w:i/>
            <w:color w:val="000000"/>
            <w:sz w:val="22"/>
          </w:rPr>
          <w:t>“b”</w:t>
        </w:r>
      </w:hyperlink>
      <w:r>
        <w:rPr>
          <w:rFonts w:ascii="Times New Roman" w:hAnsi="Times New Roman"/>
          <w:b w:val="false"/>
          <w:i w:val="false"/>
          <w:color w:val="000000"/>
          <w:sz w:val="22"/>
        </w:rPr>
        <w:t xml:space="preserve"> as long as the child remains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parent or specified relative is temporarily out of the home to secure education or training and was in the eligible group before leaving the home to secure education or training. For this purpose, “education or training” means any academic or vocational training program that prepares a person for a specific professional or vocational area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for reasons other than reasons in subparagraphs </w:t>
      </w:r>
      <w:hyperlink r:id="rId351">
        <w:r>
          <w:rPr>
            <w:rStyle w:val="Hyperlink"/>
            <w:rFonts w:ascii="Times New Roman" w:hAnsi="Times New Roman"/>
            <w:b w:val="false"/>
            <w:i w:val="false"/>
            <w:color w:val="000000"/>
            <w:sz w:val="22"/>
          </w:rPr>
          <w:t>75.53(4)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(3) and intends to return to the home within three months. Failure to return within three months from the date the individual left the home will result in the individual’s needs being removed from the eligible group.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0579C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Unless otherwise specified at rule </w:t>
      </w:r>
      <w:hyperlink r:id="rId35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Medicaid shall be available to a needy child under the age of 18 years without regard to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is eligible for the entire month in which the child’s eighteenth birthday occurs,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shall also be available to a needy child aged 18 years who is a full-time student in a secondary school, or in the equivalent level of vocational or technical training, and who is reasonably expected to complete the program before reaching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shall be considered attending school full-time when enrolled or accepted in a full-time (as certified by the school or institute attended) elementary, secondary or the equivalent level of vocational or technical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shall also be considered to be in regular attendance in months when the child is not attending because of an official school or training program vacation, illness, convalescence, or family emergency. 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child’s education is temporarily interrupted pending adjustment of an education or training program, exemption shall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75.54(2)</w:t>
      </w:r>
      <w:r>
        <w:rPr>
          <w:rFonts w:ascii="Times New Roman" w:hAnsi="Times New Roman"/>
          <w:b w:val="false"/>
          <w:i w:val="false"/>
          <w:color w:val="000000"/>
          <w:sz w:val="22"/>
        </w:rPr>
        <w:t> </w:t>
      </w:r>
      <w:r>
        <w:rPr>
          <w:rFonts w:ascii="Times New Roman" w:hAnsi="Times New Roman"/>
          <w:b w:val="false"/>
          <w:i/>
          <w:color w:val="000000"/>
          <w:sz w:val="22"/>
        </w:rPr>
        <w:t xml:space="preserve">Residing with a relative. </w:t>
      </w:r>
      <w:r>
        <w:rPr>
          <w:rFonts w:ascii="Times New Roman" w:hAnsi="Times New Roman"/>
          <w:b w:val="false"/>
          <w:i w:val="false"/>
          <w:color w:val="000000"/>
          <w:sz w:val="22"/>
        </w:rPr>
        <w:t xml:space="preserve">The child shall be living in the home of one of the relatives specified in subrule </w:t>
      </w:r>
      <w:hyperlink r:id="rId353">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When the mother intends to place her child for adoption shortly after birth, the child shall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relatives implies primarily the existence of a relationship involving an accepted responsibility on the part of the relative for the child’s welfare, including the sharing of a common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is the family setting maintained or in the process of being established as evidenced by the assumption and continuation of responsibility for the child by the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75.54(3)</w:t>
      </w:r>
      <w:r>
        <w:rPr>
          <w:rFonts w:ascii="Times New Roman" w:hAnsi="Times New Roman"/>
          <w:b w:val="false"/>
          <w:i w:val="false"/>
          <w:color w:val="000000"/>
          <w:sz w:val="22"/>
        </w:rPr>
        <w:t> </w:t>
      </w:r>
      <w:r>
        <w:rPr>
          <w:rFonts w:ascii="Times New Roman" w:hAnsi="Times New Roman"/>
          <w:b w:val="false"/>
          <w:i/>
          <w:color w:val="000000"/>
          <w:sz w:val="22"/>
        </w:rPr>
        <w:t xml:space="preserve">Deprivation of parental care and support.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11/1/00</w:t>
      </w:r>
      <w:r>
        <w:rPr>
          <w:rFonts w:ascii="Times New Roman" w:hAnsi="Times New Roman"/>
          <w:b w:val="false"/>
          <w:i w:val="false"/>
          <w:color w:val="000000"/>
          <w:sz w:val="22"/>
        </w:rPr>
        <w:t>, effective 1/1/01.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75.54(4)</w:t>
      </w:r>
      <w:r>
        <w:rPr>
          <w:rFonts w:ascii="Times New Roman" w:hAnsi="Times New Roman"/>
          <w:b w:val="false"/>
          <w:i w:val="false"/>
          <w:color w:val="000000"/>
          <w:sz w:val="22"/>
        </w:rPr>
        <w:t> </w:t>
      </w:r>
      <w:r>
        <w:rPr>
          <w:rFonts w:ascii="Times New Roman" w:hAnsi="Times New Roman"/>
          <w:b w:val="false"/>
          <w:i/>
          <w:color w:val="000000"/>
          <w:sz w:val="22"/>
        </w:rPr>
        <w:t xml:space="preserve">Continuous eligibility for children.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11/5/08</w:t>
      </w:r>
      <w:r>
        <w:rPr>
          <w:rFonts w:ascii="Times New Roman" w:hAnsi="Times New Roman"/>
          <w:b w:val="false"/>
          <w:i w:val="false"/>
          <w:color w:val="000000"/>
          <w:sz w:val="22"/>
        </w:rPr>
        <w:t>, effective 11/1/08.</w:t>
      </w:r>
    </w:p>
    <w:p>
      <w:pPr>
        <w:spacing w:before="0" w:after="0"/>
        <w:ind w:left="120"/>
        <w:jc w:val="both"/>
      </w:pPr>
      <w:r>
        <w:rPr>
          <w:rFonts w:ascii="Times New Roman" w:hAnsi="Times New Roman"/>
          <w:b/>
          <w:i w:val="false"/>
          <w:color w:val="000000"/>
          <w:sz w:val="22"/>
        </w:rPr>
        <w:t>441—75.55</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specified relatives.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75.55(1)</w:t>
      </w:r>
      <w:r>
        <w:rPr>
          <w:rFonts w:ascii="Times New Roman" w:hAnsi="Times New Roman"/>
          <w:b w:val="false"/>
          <w:i w:val="false"/>
          <w:color w:val="000000"/>
          <w:sz w:val="22"/>
        </w:rPr>
        <w:t> </w:t>
      </w:r>
      <w:r>
        <w:rPr>
          <w:rFonts w:ascii="Times New Roman" w:hAnsi="Times New Roman"/>
          <w:b w:val="false"/>
          <w:i/>
          <w:color w:val="000000"/>
          <w:sz w:val="22"/>
        </w:rPr>
        <w:t xml:space="preserve">Specified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may be considered as meeting the requirement of living with a specified relative if the child’s home is with one of the following or with a spouse of the relative even though the marriage is terminated by death or divorce:</w:t>
      </w:r>
    </w:p>
    <w:p>
      <w:pPr>
        <w:spacing w:before="0" w:after="0"/>
        <w:ind w:left="120"/>
        <w:jc w:val="both"/>
      </w:pPr>
      <w:r>
        <w:rPr>
          <w:rFonts w:ascii="Times New Roman" w:hAnsi="Times New Roman"/>
          <w:b w:val="false"/>
          <w:i w:val="false"/>
          <w:color w:val="000000"/>
          <w:sz w:val="22"/>
        </w:rPr>
        <w:t>Father or adoptive father.</w:t>
      </w:r>
    </w:p>
    <w:p>
      <w:pPr>
        <w:spacing w:before="0" w:after="0"/>
        <w:ind w:left="120"/>
        <w:jc w:val="both"/>
      </w:pPr>
      <w:r>
        <w:rPr>
          <w:rFonts w:ascii="Times New Roman" w:hAnsi="Times New Roman"/>
          <w:b w:val="false"/>
          <w:i w:val="false"/>
          <w:color w:val="000000"/>
          <w:sz w:val="22"/>
        </w:rPr>
        <w:t>Mother or adoptive mother.</w:t>
      </w:r>
    </w:p>
    <w:p>
      <w:pPr>
        <w:spacing w:before="0" w:after="0"/>
        <w:ind w:left="120"/>
        <w:jc w:val="both"/>
      </w:pPr>
      <w:r>
        <w:rPr>
          <w:rFonts w:ascii="Times New Roman" w:hAnsi="Times New Roman"/>
          <w:b w:val="false"/>
          <w:i w:val="false"/>
          <w:color w:val="000000"/>
          <w:sz w:val="22"/>
        </w:rPr>
        <w:t>Grandfather or grandfather-in-law, meaning the subsequent husband of the child’s natural grandmother, i.e., stepgrandfather or adoptive grandfather.</w:t>
      </w:r>
    </w:p>
    <w:p>
      <w:pPr>
        <w:spacing w:before="0" w:after="0"/>
        <w:ind w:left="120"/>
        <w:jc w:val="both"/>
      </w:pPr>
      <w:r>
        <w:rPr>
          <w:rFonts w:ascii="Times New Roman" w:hAnsi="Times New Roman"/>
          <w:b w:val="false"/>
          <w:i w:val="false"/>
          <w:color w:val="000000"/>
          <w:sz w:val="22"/>
        </w:rPr>
        <w:t>Grandmother or grandmother-in-law, meaning the subsequent wife of the child’s natural grandfather, i.e., stepgrandmother or adoptive grandmother.</w:t>
      </w:r>
    </w:p>
    <w:p>
      <w:pPr>
        <w:spacing w:before="0" w:after="0"/>
        <w:ind w:left="120"/>
        <w:jc w:val="both"/>
      </w:pPr>
      <w:r>
        <w:rPr>
          <w:rFonts w:ascii="Times New Roman" w:hAnsi="Times New Roman"/>
          <w:b w:val="false"/>
          <w:i w:val="false"/>
          <w:color w:val="000000"/>
          <w:sz w:val="22"/>
        </w:rPr>
        <w:t>Great-grandfather or great-great-grandfather.</w:t>
      </w:r>
    </w:p>
    <w:p>
      <w:pPr>
        <w:spacing w:before="0" w:after="0"/>
        <w:ind w:left="120"/>
        <w:jc w:val="both"/>
      </w:pPr>
      <w:r>
        <w:rPr>
          <w:rFonts w:ascii="Times New Roman" w:hAnsi="Times New Roman"/>
          <w:b w:val="false"/>
          <w:i w:val="false"/>
          <w:color w:val="000000"/>
          <w:sz w:val="22"/>
        </w:rPr>
        <w:t>Great-grandmother or great-great-grandmother.</w:t>
      </w:r>
    </w:p>
    <w:p>
      <w:pPr>
        <w:spacing w:before="0" w:after="0"/>
        <w:ind w:left="120"/>
        <w:jc w:val="both"/>
      </w:pP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Brother, brother-of-half-blood, stepbrother, brother-in-law or adoptive brother.</w:t>
      </w:r>
    </w:p>
    <w:p>
      <w:pPr>
        <w:spacing w:before="0" w:after="0"/>
        <w:ind w:left="120"/>
        <w:jc w:val="both"/>
      </w:pPr>
      <w:r>
        <w:rPr>
          <w:rFonts w:ascii="Times New Roman" w:hAnsi="Times New Roman"/>
          <w:b w:val="false"/>
          <w:i w:val="false"/>
          <w:color w:val="000000"/>
          <w:sz w:val="22"/>
        </w:rPr>
        <w:t>Sister, sister-of-half-blood, stepsister, sister-in-law or adoptive sister.</w:t>
      </w:r>
    </w:p>
    <w:p>
      <w:pPr>
        <w:spacing w:before="0" w:after="0"/>
        <w:ind w:left="120"/>
        <w:jc w:val="both"/>
      </w:pPr>
      <w:r>
        <w:rPr>
          <w:rFonts w:ascii="Times New Roman" w:hAnsi="Times New Roman"/>
          <w:b w:val="false"/>
          <w:i w:val="false"/>
          <w:color w:val="000000"/>
          <w:sz w:val="22"/>
        </w:rPr>
        <w:t>Uncle or aunt, of whole or half blood.</w:t>
      </w:r>
    </w:p>
    <w:p>
      <w:pPr>
        <w:spacing w:before="0" w:after="0"/>
        <w:ind w:left="120"/>
        <w:jc w:val="both"/>
      </w:pPr>
      <w:r>
        <w:rPr>
          <w:rFonts w:ascii="Times New Roman" w:hAnsi="Times New Roman"/>
          <w:b w:val="false"/>
          <w:i w:val="false"/>
          <w:color w:val="000000"/>
          <w:sz w:val="22"/>
        </w:rPr>
        <w:t>Uncle-in-law or aunt-in-law.</w:t>
      </w:r>
    </w:p>
    <w:p>
      <w:pPr>
        <w:spacing w:before="0" w:after="0"/>
        <w:ind w:left="120"/>
        <w:jc w:val="both"/>
      </w:pPr>
      <w:r>
        <w:rPr>
          <w:rFonts w:ascii="Times New Roman" w:hAnsi="Times New Roman"/>
          <w:b w:val="false"/>
          <w:i w:val="false"/>
          <w:color w:val="000000"/>
          <w:sz w:val="22"/>
        </w:rPr>
        <w:t>Great uncle or great-great-uncle.</w:t>
      </w:r>
    </w:p>
    <w:p>
      <w:pPr>
        <w:spacing w:before="0" w:after="0"/>
        <w:ind w:left="120"/>
        <w:jc w:val="both"/>
      </w:pPr>
      <w:r>
        <w:rPr>
          <w:rFonts w:ascii="Times New Roman" w:hAnsi="Times New Roman"/>
          <w:b w:val="false"/>
          <w:i w:val="false"/>
          <w:color w:val="000000"/>
          <w:sz w:val="22"/>
        </w:rPr>
        <w:t>Great aunt or great-great-aunt.</w:t>
      </w:r>
    </w:p>
    <w:p>
      <w:pPr>
        <w:spacing w:before="0" w:after="0"/>
        <w:ind w:left="120"/>
        <w:jc w:val="both"/>
      </w:pPr>
      <w:r>
        <w:rPr>
          <w:rFonts w:ascii="Times New Roman" w:hAnsi="Times New Roman"/>
          <w:b w:val="false"/>
          <w:i w:val="false"/>
          <w:color w:val="000000"/>
          <w:sz w:val="22"/>
        </w:rPr>
        <w:t>First cousins, nephews, or nieces.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relative of the putative father can qualify as a specified relative if the putative father has acknowledged paternity by the type of written evidence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75.55(2)</w:t>
      </w:r>
      <w:r>
        <w:rPr>
          <w:rFonts w:ascii="Times New Roman" w:hAnsi="Times New Roman"/>
          <w:b w:val="false"/>
          <w:i w:val="false"/>
          <w:color w:val="000000"/>
          <w:sz w:val="22"/>
        </w:rPr>
        <w:t> </w:t>
      </w:r>
      <w:r>
        <w:rPr>
          <w:rFonts w:ascii="Times New Roman" w:hAnsi="Times New Roman"/>
          <w:b w:val="false"/>
          <w:i/>
          <w:color w:val="000000"/>
          <w:sz w:val="22"/>
        </w:rPr>
        <w:t xml:space="preserve">Liability of relatives. </w:t>
      </w:r>
      <w:r>
        <w:rPr>
          <w:rFonts w:ascii="Times New Roman" w:hAnsi="Times New Roman"/>
          <w:b w:val="false"/>
          <w:i w:val="false"/>
          <w:color w:val="000000"/>
          <w:sz w:val="22"/>
        </w:rPr>
        <w:t xml:space="preserve">All appropriate steps shall be taken to secure support from legally liable persons on behalf of all persons in the eligible group, including the establishment of paternity as provided in rule </w:t>
      </w:r>
      <w:hyperlink r:id="rId354">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necessary to establish eligibility, the department shall make the initial contact with the absent parent at the time of application. Subsequent contacts may be made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contact with the family or other sources of information indicates that relatives other than parents and spouses of the eligible children are contributing toward the support of members of the eligible group, have contributed in the past, or are of such financial standing they might reasonably be expected to contribute, the department shall contact these persons to verify current contributions or arrange for contributions on a voluntary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75.56(1)</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Unless otherwise specified, a client may have the following resources and be eligible for the family medical assistance program (FMAP) or FMAP-related programs. Any resource not specifically exempted shall be counted toward the applicable resource limit when determining eligibility for adults. All resources shall be disregarded when determining eligibility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without regard to its value. A mobile home or similar shelter shall be considered as a homestead when it is occupied by the client. Temporary absence from the homestead with a defined purpose for the absence and with intent to return when the purpose of the absence has been accomplished shall not be considered to have altered the exempt status of the homestead. Except as described at paragraph </w:t>
      </w:r>
      <w:hyperlink r:id="rId355">
        <w:r>
          <w:rPr>
            <w:rStyle w:val="Hyperlink"/>
            <w:rFonts w:ascii="Times New Roman" w:hAnsi="Times New Roman"/>
            <w:b w:val="false"/>
            <w:i w:val="false"/>
            <w:color w:val="000000"/>
            <w:sz w:val="22"/>
          </w:rPr>
          <w:t>75.56(1)</w:t>
        </w:r>
        <w:r>
          <w:rPr>
            <w:rFonts w:ascii="Times New Roman" w:hAnsi="Times New Roman"/>
            <w:b w:val="false"/>
            <w:i/>
            <w:color w:val="000000"/>
            <w:sz w:val="22"/>
          </w:rPr>
          <w:t>“n”</w:t>
        </w:r>
      </w:hyperlink>
      <w:r>
        <w:rPr>
          <w:rFonts w:ascii="Times New Roman" w:hAnsi="Times New Roman"/>
          <w:b w:val="false"/>
          <w:i w:val="false"/>
          <w:color w:val="000000"/>
          <w:sz w:val="22"/>
        </w:rPr>
        <w:t xml:space="preserve"> or </w:t>
      </w:r>
      <w:hyperlink r:id="rId356">
        <w:r>
          <w:rPr>
            <w:rStyle w:val="Hyperlink"/>
            <w:rFonts w:ascii="Times New Roman" w:hAnsi="Times New Roman"/>
            <w:b w:val="false"/>
            <w:i w:val="false"/>
            <w:color w:val="000000"/>
            <w:sz w:val="22"/>
          </w:rPr>
          <w:t/>
        </w:r>
        <w:r>
          <w:rPr>
            <w:rFonts w:ascii="Times New Roman" w:hAnsi="Times New Roman"/>
            <w:b w:val="false"/>
            <w:i/>
            <w:color w:val="000000"/>
            <w:sz w:val="22"/>
          </w:rPr>
          <w:t>“o,”</w:t>
        </w:r>
      </w:hyperlink>
      <w:r>
        <w:rPr>
          <w:rFonts w:ascii="Times New Roman" w:hAnsi="Times New Roman"/>
          <w:b w:val="false"/>
          <w:i w:val="false"/>
          <w:color w:val="000000"/>
          <w:sz w:val="22"/>
        </w:rPr>
        <w:t xml:space="preserve"> the net market value of any other real property shall be considered with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goods and personal effects without regard to their value. Personal effects are personal or intimate tangible belongings of an individual, especially those that are worn or carried on the person, which are maintained in one’s home, and include clothing, books, grooming aids, jewelry, hobby equipment, and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 insurance which has no cash surrender value. The owner of the life insurance policy is the individual paying the premium on the policy with the right to change the policy as the individual sees 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One motor vehicle per household. If the household includes more than one adult or working teenaged child whose resources must be considered as described in subrule </w:t>
      </w:r>
      <w:hyperlink r:id="rId357">
        <w:r>
          <w:rPr>
            <w:rStyle w:val="Hyperlink"/>
            <w:rFonts w:ascii="Times New Roman" w:hAnsi="Times New Roman"/>
            <w:b w:val="false"/>
            <w:i w:val="false"/>
            <w:color w:val="000000"/>
            <w:sz w:val="22"/>
          </w:rPr>
          <w:t>75.56(2)</w:t>
        </w:r>
      </w:hyperlink>
      <w:r>
        <w:rPr>
          <w:rFonts w:ascii="Times New Roman" w:hAnsi="Times New Roman"/>
          <w:b w:val="false"/>
          <w:i w:val="false"/>
          <w:color w:val="000000"/>
          <w:sz w:val="22"/>
        </w:rPr>
        <w:t>, an equity not to exceed a value of $3,000 in one additional motor vehicle shall be disregarded for each additional adult or working teenaged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disregard for an additional motor vehicle shall be allowed when a working teenager is temporarily absent from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equity value of any additional motor vehicle in excess of $3,000 shall be counted toward the resource limit in paragraph </w:t>
      </w:r>
      <w:hyperlink r:id="rId358">
        <w:r>
          <w:rPr>
            <w:rStyle w:val="Hyperlink"/>
            <w:rFonts w:ascii="Times New Roman" w:hAnsi="Times New Roman"/>
            <w:b w:val="false"/>
            <w:i w:val="false"/>
            <w:color w:val="000000"/>
            <w:sz w:val="22"/>
          </w:rPr>
          <w:t>75.56(1)</w:t>
        </w:r>
        <w:r>
          <w:rPr>
            <w:rFonts w:ascii="Times New Roman" w:hAnsi="Times New Roman"/>
            <w:b w:val="false"/>
            <w:i/>
            <w:color w:val="000000"/>
            <w:sz w:val="22"/>
          </w:rPr>
          <w:t>“e.”</w:t>
        </w:r>
      </w:hyperlink>
      <w:r>
        <w:rPr>
          <w:rFonts w:ascii="Times New Roman" w:hAnsi="Times New Roman"/>
          <w:b w:val="false"/>
          <w:i w:val="false"/>
          <w:color w:val="000000"/>
          <w:sz w:val="22"/>
        </w:rPr>
        <w:t xml:space="preserve"> When a motor vehicle is modified with special equipment for the handicapped, the special equipment shall not increase the value of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July 1, 1994, and continuing in succeeding state fiscal years, the motor vehicle equity value to be disregarded shall be increased by the latest increase in the consumer price index for used vehicles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of other property, real or personal, not to exceed $2,000 for applicant assistance units and $5,000 for member assistance units.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Applicant assistance units that contain at least one person who was a Medicaid member in Iowa in the month before the month of application are subject to the $5,000 limit. Resources of the assistance unit shall be determined in accordance with persons considered, as described at subrule </w:t>
      </w:r>
      <w:hyperlink r:id="rId359">
        <w:r>
          <w:rPr>
            <w:rStyle w:val="Hyperlink"/>
            <w:rFonts w:ascii="Times New Roman" w:hAnsi="Times New Roman"/>
            <w:b w:val="false"/>
            <w:i w:val="false"/>
            <w:color w:val="000000"/>
            <w:sz w:val="22"/>
          </w:rPr>
          <w:t>75.56(2)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which is counted as income for the month and that part of lump-sum income defined at paragraph </w:t>
      </w:r>
      <w:hyperlink r:id="rId360">
        <w:r>
          <w:rPr>
            <w:rStyle w:val="Hyperlink"/>
            <w:rFonts w:ascii="Times New Roman" w:hAnsi="Times New Roman"/>
            <w:b w:val="false"/>
            <w:i w:val="false"/>
            <w:color w:val="000000"/>
            <w:sz w:val="22"/>
          </w:rPr>
          <w:t>75.57(9)</w:t>
        </w:r>
        <w:r>
          <w:rPr>
            <w:rFonts w:ascii="Times New Roman" w:hAnsi="Times New Roman"/>
            <w:b w:val="false"/>
            <w:i/>
            <w:color w:val="000000"/>
            <w:sz w:val="22"/>
          </w:rPr>
          <w:t>“c”</w:t>
        </w:r>
      </w:hyperlink>
      <w:r>
        <w:rPr>
          <w:rFonts w:ascii="Times New Roman" w:hAnsi="Times New Roman"/>
          <w:b w:val="false"/>
          <w:i w:val="false"/>
          <w:color w:val="000000"/>
          <w:sz w:val="22"/>
        </w:rPr>
        <w:t xml:space="preserve"> reserved for the current or future month’s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which are exempted for consideration as income and resources under subrule </w:t>
      </w:r>
      <w:hyperlink r:id="rId361">
        <w:r>
          <w:rPr>
            <w:rStyle w:val="Hyperlink"/>
            <w:rFonts w:ascii="Times New Roman" w:hAnsi="Times New Roman"/>
            <w:b w:val="false"/>
            <w:i w:val="false"/>
            <w:color w:val="000000"/>
            <w:sz w:val="22"/>
          </w:rPr>
          <w:t>75.57(6)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$1,500 in one funeral contract or burial trust for each member of the eligible group. Any amount in excess of $1,500 shall be counted toward resource limits unless it is established that the funeral contract or burial trust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burial plot for each member of the eligible group. A burial plot is defined as a conventional gravesite, crypt, mausoleum, urn, or other repository which is customarily and traditionally used for the remains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Settlements for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Life estates.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 payments in the month of receipt and the following month, regardless of whether these payments are received with the regular paychecks or as a lump sum with the federal or state 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balance in an individual development account (IDA), including interest earned on the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$10,000 for tools of the trade or capital assets of self-employed households.</w:t>
      </w:r>
    </w:p>
    <w:p>
      <w:pPr>
        <w:spacing w:before="0" w:after="0"/>
        <w:ind w:left="120"/>
        <w:jc w:val="both"/>
      </w:pPr>
      <w:r>
        <w:rPr>
          <w:rFonts w:ascii="Times New Roman" w:hAnsi="Times New Roman"/>
          <w:b w:val="false"/>
          <w:i w:val="false"/>
          <w:color w:val="000000"/>
          <w:sz w:val="22"/>
        </w:rPr>
        <w:t xml:space="preserve">When the value of any resource is exempted in part, that portion of the value which exceeds the exemption shall be considered in calculating whether the eligible group’s property is within the reserve defined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Nonhomestead property that produces income consistent with the property’s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75.56(2)</w:t>
      </w:r>
      <w:r>
        <w:rPr>
          <w:rFonts w:ascii="Times New Roman" w:hAnsi="Times New Roman"/>
          <w:b w:val="false"/>
          <w:i w:val="false"/>
          <w:color w:val="000000"/>
          <w:sz w:val="22"/>
        </w:rPr>
        <w:t> </w:t>
      </w:r>
      <w:r>
        <w:rPr>
          <w:rFonts w:ascii="Times New Roman" w:hAnsi="Times New Roman"/>
          <w:b w:val="false"/>
          <w:i/>
          <w:color w:val="000000"/>
          <w:sz w:val="22"/>
        </w:rPr>
        <w:t xml:space="preserve">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Resources of persons in the eligible group shall be considered in establishing property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of the parent who is living in the home with the eligible children but who is not eligible for Medicaid shall be considered in the same manner as if the parent were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of the stepparent living in the home shall not be considered when determining eligibility of the eligible group, with one exception: The resources of a stepparent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supplemental security income (SSI) members shall not be counted in establishing property limitations. When property is owned by both the SSI beneficiary and a Medicaid member in another eligible group, each shall be considered as having a half interest in order to determine the value of the resource, unless the terms of the deed or purchase contract clearly establish ownership on a different proportional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a nonparental specified relative who elects to be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75.56(3)</w:t>
      </w:r>
      <w:r>
        <w:rPr>
          <w:rFonts w:ascii="Times New Roman" w:hAnsi="Times New Roman"/>
          <w:b w:val="false"/>
          <w:i w:val="false"/>
          <w:color w:val="000000"/>
          <w:sz w:val="22"/>
        </w:rPr>
        <w:t> </w:t>
      </w:r>
      <w:r>
        <w:rPr>
          <w:rFonts w:ascii="Times New Roman" w:hAnsi="Times New Roman"/>
          <w:b w:val="false"/>
          <w:i/>
          <w:color w:val="000000"/>
          <w:sz w:val="22"/>
        </w:rPr>
        <w:t xml:space="preserve">Homestead defined. </w:t>
      </w:r>
      <w:r>
        <w:rPr>
          <w:rFonts w:ascii="Times New Roman" w:hAnsi="Times New Roman"/>
          <w:b w:val="false"/>
          <w:i w:val="false"/>
          <w:color w:val="000000"/>
          <w:sz w:val="22"/>
        </w:rPr>
        <w:t xml:space="preserve">The homestead consists of the house, used as a home, and may contain one or more contiguous lots or tracts of land, including buildings and appurtenances. When within a city plat, it shall not exceed ½ acre in area. When outside a city plat it shall not contain, in the aggregate, more than 40 acres. When property used as a home exceeds these limitations, the equity value of the excess property shall be determined in accordance with subrule </w:t>
      </w:r>
      <w:hyperlink r:id="rId362">
        <w:r>
          <w:rPr>
            <w:rStyle w:val="Hyperlink"/>
            <w:rFonts w:ascii="Times New Roman" w:hAnsi="Times New Roman"/>
            <w:b w:val="false"/>
            <w:i w:val="false"/>
            <w:color w:val="000000"/>
            <w:sz w:val="22"/>
          </w:rPr>
          <w:t>75.56(5)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75.56(4)</w:t>
      </w:r>
      <w:r>
        <w:rPr>
          <w:rFonts w:ascii="Times New Roman" w:hAnsi="Times New Roman"/>
          <w:b w:val="false"/>
          <w:i w:val="false"/>
          <w:color w:val="000000"/>
          <w:sz w:val="22"/>
        </w:rPr>
        <w:t> </w:t>
      </w:r>
      <w:r>
        <w:rPr>
          <w:rFonts w:ascii="Times New Roman" w:hAnsi="Times New Roman"/>
          <w:b w:val="false"/>
          <w:i/>
          <w:color w:val="000000"/>
          <w:sz w:val="22"/>
        </w:rPr>
        <w:t xml:space="preserve">Liquidation. </w:t>
      </w:r>
      <w:r>
        <w:rPr>
          <w:rFonts w:ascii="Times New Roman" w:hAnsi="Times New Roman"/>
          <w:b w:val="false"/>
          <w:i w:val="false"/>
          <w:color w:val="000000"/>
          <w:sz w:val="22"/>
        </w:rPr>
        <w:t>When proceeds from the sale of resources or conversion of a resource to cash, together with other nonexempted resources, exceed the property limitations, the member is ineligible to receive assistance until the amount in excess of the resource limitation has been expended unless immediately used to purchase a homestead, or reduce the mortgage on a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settlements. Property settlements which are part of a legal action in a dissolution of marriage or palimony suit are considered as resources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sold under installment contract. Property sold under an installment contract or held as security in exchange for a price consistent with its fair market value is exempt as a resource. If the price is not consistent with the contract’s fair market value, the resource value of the installment contract is the gross price for which it can be sold or discounted on the open market, less any legal debts, claims, or liens against the installment contract.</w:t>
      </w:r>
    </w:p>
    <w:p>
      <w:pPr>
        <w:spacing w:before="0" w:after="0"/>
        <w:ind w:left="120"/>
        <w:jc w:val="both"/>
      </w:pPr>
      <w:r>
        <w:rPr>
          <w:rFonts w:ascii="Times New Roman" w:hAnsi="Times New Roman"/>
          <w:b w:val="false"/>
          <w:i w:val="false"/>
          <w:color w:val="000000"/>
          <w:sz w:val="22"/>
        </w:rPr>
        <w:t xml:space="preserve">Payments from property sold under an installment contract are exempt as income as specified in paragraphs </w:t>
      </w:r>
      <w:hyperlink r:id="rId363">
        <w:r>
          <w:rPr>
            <w:rStyle w:val="Hyperlink"/>
            <w:rFonts w:ascii="Times New Roman" w:hAnsi="Times New Roman"/>
            <w:b w:val="false"/>
            <w:i w:val="false"/>
            <w:color w:val="000000"/>
            <w:sz w:val="22"/>
          </w:rPr>
          <w:t>75.57(1)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364">
        <w:r>
          <w:rPr>
            <w:rStyle w:val="Hyperlink"/>
            <w:rFonts w:ascii="Times New Roman" w:hAnsi="Times New Roman"/>
            <w:b w:val="false"/>
            <w:i w:val="false"/>
            <w:color w:val="000000"/>
            <w:sz w:val="22"/>
          </w:rPr>
          <w:t>75.57(7)</w:t>
        </w:r>
        <w:r>
          <w:rPr>
            <w:rFonts w:ascii="Times New Roman" w:hAnsi="Times New Roman"/>
            <w:b w:val="false"/>
            <w:i/>
            <w:color w:val="000000"/>
            <w:sz w:val="22"/>
          </w:rPr>
          <w:t>“ag.”</w:t>
        </w:r>
      </w:hyperlink>
      <w:r>
        <w:rPr>
          <w:rFonts w:ascii="Times New Roman" w:hAnsi="Times New Roman"/>
          <w:b w:val="false"/>
          <w:i w:val="false"/>
          <w:color w:val="000000"/>
          <w:sz w:val="22"/>
        </w:rPr>
        <w:t xml:space="preserve"> The portion of any payment received representing principal is considered a resource upon receipt.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75.56(5)</w:t>
      </w:r>
      <w:r>
        <w:rPr>
          <w:rFonts w:ascii="Times New Roman" w:hAnsi="Times New Roman"/>
          <w:b w:val="false"/>
          <w:i w:val="false"/>
          <w:color w:val="000000"/>
          <w:sz w:val="22"/>
        </w:rPr>
        <w:t> </w:t>
      </w:r>
      <w:r>
        <w:rPr>
          <w:rFonts w:ascii="Times New Roman" w:hAnsi="Times New Roman"/>
          <w:b w:val="false"/>
          <w:i/>
          <w:color w:val="000000"/>
          <w:sz w:val="22"/>
        </w:rPr>
        <w:t xml:space="preserve">Net market value defined. </w:t>
      </w:r>
      <w:r>
        <w:rPr>
          <w:rFonts w:ascii="Times New Roman" w:hAnsi="Times New Roman"/>
          <w:b w:val="false"/>
          <w:i w:val="false"/>
          <w:color w:val="000000"/>
          <w:sz w:val="22"/>
        </w:rPr>
        <w:t>Net market value is the gross price for which property or an item can currently be sold on the open market, less any legal debts, claims, or liens against the property or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75.56(6)</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resource must be available in order for it to be counted toward resource limitations. A resource is considered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owns the property in part or in full and has control over it. That is, it can be occupied, rented, leased, sold, or otherwise used or disposed of at the individual’s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has a legal interest in a liquidated sum and has the legal ability to make the sum available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property is owned by more than one person, unless otherwise established, it is assumed that all persons hold equal shares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owns nonhomestead property, the property shall be considered exempt for so long as the property is publicly advertised for sale at an asking price that is consistent with its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75.56(7)</w:t>
      </w:r>
      <w:r>
        <w:rPr>
          <w:rFonts w:ascii="Times New Roman" w:hAnsi="Times New Roman"/>
          <w:b w:val="false"/>
          <w:i w:val="false"/>
          <w:color w:val="000000"/>
          <w:sz w:val="22"/>
        </w:rPr>
        <w:t> </w:t>
      </w:r>
      <w:r>
        <w:rPr>
          <w:rFonts w:ascii="Times New Roman" w:hAnsi="Times New Roman"/>
          <w:b w:val="false"/>
          <w:i/>
          <w:color w:val="000000"/>
          <w:sz w:val="22"/>
        </w:rPr>
        <w:t xml:space="preserve">Damage judgments and insurance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an exempt resource shall be considered a resource to the applicant or member the month following the month the payment was received. When the applicant or member signs a legal binding commitment no later than the month after the month the payment was received, the funds shall be considered exempt for the duration of the commitment providing the terms of the commitment are met within eight months from the date of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 nonexempt resource shall be considered a resource in the month following the month in which payment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75.56(8)</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Conservatorships established prior to February 9, 1994. The department shall determine whether assets from a conservatorship, except one established solely for the payment of medical expenses, are available by examining the language of the order establishing the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shall be considered toward resource or income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department worker questions whether the funds in a conservatorship are available, the worker shall refer the conservatorship to the central office. When assets in the conservatorship are not clearly available, central office staff may contact the conservator and request that the funds in the conservatorship be made available for current support and maintenance. When the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in a conservatorship that are not clearly available shall be considered unavailable until the conservator or court actually makes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Conservatorships established on or after February 9, 1994. Conservatorships established on or after February 9, 1994, shall be treated according to the provisions of paragraphs </w:t>
      </w:r>
      <w:hyperlink r:id="rId365">
        <w:r>
          <w:rPr>
            <w:rStyle w:val="Hyperlink"/>
            <w:rFonts w:ascii="Times New Roman" w:hAnsi="Times New Roman"/>
            <w:b w:val="false"/>
            <w:i w:val="false"/>
            <w:color w:val="000000"/>
            <w:sz w:val="22"/>
          </w:rPr>
          <w:t>75.24(1)</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75.24(2)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75.56(9)</w:t>
      </w:r>
      <w:r>
        <w:rPr>
          <w:rFonts w:ascii="Times New Roman" w:hAnsi="Times New Roman"/>
          <w:b w:val="false"/>
          <w:i w:val="false"/>
          <w:color w:val="000000"/>
          <w:sz w:val="22"/>
        </w:rPr>
        <w:t> </w:t>
      </w:r>
      <w:r>
        <w:rPr>
          <w:rFonts w:ascii="Times New Roman" w:hAnsi="Times New Roman"/>
          <w:b w:val="false"/>
          <w:i/>
          <w:color w:val="000000"/>
          <w:sz w:val="22"/>
        </w:rPr>
        <w:t xml:space="preserve">Not considered a resource. </w:t>
      </w:r>
      <w:r>
        <w:rPr>
          <w:rFonts w:ascii="Times New Roman" w:hAnsi="Times New Roman"/>
          <w:b w:val="false"/>
          <w:i w:val="false"/>
          <w:color w:val="000000"/>
          <w:sz w:val="22"/>
        </w:rPr>
        <w:t>Inventories and supplies, exclusive of capital assets, that are required for self-employment shall not be considered a resource. Inventory is defined as all unsold items, whether raised or purchased, that are held for sale or use and shall include, but not be limited to, merchandise, grain held in storage and livestock raised for sale. Supplies are items necessary for the operation of the enterprise, such as lumber, paint, and seed. Capital assets are those assets which, if sold at a later date, could be used to claim capital gains or losses for federal income tax purposes. When self-employment is temporarily interrupted due to circumstances beyond the control of the household, such as illness, inventory or supplies retained by the household shall not be considered a resource.</w:t>
      </w:r>
    </w:p>
    <w:p>
      <w:pPr>
        <w:spacing w:before="0" w:after="0"/>
        <w:ind w:left="120"/>
        <w:jc w:val="both"/>
      </w:pPr>
      <w:r>
        <w:rPr>
          <w:rFonts w:ascii="Times New Roman" w:hAnsi="Times New Roman"/>
          <w:b/>
          <w:i w:val="false"/>
          <w:color w:val="000000"/>
          <w:sz w:val="22"/>
        </w:rPr>
        <w:t>441—75.57</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w:t>
      </w:r>
      <w:r>
        <w:rPr>
          <w:rFonts w:ascii="Times New Roman" w:hAnsi="Times New Roman"/>
          <w:b w:val="false"/>
          <w:i w:val="false"/>
          <w:color w:val="000000"/>
          <w:sz w:val="22"/>
        </w:rPr>
        <w:t>When determining initial and ongoing eligibility for the family medical assistance program (FMAP) and FMAP-related Medicaid coverage groups, all unearned and earned income, unless specifically exempted, disregarded, deducted for work expenses, or diverted as defined in these rules, shall be considered.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Unless otherwise specified at rule </w:t>
      </w:r>
      <w:hyperlink r:id="rId36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the determination of initial eligibility is a three-step process. Initial eligibility shall be granted only when (1) the countable gross nonexempt unearned and earned income received by the eligible group and available to meet the current month’s needs is no more than 185 percent of living costs as identified in the schedule of needs at subrule </w:t>
      </w:r>
      <w:hyperlink r:id="rId368">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1); (2) the countable net earned and unearned income is less than the schedule of living costs as identified in the schedule of needs at subrule </w:t>
      </w:r>
      <w:hyperlink r:id="rId369">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2); and (3) the countable net unearned and earned income, after applying allowable disregards, is less than the schedule of basic needs as identified at subrule </w:t>
      </w:r>
      <w:hyperlink r:id="rId370">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determination of continuing eligibility is a two-step process. Continuing eligibility shall be granted only when (1) countable gross nonexempt income, as described for initial eligibility, does not exceed 185 percent of the living costs as identified in the schedule of needs at subrule </w:t>
      </w:r>
      <w:hyperlink r:id="rId37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1); and (2) countable net unearned and earned income is less than the schedule of basic needs as identified in the schedule of needs at subrule </w:t>
      </w:r>
      <w:hyperlink r:id="rId372">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support assigned to the department in accordance with </w:t>
      </w:r>
      <w:hyperlink r:id="rId373">
        <w:r>
          <w:rPr>
            <w:rStyle w:val="Hyperlink"/>
            <w:rFonts w:ascii="Times New Roman" w:hAnsi="Times New Roman"/>
            <w:b w:val="false"/>
            <w:i w:val="false"/>
            <w:color w:val="000000"/>
            <w:sz w:val="22"/>
          </w:rPr>
          <w:t>441—subrule 41.22(7)</w:t>
        </w:r>
      </w:hyperlink>
      <w:r>
        <w:rPr>
          <w:rFonts w:ascii="Times New Roman" w:hAnsi="Times New Roman"/>
          <w:b w:val="false"/>
          <w:i w:val="false"/>
          <w:color w:val="000000"/>
          <w:sz w:val="22"/>
        </w:rPr>
        <w:t xml:space="preserve"> shall be considered unearned income for the purpose of determining continuing eligibility, except as specified at paragraphs </w:t>
      </w:r>
      <w:hyperlink r:id="rId374">
        <w:r>
          <w:rPr>
            <w:rStyle w:val="Hyperlink"/>
            <w:rFonts w:ascii="Times New Roman" w:hAnsi="Times New Roman"/>
            <w:b w:val="false"/>
            <w:i w:val="false"/>
            <w:color w:val="000000"/>
            <w:sz w:val="22"/>
          </w:rPr>
          <w:t>75.57(1)</w:t>
        </w:r>
        <w:r>
          <w:rPr>
            <w:rFonts w:ascii="Times New Roman" w:hAnsi="Times New Roman"/>
            <w:b w:val="false"/>
            <w:i/>
            <w:color w:val="000000"/>
            <w:sz w:val="22"/>
          </w:rPr>
          <w:t>“e,”</w:t>
        </w:r>
      </w:hyperlink>
      <w:r>
        <w:rPr>
          <w:rFonts w:ascii="Times New Roman" w:hAnsi="Times New Roman"/>
          <w:b w:val="false"/>
          <w:i w:val="false"/>
          <w:color w:val="000000"/>
          <w:sz w:val="22"/>
        </w:rPr>
        <w:t>75.57(6)</w:t>
      </w:r>
      <w:r>
        <w:rPr>
          <w:rFonts w:ascii="Times New Roman" w:hAnsi="Times New Roman"/>
          <w:b w:val="false"/>
          <w:i/>
          <w:color w:val="000000"/>
          <w:sz w:val="22"/>
        </w:rPr>
        <w:t>“u,”</w:t>
      </w:r>
      <w:r>
        <w:rPr>
          <w:rFonts w:ascii="Times New Roman" w:hAnsi="Times New Roman"/>
          <w:b w:val="false"/>
          <w:i w:val="false"/>
          <w:color w:val="000000"/>
          <w:sz w:val="22"/>
        </w:rPr>
        <w:t xml:space="preserve"> and </w:t>
      </w:r>
      <w:hyperlink r:id="rId375">
        <w:r>
          <w:rPr>
            <w:rStyle w:val="Hyperlink"/>
            <w:rFonts w:ascii="Times New Roman" w:hAnsi="Times New Roman"/>
            <w:b w:val="false"/>
            <w:i w:val="false"/>
            <w:color w:val="000000"/>
            <w:sz w:val="22"/>
          </w:rPr>
          <w:t>75.57(7)</w:t>
        </w:r>
        <w:r>
          <w:rPr>
            <w:rFonts w:ascii="Times New Roman" w:hAnsi="Times New Roman"/>
            <w:b w:val="false"/>
            <w:i/>
            <w:color w:val="000000"/>
            <w:sz w:val="22"/>
          </w:rPr>
          <w:t>“o.”</w:t>
        </w:r>
      </w:hyperlink>
      <w:r>
        <w:rPr>
          <w:rFonts w:ascii="Times New Roman" w:hAnsi="Times New Roman"/>
          <w:b w:val="false"/>
          <w:i w:val="false"/>
          <w:color w:val="000000"/>
          <w:sz w:val="22"/>
        </w:rPr>
        <w:t xml:space="preserve"> Expenses for care of children or disabled adults, deductions, and diversions shall be allowed when verification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unearned income, the amount considered will be the net income after the withholding of taxes (Federal Insurance Contribution Act, state and federal income taxes). Net unearned income shall be determined by deducting reasonable income-producing costs from the gross unearned income. Money left after this deduction shall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received for education or training. 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client sells property on contract, proceeds from the sale shall be considered exempt as income. The portion of any payment that represents principal is considered a resource upon receipt as defined in subrule </w:t>
      </w:r>
      <w:hyperlink r:id="rId376">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shall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nonexempt cash support payment, for a member of the eligible group, made while the application is pending shall be treated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payments shall be considered as unearned income in the month in which the IV-A agency (income maintenance) is notified of the payment by the IV-D agency (child support recovery unit).</w:t>
      </w:r>
    </w:p>
    <w:p>
      <w:pPr>
        <w:spacing w:before="0" w:after="0"/>
        <w:ind w:left="120"/>
        <w:jc w:val="both"/>
      </w:pPr>
      <w:r>
        <w:rPr>
          <w:rFonts w:ascii="Times New Roman" w:hAnsi="Times New Roman"/>
          <w:b w:val="false"/>
          <w:i w:val="false"/>
          <w:color w:val="000000"/>
          <w:sz w:val="22"/>
        </w:rPr>
        <w:t>The amount of income to consider shall be the actual amount paid or the monthly entitlement,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payments reported by child support recovery during a past month for which eligibility is being determined shall be used to determine eligibility for the month. Support payments anticipated to be received in future months shall be used to determine eligibility for future months. When support payments terminate in the month of decision of an FMAP-related Medicaid application, both support payments already received and support payments anticipated to be received in the month of decision shall be used to determine eligibility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reported support payment, combined with other income, creates ineligibility under the current coverage group, an automatic redetermination of eligibility shall be conducted in accordance with the provisions of rule </w:t>
      </w:r>
      <w:hyperlink r:id="rId377">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 xml:space="preserve">(249A). Persons receiving Medicaid under the family medical assistance program in accordance with subrule </w:t>
      </w:r>
      <w:hyperlink r:id="rId37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may be entitled to continued coverage under the provisions of subrule </w:t>
      </w:r>
      <w:hyperlink r:id="rId379">
        <w:r>
          <w:rPr>
            <w:rStyle w:val="Hyperlink"/>
            <w:rFonts w:ascii="Times New Roman" w:hAnsi="Times New Roman"/>
            <w:b w:val="false"/>
            <w:i w:val="false"/>
            <w:color w:val="000000"/>
            <w:sz w:val="22"/>
          </w:rPr>
          <w:t>75.1(21)</w:t>
        </w:r>
      </w:hyperlink>
      <w:r>
        <w:rPr>
          <w:rFonts w:ascii="Times New Roman" w:hAnsi="Times New Roman"/>
          <w:b w:val="false"/>
          <w:i w:val="false"/>
          <w:color w:val="000000"/>
          <w:sz w:val="22"/>
        </w:rPr>
        <w:t>. Eligibility may be reestablished for any month in which the countable support payment combined with other income meets the eligibility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shall cooperate in supplying verification of all unearned income and of any change in income, as defined at rule </w:t>
      </w:r>
      <w:hyperlink r:id="rId380">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information is available, the department shall verify job insurance benefits by using information supplied to the department by Iowa workforce development. When the department uses this information as verification, job insurance benefits shall be considered received the second day after the date that the check was mailed by Iowa workforce development. When the second day falls on a Sunday or federal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client notifies the department that the amount of job insurance benefits used is incorrect, the client shall be allowed to verify the discrepancy. The client must report the discrepancy before the eligibility month or within ten days of the date on the Notice of Decision, Form 470-0485, 470-0485(S), 470-0486, or 470-0486(S), applicable to the eligibility month,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75.57(2)</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Earned income is defined as income in the form of a salary, wages, tips, bonuses, commission earned as an employee, income from Job Corps, or profit from self-employment. Earned income from commissions, wages, tips, bonuses, Job Corps, or salary means the total gross amount irrespective of the expenses of employment. With respect to self-employment, earned income means the net profit from self-employment, defined as gross income less the allowable costs of producing the income. Income shall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in the assistance unit whose gross nonexempt earned income, earned as an employee or net profit from self-employment, considered in determining eligibility is entitled to one 20 percent earned income deduction of nonexempt monthly gross earnings. The deduction is intended to include work-related expenses other than child care. These expenses shall include, but are not limited to, all of the following: taxes, transportation, meals, uniforms, and other work-related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in the assistance unit is entitled to a deduction for care expenses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in the eligible group and excluded parents shall be allowed care expenses for a child or incapacitated adult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Stepparents as described at paragraph </w:t>
      </w:r>
      <w:hyperlink r:id="rId381">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self-supporting parents on underage parent cases as described at paragraph </w:t>
      </w:r>
      <w:hyperlink r:id="rId382">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allowed incapacitated adult care or child care expenses for the ineligible dependents of the stepparent or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both parents are in the home and one parent is physically and mentally able to provide the care, child care or care for an incapacitated adult shall be considered a work expense in the amount paid for care of each child or incapacitated adult, not to exceed $175 per month, or $200 per month for a child under the age of two, or the going rate in the community,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parents are in the home, adult or child care expenses shall not be allowed when one parent is unemployed and is physically and mentally able to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deduction is allowable only when the care covers the actual hours of the individual’s employment plus a reasonable period of time for commuting; or the period of time when the individual who would normally care for the child or incapacitated adult is employed at such hours that the individual is required to sleep during the waking hours of the child or incapacitated adult, excluding any hours a child is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special needs of a physically or mentally handicapped child or adult shall be taken into consideration in determining the deduction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amount claimed is questionable, the expense shall be verified by a receipt or a statement from the provider of care. The expense shall be allowed when paid to any person except a parent or legal guardian of the child, another member of the eligible group, or any person whose needs are met by diversion of income from any person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Work incentive disregard. After deducting the allowable work-related expenses as defined at paragraphs </w:t>
      </w:r>
      <w:hyperlink r:id="rId383">
        <w:r>
          <w:rPr>
            <w:rStyle w:val="Hyperlink"/>
            <w:rFonts w:ascii="Times New Roman" w:hAnsi="Times New Roman"/>
            <w:b w:val="false"/>
            <w:i w:val="false"/>
            <w:color w:val="000000"/>
            <w:sz w:val="22"/>
          </w:rPr>
          <w:t>75.57(2)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income diversions as defined at subrule </w:t>
      </w:r>
      <w:hyperlink r:id="rId385">
        <w:r>
          <w:rPr>
            <w:rStyle w:val="Hyperlink"/>
            <w:rFonts w:ascii="Times New Roman" w:hAnsi="Times New Roman"/>
            <w:b w:val="false"/>
            <w:i w:val="false"/>
            <w:color w:val="000000"/>
            <w:sz w:val="22"/>
          </w:rPr>
          <w:t>75.57(4)</w:t>
        </w:r>
      </w:hyperlink>
      <w:r>
        <w:rPr>
          <w:rFonts w:ascii="Times New Roman" w:hAnsi="Times New Roman"/>
          <w:b w:val="false"/>
          <w:i w:val="false"/>
          <w:color w:val="000000"/>
          <w:sz w:val="22"/>
        </w:rPr>
        <w:t xml:space="preserve">, 58 percent of the total of the remaining monthly nonexempt earned income, earned as an employee or the net profit from self-employment, of each person whose income must be considered is disregarded in determining eligibility for the family medical assistance program (FMAP) and those FMAP-related coverage groups subject to the three-step process for determining initial eligibility as described at rule </w:t>
      </w:r>
      <w:hyperlink r:id="rId38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 incentive disregard is not time-limited.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eligibility under the first two steps of the three-step process is determined without the application of the work incentive disregard as described at subparagraphs </w:t>
      </w:r>
      <w:hyperlink r:id="rId387">
        <w:r>
          <w:rPr>
            <w:rStyle w:val="Hyperlink"/>
            <w:rFonts w:ascii="Times New Roman" w:hAnsi="Times New Roman"/>
            <w:b w:val="false"/>
            <w:i w:val="false"/>
            <w:color w:val="000000"/>
            <w:sz w:val="22"/>
          </w:rPr>
          <w:t>75.57(9)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eligible for Medicaid because the person has refused to cooperate in applying for or accepting benefits from other sources, in accordance with the provisions of rule </w:t>
      </w:r>
      <w:hyperlink r:id="rId388">
        <w:r>
          <w:rPr>
            <w:rStyle w:val="Hyperlink"/>
            <w:rFonts w:ascii="Times New Roman" w:hAnsi="Times New Roman"/>
            <w:b w:val="false"/>
            <w:i w:val="false"/>
            <w:color w:val="000000"/>
            <w:sz w:val="22"/>
          </w:rPr>
          <w:t>441—75.2</w:t>
        </w:r>
      </w:hyperlink>
      <w:r>
        <w:rPr>
          <w:rFonts w:ascii="Times New Roman" w:hAnsi="Times New Roman"/>
          <w:b w:val="false"/>
          <w:i w:val="false"/>
          <w:color w:val="000000"/>
          <w:sz w:val="22"/>
        </w:rPr>
        <w:t xml:space="preserve">(249A), </w:t>
      </w:r>
      <w:hyperlink r:id="rId38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39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is eligible for the work incentive disregard.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is considered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net profit from self-employment income in a non-home-based operation shall be determined by deducting only the following expenses that are directly related to the production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 of the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shelter in the form of rent, the interest on mortgage or contract payments; taxes;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Insurance on the real or personal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cost of any repairs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of any travel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expense directly related to the production of income, except the purchase of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client is renting out apartments in the client’s home, the following shall be deducted from the gross rentals received to determine the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expense in excess of that set forth on the chart of basic needs components at subrule </w:t>
      </w:r>
      <w:hyperlink r:id="rId39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portion of expense for utilities furnished to tenants which exceeds the amount set forth on the chart of basic needs components at subrule </w:t>
      </w:r>
      <w:hyperlink r:id="rId392">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percent of gross rentals to cover the cost of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furnishing board, room, operating a family-life home, or providing nursing care, the following amounts shall be deducted from the payments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$41 plus an amount equivalent to the monthly maximum food assistance program benefit for a one-member household for a boarder and roomer or an individual in the home to receive nursing care, or $41 for a roomer, or an amount equivalent to the monthly maximum food assistance program benefit for a one-member household for a boarder.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payment to cover the cost of upkeep for individuals receiving a room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Gross income from providing child care in the applicant’s or member’s own home shall include the total payments received for the service and any payment received due to the Child Nutrition Amendments of 1978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providing child care services in the applicant’s or member’s own home, 40 percent of the total gross income received shall be deducted to cover the costs of producing the income, unless the applicant or member requests to have actual expenses in excess of the 40 percent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member requests to have expenses in excess of the 40 percent considered, profit shall be determined in the same manner as specified at paragraph </w:t>
      </w:r>
      <w:hyperlink r:id="rId393">
        <w:r>
          <w:rPr>
            <w:rStyle w:val="Hyperlink"/>
            <w:rFonts w:ascii="Times New Roman" w:hAnsi="Times New Roman"/>
            <w:b w:val="false"/>
            <w:i w:val="false"/>
            <w:color w:val="000000"/>
            <w:sz w:val="22"/>
          </w:rPr>
          <w:t>75.57(2)</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for a self-employed enterprise in the home other than providing room and board, renting apartments or providing child care services, the following expenses shall be deducted from the income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 and any insurance on such machinery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gross income to cover the costs of upkeep when the work is performed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direct cost involved in the production of the income, except the purchase of capital equipment and payment on the principal of loans for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member shall cooperate in supplying verification of all earned income and of any change in income, as defined at rule </w:t>
      </w:r>
      <w:hyperlink r:id="rId394">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A self-employed applicant or member shall keep any records necessary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75.57(3)</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When an applicant or member shares living arrangements with another family or person, funds combined to meet mutual obligations for shelter and other basic needs are not income. Funds made available to the applicant or member, exclusively for the applicant’s or member’s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75.57(4)</w:t>
      </w:r>
      <w:r>
        <w:rPr>
          <w:rFonts w:ascii="Times New Roman" w:hAnsi="Times New Roman"/>
          <w:b w:val="false"/>
          <w:i w:val="false"/>
          <w:color w:val="000000"/>
          <w:sz w:val="22"/>
        </w:rPr>
        <w:t> </w:t>
      </w:r>
      <w:r>
        <w:rPr>
          <w:rFonts w:ascii="Times New Roman" w:hAnsi="Times New Roman"/>
          <w:b w:val="false"/>
          <w:i/>
          <w:color w:val="000000"/>
          <w:sz w:val="22"/>
        </w:rPr>
        <w:t xml:space="preserve">Diversion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Nonexempt earned and unearned income of the parent shall be diverted to meet the unmet needs of the ineligible children of the parent living in the family group who meet the age and school attendance requirements specified in subrule </w:t>
      </w:r>
      <w:hyperlink r:id="rId395">
        <w:r>
          <w:rPr>
            <w:rStyle w:val="Hyperlink"/>
            <w:rFonts w:ascii="Times New Roman" w:hAnsi="Times New Roman"/>
            <w:b w:val="false"/>
            <w:i w:val="false"/>
            <w:color w:val="000000"/>
            <w:sz w:val="22"/>
          </w:rPr>
          <w:t>75.54(1)</w:t>
        </w:r>
      </w:hyperlink>
      <w:r>
        <w:rPr>
          <w:rFonts w:ascii="Times New Roman" w:hAnsi="Times New Roman"/>
          <w:b w:val="false"/>
          <w:i w:val="false"/>
          <w:color w:val="000000"/>
          <w:sz w:val="22"/>
        </w:rPr>
        <w:t xml:space="preserve">. Income of the parent shall be diverted to meet the unmet needs of the ineligible children of the parent and a companion in the home only when the income and resources of the companion and the children are within family medical assistance program standards. The maximum income that shall be diverted to meet the needs of the ineligible children shall be the difference between the needs of the eligible group if the ineligible children were included and the needs of the eligible group with the ineligible children excluded, except as specified at paragraph </w:t>
      </w:r>
      <w:hyperlink r:id="rId396">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Nonexempt earned and unearned income of the parent shall be diverted to permit payment of court-ordered support to children not living with the parent when the payment is actually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75.57(5)</w:t>
      </w:r>
      <w:r>
        <w:rPr>
          <w:rFonts w:ascii="Times New Roman" w:hAnsi="Times New Roman"/>
          <w:b w:val="false"/>
          <w:i w:val="false"/>
          <w:color w:val="000000"/>
          <w:sz w:val="22"/>
        </w:rPr>
        <w:t> </w:t>
      </w:r>
      <w:r>
        <w:rPr>
          <w:rFonts w:ascii="Times New Roman" w:hAnsi="Times New Roman"/>
          <w:b w:val="false"/>
          <w:i/>
          <w:color w:val="000000"/>
          <w:sz w:val="22"/>
        </w:rPr>
        <w:t xml:space="preserve">Income of unmarried specified relatives under the age of 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of the unmarried specified relative under the age of 19 when that specified relative lives with a parent who receives coverage under family medical assistance-related programs or lives with a nonparental relative or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who is also an eligible child in the eligible group of the specified relative’s parent shall be treated in the same manner as that of any other child. The income for the unmarried, underage specified relative who is not an eligible child in the eligible group of the specified relative’s parent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living with a nonparental relative or in an independent living arrangement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of the unmarried specified relative under the age of 19 who lives in the same home as a self-supporting parent. The income of the unmarried specified relative under the age of 19 living in the same home as a self-supporting parent shall be treated in accordance with subparagraphs (1), (2), and (3)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under the age of 18 and not a parent of the dependent child, the income of the specified relative shall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unmarried specified relative is under the age of 18 and a parent of the dependent child, the income of the specified relative shall be treated in the same manner as though the specified relative had attained majority. The income of the specified relative’s self-supporting parents shall be treated in accordance with paragraph </w:t>
      </w:r>
      <w:hyperlink r:id="rId397">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18 years of age, the specified relative’s income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75.57(6)</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and resources. </w:t>
      </w:r>
      <w:r>
        <w:rPr>
          <w:rFonts w:ascii="Times New Roman" w:hAnsi="Times New Roman"/>
          <w:b w:val="false"/>
          <w:i w:val="false"/>
          <w:color w:val="000000"/>
          <w:sz w:val="22"/>
        </w:rPr>
        <w:t>The following shall be exempt as income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reserves from home-produced garden products, orchards, domestic animals, and the like, when used by the household for its own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 of the food assistance program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the United States Department of Agriculture donated foods (surplus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received under the Child Nutrition Act and the special food service program for children under the National School Lunch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benefits received under Title III-C, Nutrition Program for the Elderly, of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Benefits paid to eligible households under the Low Income Home Energy Assistance Act of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payment received under Title II of the Uniform Relocation Assistance and Real Property Acquisition Policies Act of 1970 and the Federal-Aid Highway Act of 1968.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judgment funds that have been or will be distributed per capita or held in trust for members of any Indian tribe. When the payment, in all or part, is converted to another type of resource, that resource is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to volunteers participating in the Volunteers in Service to America (VISTA) program, except that this exemption will not be applied when the director of ACTION determines that the value of all VISTA payments, adjusted to reflect the number of hours the volunteers are serving, is equivalent to or greater than the minimum wage then in effect under the Fair Labor Standards Act of 1938, or the minimum wage under the laws of the state where the volunteers are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for supporting services or reimbursement of out-of-pocket expenses received by volunteers in any of the programs established under Titles II and III of the Domestic Volunteer Services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Tax-exempt portions of payments made pursuant to the Alaskan Native Claims Settlement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Experimental housing allowance program payments made under annual contribution contracts entered into prior to January 1, 1975, under Section 23 of the U.S. Housing Act of 1936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income of a supplemental security income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Income of an ineligible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Income in-kind.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Family support subsidy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Grants obtained and used under conditions that preclude their use for current living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All earned and unearned educational funds of an undergraduate or graduate student or a person in training. Any extended social security or veterans benefits received by a parent or nonparental relative as defined at subrule </w:t>
      </w:r>
      <w:hyperlink r:id="rId398">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conditional to school attendance, shall be exempt. However, any additional amount received for the person’s dependents who are in the eligible group shall be counted as nonexempt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Subsidized guardianship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income restricted by law or regulation which is paid to a representative payee living outside the home, unless the income is actually made available to the applicant or member by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first $50 received by the eligible group which represents a current monthly support obligation or a voluntary support payment, paid by a legally responsible individual, but in no case shall the total amount exempted exceed $50 per month per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Bona fide loans. Evidence of a bona fide loan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is obtained from an institution or person engaged in the business of making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written agreement to repay the money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loan is obtained from a person not normally engaged in the business of making a loan, there is borrower’s acknowledgment of obligation to repay (with or without interest), or the borrower expresses intent to repay the loan when funds become available in the future, or there is a timetable and plan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Payments made from the Agent Orange Settlement Fund or any other fund established pursuant to the settlement in the In re Agent Orange product liability litigation, M.D.L.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381 (E.D.N.Y.).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income of a person ineligible due to receipt of state-funded foster care, IV-E foster care, or subsidized adoption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Payments made to certain United States citizens of Japanese ancestry and resident Japanese aliens under Section 105 of Public Law 100-383, and payments made to certain eligible Aleuts under Section 206 of Public Law 100-383, entitled “Wartime Relocation of Civilians.”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Radiation Exposure Compensation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Deposits into an individual development account (IDA) when determining eligibility. The amount of the deposit is exempt as income and shall not be used in the 185 percent eligibility test. Deposits shall be deducted from nonexempt earned and unearned income beginning with the month following the month in which verification that deposits have begun is received. The client shall be allowed a deduction only when the deposit is made from the client’s money. The earned income deductions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applied to nonexempt earnings from employment or net profit from self-employment that remains after deducting the amount deposited into the account. Allowable deductions shall be applied to any nonexempt unearned income that remains after deducting the amount of the deposit. If the client has both nonexempt earned and unearned income, the amount deposited into the IDA account shall first be deducted from the client’s nonexempt unearned income. Deposits shall not be deducted from earned or unearned income that is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75.57(7)</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w:t>
      </w:r>
      <w:r>
        <w:rPr>
          <w:rFonts w:ascii="Times New Roman" w:hAnsi="Times New Roman"/>
          <w:b w:val="false"/>
          <w:i w:val="false"/>
          <w:color w:val="000000"/>
          <w:sz w:val="22"/>
        </w:rPr>
        <w:t>The following are exempt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Reimbursements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a job-related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nonrecurring lump sum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Settlements for the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Refunds of security deposits on rental property or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received and expended for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both received and expended for the repair or replacement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received by the family for providing foster care when the family is operating a licensed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small monetary nonrecurring gift, such as a Christmas, birthday or graduation gift, not to exceed $30 per person per calendar quarter.</w:t>
      </w:r>
    </w:p>
    <w:p>
      <w:pPr>
        <w:spacing w:before="0" w:after="0"/>
        <w:ind w:left="120"/>
        <w:jc w:val="both"/>
      </w:pPr>
      <w:r>
        <w:rPr>
          <w:rFonts w:ascii="Times New Roman" w:hAnsi="Times New Roman"/>
          <w:b w:val="false"/>
          <w:i w:val="false"/>
          <w:color w:val="000000"/>
          <w:sz w:val="22"/>
        </w:rPr>
        <w:t>When a monetary gift from any one source is in excess of $30, the total gift is countable as unearned income. When monetary gifts from several sources are each $30 or less, and the total of all gifts exceeds $30, only the amount in excess of $30 is countable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Supplementation from county funds,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assistance does not duplicate any of the basic needs as recognized by the chart of basic needs components in accordance with subrule </w:t>
      </w:r>
      <w:hyperlink r:id="rId399">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assistance, if a duplication of any of the basic needs, is made on an emergency basis, not as ongoing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payment received as a result of an urban renewal or low-cost housing project from any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family investment program (FIP)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division of vocational rehabilitation,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Payments from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Payments from passengers in a car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Support refunded by the child support recovery unit for the first month of termination of eligibility and the family does not receive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of a nonparental relative as defined at subrule </w:t>
      </w:r>
      <w:hyperlink r:id="rId400">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except when the relative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Compensation in lieu of wages received by a child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amount for training expenses included in a payment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of a person aged 19 or younger who is a full-time student as defined at subparagraphs </w:t>
      </w:r>
      <w:hyperlink r:id="rId401">
        <w:r>
          <w:rPr>
            <w:rStyle w:val="Hyperlink"/>
            <w:rFonts w:ascii="Times New Roman" w:hAnsi="Times New Roman"/>
            <w:b w:val="false"/>
            <w:i w:val="false"/>
            <w:color w:val="000000"/>
            <w:sz w:val="22"/>
          </w:rPr>
          <w:t>75.54(1)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The exemption applies through the entire month of the person’s twentieth birthday.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the twentieth birthday falls on the first day of the month, the exemption stops on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attributed to an unmarried, underage parent in accordance with paragraph </w:t>
      </w:r>
      <w:hyperlink r:id="rId402">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effective the first day of the month following the month in which the unmarried, underage parent turns age 18 or reaches majority through marriage. When the unmarried, underage parent turns 18 on the first day of a month, the income of the self-supporting parents becomes exempt as of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Incentive payments received from participation in the adolescent pregnancy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comprehensive child development program, funded by the Administration for Children, Youth, and Families,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Incentive allowance payments received from the work force investment project,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Interest and dividend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Honorarium income. All moneys paid to an eligible household in connection with the welfare reform demonstration longitudinal study or focus groups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that an individual contributes to a trust as specified at paragraph </w:t>
      </w:r>
      <w:hyperlink r:id="rId403">
        <w:r>
          <w:rPr>
            <w:rStyle w:val="Hyperlink"/>
            <w:rFonts w:ascii="Times New Roman" w:hAnsi="Times New Roman"/>
            <w:b w:val="false"/>
            <w:i w:val="false"/>
            <w:color w:val="000000"/>
            <w:sz w:val="22"/>
          </w:rPr>
          <w:t>75.24(3)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not be considered for purposes of determining eligibility for the family medical assistance program (FMAP) or FMAP-related Medicaid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Benefits paid to the eligible household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Moneys received through the pilot self-sufficiency grants program or through the pilot diversion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Earnings from new employment of any person whose income is considered when determining eligibility during the first four calendar months of the new employment. The date the new employment or self-employment begins shall be verified before approval of the exemption. This four-month period shall be referred to as the work transition period (WTP).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exempt period starts the first day of the month in which the client receives the first pay from the new employment and continues through the next three benefit months, regardless if the job ends during the four-month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for this disregard, the person shall not have earned more than $1,200 in the 12 calendar months prior to the month in which the new job begins, the income must be reported timely in accordance with rule </w:t>
      </w:r>
      <w:hyperlink r:id="rId404">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 xml:space="preserve">(249A), and the new job must have started after the date the application is filed. For purposes of this policy, the $1,200 earnings limit applies to the gross amount of income without any allowance for exemptions, disregards, work deductions, diversions, or the costs of doing business used in determining net profit from any income test in rule </w:t>
      </w:r>
      <w:hyperlink r:id="rId405">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another new job or self-employment enterprise starts while a WTP is in progress, the exemption shall also be applied to earnings from the new source that are received during the original 4-month period, provided that the earnings were less than $1,200 in the 12-month period before the month the other new job or self-employment enterprise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individual is allowed the 4-month exemption period only once in a 12-month period. An additional 4-month exemption shall not be granted until the month after the previous 12-month period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person whose income is considered enters the household, the new job must start after the date the person enters the home or after the person is reported in the home, whichever is later, in order for that person to qualify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a person living in the home whose income is not considered subsequently becomes an assistance unit member whose income is considered, the new job must start after the date of the change that causes the person’s income to be considered in order for that person to qualify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person who begins new employment or self-employment that is intermittent in nature may qualify for the WTP. “Intermittent” includes, but is not limited to, working for a temporary agency that places the person in different job assignments on an as-needed or on-call basis, or self-employment from providing child care for one or more families. However, a person is not considered as starting new employment or self-employment each time intermittent employment restarts or changes such as when the same temporary agency places the person in a new assignment or a child care provider acquires another child care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from property sold under an installment contract as specified in paragraphs </w:t>
      </w:r>
      <w:hyperlink r:id="rId406">
        <w:r>
          <w:rPr>
            <w:rStyle w:val="Hyperlink"/>
            <w:rFonts w:ascii="Times New Roman" w:hAnsi="Times New Roman"/>
            <w:b w:val="false"/>
            <w:i w:val="false"/>
            <w:color w:val="000000"/>
            <w:sz w:val="22"/>
          </w:rPr>
          <w:t>75.56(4)</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07">
        <w:r>
          <w:rPr>
            <w:rStyle w:val="Hyperlink"/>
            <w:rFonts w:ascii="Times New Roman" w:hAnsi="Times New Roman"/>
            <w:b w:val="false"/>
            <w:i w:val="false"/>
            <w:color w:val="000000"/>
            <w:sz w:val="22"/>
          </w:rPr>
          <w:t>75.57(1)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All 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received through participation in the preparation for adult living program pursuant to </w:t>
      </w:r>
      <w:hyperlink r:id="rId408">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75.57(8)</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stepparent cases, and underage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w:t>
      </w:r>
      <w:r>
        <w:rPr>
          <w:rFonts w:ascii="Times New Roman" w:hAnsi="Times New Roman"/>
          <w:b w:val="false"/>
          <w:i w:val="false"/>
          <w:color w:val="000000"/>
          <w:sz w:val="22"/>
        </w:rPr>
        <w:t>A parent who is living in the home with the eligible children but who is not eligible for Medicaid is eligible for the 20 percent earned income deduction, child care expenses for children in the eligible group, the 58 percent work incentive disregard described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at subrule </w:t>
      </w:r>
      <w:hyperlink r:id="rId409">
        <w:r>
          <w:rPr>
            <w:rStyle w:val="Hyperlink"/>
            <w:rFonts w:ascii="Times New Roman" w:hAnsi="Times New Roman"/>
            <w:b w:val="false"/>
            <w:i w:val="false"/>
            <w:color w:val="000000"/>
            <w:sz w:val="22"/>
          </w:rPr>
          <w:t>75.57(4)</w:t>
        </w:r>
      </w:hyperlink>
      <w:r>
        <w:rPr>
          <w:rFonts w:ascii="Times New Roman" w:hAnsi="Times New Roman"/>
          <w:b w:val="false"/>
          <w:i w:val="false"/>
          <w:color w:val="000000"/>
          <w:sz w:val="22"/>
        </w:rPr>
        <w:t>. All remaining nonexempt income of the parent shall be applied against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stepparent cases. </w:t>
      </w:r>
      <w:r>
        <w:rPr>
          <w:rFonts w:ascii="Times New Roman" w:hAnsi="Times New Roman"/>
          <w:b w:val="false"/>
          <w:i w:val="false"/>
          <w:color w:val="000000"/>
          <w:sz w:val="22"/>
        </w:rPr>
        <w:t>The income of a stepparent who is not included in the eligible group but who is living with the parent in the home of an eligible child shall be given the same consideration and treatment as that of a parent subject to the limitations of subparagraphs (1) through (10)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stepparent’s monthly gross nonexempt earned income, earned as an employee or monthly net profit from self-employment, shall receive a 20 percent earned income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stepparent’s monthly nonexempt earned income remaining after the 20 percent earned income deduction shall be allowed child care expenses for the stepparent’s ineligible dependents in the home, subject to the restrictions described at subparagraphs </w:t>
      </w:r>
      <w:hyperlink r:id="rId410">
        <w:r>
          <w:rPr>
            <w:rStyle w:val="Hyperlink"/>
            <w:rFonts w:ascii="Times New Roman" w:hAnsi="Times New Roman"/>
            <w:b w:val="false"/>
            <w:i w:val="false"/>
            <w:color w:val="000000"/>
            <w:sz w:val="22"/>
          </w:rPr>
          <w:t>75.57(2)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amounts actually paid by the stepparent to individuals not living in the home, who are claimed or could be claimed by the stepparent as dependents for federal income tax purposes, shall be deducted from nonexempt monthly earned and unearned income of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shall also be allowed a deduction from nonexempt monthly earned and unearned income for alimony and child support payments made to individuals not living in the home with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at subrule </w:t>
      </w:r>
      <w:hyperlink r:id="rId411">
        <w:r>
          <w:rPr>
            <w:rStyle w:val="Hyperlink"/>
            <w:rFonts w:ascii="Times New Roman" w:hAnsi="Times New Roman"/>
            <w:b w:val="false"/>
            <w:i w:val="false"/>
            <w:color w:val="000000"/>
            <w:sz w:val="22"/>
          </w:rPr>
          <w:t>75.57(10)</w:t>
        </w:r>
      </w:hyperlink>
      <w:r>
        <w:rPr>
          <w:rFonts w:ascii="Times New Roman" w:hAnsi="Times New Roman"/>
          <w:b w:val="false"/>
          <w:i w:val="false"/>
          <w:color w:val="000000"/>
          <w:sz w:val="22"/>
        </w:rPr>
        <w:t xml:space="preserve">, the nonexempt monthly earned and unearned income of the stepparent remaining after application of the deductions at subparagraphs </w:t>
      </w:r>
      <w:hyperlink r:id="rId412">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above shall be used to meet the needs of the stepparent and the stepparent’s dependents living in the home, when the dependents’ needs are not included in the eligible group and the stepparent claims or could claim the dependents for federal income tax purposes. These needs shall be determined in accordance with the schedule of needs for a family group of the same composition in accordance with subrule </w:t>
      </w:r>
      <w:hyperlink r:id="rId413">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 shall be allowed the 58 percent work incentive disregard from monthly earnings. The disregard shall be applied to earnings that remain after all other deductions at subparagraphs </w:t>
      </w:r>
      <w:hyperlink r:id="rId414">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 have been subtracted from the earnings. However, the work incentive disregard is not allowed when determining initial eligibility as described at subparagraphs </w:t>
      </w:r>
      <w:hyperlink r:id="rId415">
        <w:r>
          <w:rPr>
            <w:rStyle w:val="Hyperlink"/>
            <w:rFonts w:ascii="Times New Roman" w:hAnsi="Times New Roman"/>
            <w:b w:val="false"/>
            <w:i w:val="false"/>
            <w:color w:val="000000"/>
            <w:sz w:val="22"/>
          </w:rPr>
          <w:t>75.57(9)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deductions described in subparagraphs (1) through (6) shall first be subtracted from earned income in the same order as they appear above.</w:t>
      </w:r>
    </w:p>
    <w:p>
      <w:pPr>
        <w:spacing w:before="0" w:after="0"/>
        <w:ind w:left="120"/>
        <w:jc w:val="both"/>
      </w:pPr>
      <w:r>
        <w:rPr>
          <w:rFonts w:ascii="Times New Roman" w:hAnsi="Times New Roman"/>
          <w:b w:val="false"/>
          <w:i w:val="false"/>
          <w:color w:val="000000"/>
          <w:sz w:val="22"/>
        </w:rPr>
        <w:t>When the stepparent has both nonexempt earned and unearned income and earnings are less than the allowable deductions, then any remaining portion of the deductions in subparagraphs (3) through (5) shall be subtracted from unearned income. Any remaining income shall be applied as unearned income to the needs of the eligible group.</w:t>
      </w:r>
    </w:p>
    <w:p>
      <w:pPr>
        <w:spacing w:before="0" w:after="0"/>
        <w:ind w:left="120"/>
        <w:jc w:val="both"/>
      </w:pPr>
      <w:r>
        <w:rPr>
          <w:rFonts w:ascii="Times New Roman" w:hAnsi="Times New Roman"/>
          <w:b w:val="false"/>
          <w:i w:val="false"/>
          <w:color w:val="000000"/>
          <w:sz w:val="22"/>
        </w:rPr>
        <w:t>If the stepparent has earned income remaining after allowable deductions, then any nonexempt unearned income shall be added to the earnings and the resulting total counted as unearned income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nonexempt, nonrecurring lump sum received by a stepparent shall be considered as income and counted in computing eligibility in the same manner as it would be treated for a parent. Any portion of the nonrecurring lump sum retained by the stepparent in the month following the month of receipt shall be considered a resource to the stepparent if that portion is not exempted according to paragraph </w:t>
      </w:r>
      <w:hyperlink r:id="rId416">
        <w:r>
          <w:rPr>
            <w:rStyle w:val="Hyperlink"/>
            <w:rFonts w:ascii="Times New Roman" w:hAnsi="Times New Roman"/>
            <w:b w:val="false"/>
            <w:i w:val="false"/>
            <w:color w:val="000000"/>
            <w:sz w:val="22"/>
          </w:rPr>
          <w:t>75.56(1)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income of the stepparent, not in the eligible group, is insufficient to meet the needs of the stepparent and the stepparent’s dependents living in the home who are not eligible for FMAP-related Medicaid, the income of the parent may be diverted to meet the unmet needs of the children of the current marriage except as described at subrule </w:t>
      </w:r>
      <w:hyperlink r:id="rId417">
        <w:r>
          <w:rPr>
            <w:rStyle w:val="Hyperlink"/>
            <w:rFonts w:ascii="Times New Roman" w:hAnsi="Times New Roman"/>
            <w:b w:val="false"/>
            <w:i w:val="false"/>
            <w:color w:val="000000"/>
            <w:sz w:val="22"/>
          </w:rPr>
          <w:t>75.57(10)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the needs of the stepparent, living in the home, are not included in the eligible group, the eligible group and any children of the parent living in the home who are not eligible for FMAP-related Medicaid shall be considered as one unit, and the stepparent and the stepparent’s dependents, other than the spouse,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underage parent cases. </w:t>
      </w:r>
      <w:r>
        <w:rPr>
          <w:rFonts w:ascii="Times New Roman" w:hAnsi="Times New Roman"/>
          <w:b w:val="false"/>
          <w:i w:val="false"/>
          <w:color w:val="000000"/>
          <w:sz w:val="22"/>
        </w:rPr>
        <w:t xml:space="preserve">In the case of a dependent child whose unmarried parent is under the age of 18 and living in the same home as the unmarried, underage parent’s own self-supporting parents, the income of each self-supporting parent shall be considered available to the eligible group after appropriate deductions unless the provisions of rule </w:t>
      </w:r>
      <w:hyperlink r:id="rId418">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apply. The deductions to be applied are the same as are applied to the income of a stepparent pursuant to subparagraphs </w:t>
      </w:r>
      <w:hyperlink r:id="rId419">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(7). Child care expenses at subparagraph </w:t>
      </w:r>
      <w:hyperlink r:id="rId420">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allowed for the self-supporting parent’s ineligible children. Nonrecurring lump sum income received by the self-supporting parent(s) shall be treated in accordance with subparagraph </w:t>
      </w:r>
      <w:hyperlink r:id="rId421">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When the self-supporting spouse of a self-supporting parent is also living in the home, the income of that spouse shall be attributable to the self-supporting parent in the same manner as the income of a stepparent is determined pursuant to subparagraphs </w:t>
      </w:r>
      <w:hyperlink r:id="rId422">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(7) unless the provisions of rule </w:t>
      </w:r>
      <w:hyperlink r:id="rId423">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apply. Child care expenses at subparagraph </w:t>
      </w:r>
      <w:hyperlink r:id="rId424">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allowed for the ineligible dependents of the self-supporting spouse who is a stepparent of the minor parent. Nonrecurring lump sum income received by the spouse of the self-supporting parent shall be treated in accordance with subparagraph </w:t>
      </w:r>
      <w:hyperlink r:id="rId425">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The self-supporting parent and any ineligible dependents of that person shall be considered as one unit. The self-supporting spouse and the spouse’s ineligible dependents, other than the self-supporting parent,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75.57(9)</w:t>
      </w:r>
      <w:r>
        <w:rPr>
          <w:rFonts w:ascii="Times New Roman" w:hAnsi="Times New Roman"/>
          <w:b w:val="false"/>
          <w:i w:val="false"/>
          <w:color w:val="000000"/>
          <w:sz w:val="22"/>
        </w:rPr>
        <w:t> </w:t>
      </w:r>
      <w:r>
        <w:rPr>
          <w:rFonts w:ascii="Times New Roman" w:hAnsi="Times New Roman"/>
          <w:b w:val="false"/>
          <w:i/>
          <w:color w:val="000000"/>
          <w:sz w:val="22"/>
        </w:rPr>
        <w:t xml:space="preserve">Budgeting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and ongoing eligibility. Both initial and ongoing eligibility shall be based on a projection of income based on the best estimate of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application, the department shall use all earned and unearned income received by the eligible group to project future income. Allowable work expenses shall be deducted from earned income, except in determining eligibility under the 185 percent test defined at rule </w:t>
      </w:r>
      <w:hyperlink r:id="rId42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The determination of initial eligibility is a three-step process as described at rule </w:t>
      </w:r>
      <w:hyperlink r:id="rId42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1. When countable gross nonexempt earned and unearned income exceeds 185 percent of the schedule of living costs (Test 1), as identified at subrule </w:t>
      </w:r>
      <w:hyperlink r:id="rId428">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eligibility does not exist under any coverage group for which these income tests apply. Countable gross income means nonexempt gross income, as defined at rule </w:t>
      </w:r>
      <w:hyperlink r:id="rId429">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without application of any disregards, deductions, or diversions.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Test 2. When the countable gross nonexempt earned and unearned income equals or is less than 185 percent of the schedule of living costs for the eligible group, initial eligibility under the schedule of living costs (Test 2) shall then be determined. Initial eligibility under the schedule of living costs is determined without application of the 58 percent work incentive disregard as specified at paragraph </w:t>
      </w:r>
      <w:hyperlink r:id="rId430">
        <w:r>
          <w:rPr>
            <w:rStyle w:val="Hyperlink"/>
            <w:rFonts w:ascii="Times New Roman" w:hAnsi="Times New Roman"/>
            <w:b w:val="false"/>
            <w:i w:val="false"/>
            <w:color w:val="000000"/>
            <w:sz w:val="22"/>
          </w:rPr>
          <w:t>75.57(2)</w:t>
        </w:r>
        <w:r>
          <w:rPr>
            <w:rFonts w:ascii="Times New Roman" w:hAnsi="Times New Roman"/>
            <w:b w:val="false"/>
            <w:i/>
            <w:color w:val="000000"/>
            <w:sz w:val="22"/>
          </w:rPr>
          <w:t>“c.”</w:t>
        </w:r>
      </w:hyperlink>
      <w:r>
        <w:rPr>
          <w:rFonts w:ascii="Times New Roman" w:hAnsi="Times New Roman"/>
          <w:b w:val="false"/>
          <w:i w:val="false"/>
          <w:color w:val="000000"/>
          <w:sz w:val="22"/>
        </w:rPr>
        <w:t xml:space="preserve"> All other appropriate exemptions, deductions and diversions are applied. Countable income is then compared to the schedule of living costs (Test 2) for the eligible group. When countable net earned and unearned income equals or exceeds the schedule of living costs for the eligible group, eligibility does not exist under any coverage group for which these income tests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Test 3. After application of Tests 1 and 2 for initial eligibility or of Test 1 for ongoing eligibility, the 58 percent work incentive disregard at paragraph </w:t>
      </w:r>
      <w:hyperlink r:id="rId431">
        <w:r>
          <w:rPr>
            <w:rStyle w:val="Hyperlink"/>
            <w:rFonts w:ascii="Times New Roman" w:hAnsi="Times New Roman"/>
            <w:b w:val="false"/>
            <w:i w:val="false"/>
            <w:color w:val="000000"/>
            <w:sz w:val="22"/>
          </w:rPr>
          <w:t>75.57(2)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 when there is eligibility for this disregard. When countable net earned and unearned income, after application of the work incentive disregard and all other appropriate exemptions, deductions, and diversions, equals or exceeds the schedule of basic needs (Test 3) for the eligible group, eligibility does not exist under any coverage group for which these tests apply. When the countable net income is less than the schedule of basic needs for the eligible group, the eligible group meets FMAP or CMAP income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biweekly (once every two weeks) is projected for future months, it shall be projected by adding all income received in the time period being used and dividing the result by the number of instances of income received in that time period. The result shall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8/1/07.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that is required to be timely reported by the client pursuant to paragraphs </w:t>
      </w:r>
      <w:hyperlink r:id="rId432">
        <w:r>
          <w:rPr>
            <w:rStyle w:val="Hyperlink"/>
            <w:rFonts w:ascii="Times New Roman" w:hAnsi="Times New Roman"/>
            <w:b w:val="false"/>
            <w:i w:val="false"/>
            <w:color w:val="000000"/>
            <w:sz w:val="22"/>
          </w:rPr>
          <w:t>75.52(4)</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433">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is not reported as required, eligibility shall be redetermined beginning with the month following the month in which the change occurred. When a change in circumstances that is required to be reported by the client at annual review or upon the addition of an individual to the eligible group pursuant to paragraph </w:t>
      </w:r>
      <w:hyperlink r:id="rId434">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is not reported as required, eligibility shall be redetermined beginning with the month following the month in which the change was required to be reported. All other changes shall be acted upon when they are reported or otherwise become known to the department, allowing for a ten-day notice of adverse action,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Recurring lump-sum income. Recurring lump-sum earned and unearned income, except for the income of the self-employed, shall be prorated over the number of months for which the income was received and applied to the eligibility determination for the same number of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by an individual employed under a contract shall be prorated over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received at periodic intervals or intermittently shall be prorated over the period covered by the income and applied to the eligibility determination for the same number of months. Exception: Periodic or intermittent income from self-employment shall be treated as described at paragraph </w:t>
      </w:r>
      <w:hyperlink r:id="rId435">
        <w:r>
          <w:rPr>
            <w:rStyle w:val="Hyperlink"/>
            <w:rFonts w:ascii="Times New Roman" w:hAnsi="Times New Roman"/>
            <w:b w:val="false"/>
            <w:i w:val="false"/>
            <w:color w:val="000000"/>
            <w:sz w:val="22"/>
          </w:rPr>
          <w:t>75.57(9)</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lump-sum income is earned income, appropriate disregards, deductions and diversions shall be applied to the monthly prorated income. Income is prorated when a recurring lump sum is received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Nonrecurring lump-sum income. Moneys received as a nonrecurring lump sum, except as specified in subrules </w:t>
      </w:r>
      <w:hyperlink r:id="rId436">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75.56(7)</w:t>
        </w:r>
      </w:hyperlink>
      <w:r>
        <w:rPr>
          <w:rFonts w:ascii="Times New Roman" w:hAnsi="Times New Roman"/>
          <w:b w:val="false"/>
          <w:i w:val="false"/>
          <w:color w:val="000000"/>
          <w:sz w:val="22"/>
        </w:rPr>
        <w:t xml:space="preserve"> and at paragraphs </w:t>
      </w:r>
      <w:hyperlink r:id="rId438">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39">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treated in accordance with this rule. Nonrecurring lump-sum income includes an inheritance, an insurance settlement or tort recovery, an insurance death benefit, a gift, lottery winnings, or a retroactive payment of benefits, such as social security, job insurance,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Nonrecurring lump-sum income shall be considered as income in the month of receipt and counted in computing eligibility, unless the income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countable income exclusive of any family investment program grant but including countable lump-sum income exceeds the needs of the eligible group under their current coverage group, the countable lump-sum income shall be prorated. The number of full months for which a monthly amount of the lump sum shall be counted as income in the eligibility determination is derived by dividing the total of the lump-sum income and any other countable income received in or projected to be received in the month the lump sum was received by the schedule of living costs, as identified at subrule </w:t>
      </w:r>
      <w:hyperlink r:id="rId440">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for the eligible group. This period is referred to as the period of proration. Any income remaining after this calculation shall be applied as income to the first month following the period of proration and disregarded as income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of proration shall begin with the month when the nonrecurring lump sum was received, whether or not the receipt of the lump sum was timely reported. If receipt of the lump sum was reported timely and the calculation was completed timely, no recoupment shall be made. If receipt of the lump sum was not reported timely or the calculation was not completed timely, recoupment shall begin with the month of receipt of the nonrecurring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period of proration shall be shortened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schedule of living costs as defined at subrule </w:t>
      </w:r>
      <w:hyperlink r:id="rId44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increases;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portion of the lump sum is no longer available to the eligible group due to loss or theft or because the person controlling the lump sum no longer resides with the eligible group and the lump sum is no longer available to the eligible group;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There is an expenditure of the lump sum made for the following circumstances unless there was insurance available to meet the expense: Payments made on medical services for the former eligible group or their dependents for services listed in 441—Chapters 78, 81, 82, and 85 at the time the expense is reported to the department; the cost of necessary repairs to maintain habitability of the homestead requiring the spending of over $25 per incident; cost of replacement of exempt resources as defined in subrule </w:t>
      </w:r>
      <w:hyperlink r:id="rId442">
        <w:r>
          <w:rPr>
            <w:rStyle w:val="Hyperlink"/>
            <w:rFonts w:ascii="Times New Roman" w:hAnsi="Times New Roman"/>
            <w:b w:val="false"/>
            <w:i w:val="false"/>
            <w:color w:val="000000"/>
            <w:sz w:val="22"/>
          </w:rPr>
          <w:t>75.56(1)</w:t>
        </w:r>
      </w:hyperlink>
      <w:r>
        <w:rPr>
          <w:rFonts w:ascii="Times New Roman" w:hAnsi="Times New Roman"/>
          <w:b w:val="false"/>
          <w:i w:val="false"/>
          <w:color w:val="000000"/>
          <w:sz w:val="22"/>
        </w:rPr>
        <w:t xml:space="preserve"> due to fire, tornado, or other natural disaster; or funeral and burial expenses. The expenditure of these funds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countable income, including the lump-sum income, is less than the needs of the eligible group in accordance with the provisions of their current coverage group, the lump sum shall be counted as income for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purposes of applying the lump-sum provision, the eligible group is defined as all eligible persons and any other individual whose lump-sum income is counted in determining the period of proration.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During the period of proration, individuals not in the eligible group when the lump-sum income was received may be eligible as a separate eligible group. Income of this eligible group plus income of the parent or other legally responsible person in the home, excluding the lump-sum income already considered, shall be considered as available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third digit to the right of the decimal point in any calculation of income, hours of employment and work expenses for care, as defined at paragraph </w:t>
      </w:r>
      <w:hyperlink r:id="rId443">
        <w:r>
          <w:rPr>
            <w:rStyle w:val="Hyperlink"/>
            <w:rFonts w:ascii="Times New Roman" w:hAnsi="Times New Roman"/>
            <w:b w:val="false"/>
            <w:i w:val="false"/>
            <w:color w:val="000000"/>
            <w:sz w:val="22"/>
          </w:rPr>
          <w:t>75.57(2)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month for which an individual is determined eligible to be added to a currently active family medical assistance (FMAP) or FMAP-related Medicaid case, the individual’s needs, income, and resources shall be included. An individual who is a member of the eligible group and who is determined to be ineligible for Medicaid shall be canceled prospectively effective the first of the following month if the timely notice of adverse action requirements as provided at </w:t>
      </w:r>
      <w:hyperlink r:id="rId444">
        <w:r>
          <w:rPr>
            <w:rStyle w:val="Hyperlink"/>
            <w:rFonts w:ascii="Times New Roman" w:hAnsi="Times New Roman"/>
            <w:b w:val="false"/>
            <w:i w:val="false"/>
            <w:color w:val="000000"/>
            <w:sz w:val="22"/>
          </w:rPr>
          <w:t>441—subrule 76.4(1)</w:t>
        </w:r>
      </w:hyperlink>
      <w:r>
        <w:rPr>
          <w:rFonts w:ascii="Times New Roman" w:hAnsi="Times New Roman"/>
          <w:b w:val="false"/>
          <w:i w:val="false"/>
          <w:color w:val="000000"/>
          <w:sz w:val="22"/>
        </w:rPr>
        <w:t xml:space="preserve"> can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received on a regular weekly, biweekly, semimonthly or monthly basis shall be budgeted in the same manner as the earnings of an employee. The countable income shall be the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not received on a regular weekly, biweekly, semimonthly or monthly basis that represents an individual’s annual income shall be averaged over a 12-month period of time, even if the income is received within a short period of time during that 12-month period. Any change in self-employment shall be handled in accordance with subparagraphs (3) through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which does not produce a regular weekly, biweekly, semimonthly or monthly income has been in existence for less than a year, income shall be averaged over the period of time the enterprise has been in existence and the monthly amount projected for the same period of time. If the enterprise has been in existence for such a short time that there is very little income information, the worker shall establish, with the cooperation of the client, a reasonable estimate which shall be considered accurate and projected for three months, after which the income shall be averaged and projected for the same period of time. Any changes in self-employment shall be considered in accordance with subparagraphs (3) through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policies apply when the self-employment income is received before the month of decision and the income is expected to continue, in the month of decision,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Change in self-employment income is defined as a change in the nature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change in operating expenses occurs, the department shall recalculate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change occurs in the nature of the business, the income and expenses shall be computed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75.57(10)</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diversion of income.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7/11/01</w:t>
      </w:r>
      <w:r>
        <w:rPr>
          <w:rFonts w:ascii="Times New Roman" w:hAnsi="Times New Roman"/>
          <w:b w:val="false"/>
          <w:i w:val="false"/>
          <w:color w:val="000000"/>
          <w:sz w:val="22"/>
        </w:rPr>
        <w:t>, effective 9/1/01.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75.57(11)</w:t>
      </w:r>
      <w:r>
        <w:rPr>
          <w:rFonts w:ascii="Times New Roman" w:hAnsi="Times New Roman"/>
          <w:b w:val="false"/>
          <w:i w:val="false"/>
          <w:color w:val="000000"/>
          <w:sz w:val="22"/>
        </w:rPr>
        <w:t> </w:t>
      </w:r>
      <w:r>
        <w:rPr>
          <w:rFonts w:ascii="Times New Roman" w:hAnsi="Times New Roman"/>
          <w:b w:val="false"/>
          <w:i/>
          <w:color w:val="000000"/>
          <w:sz w:val="22"/>
        </w:rPr>
        <w:t xml:space="preserve">Divesting of income. </w:t>
      </w:r>
      <w:r>
        <w:rPr>
          <w:rFonts w:ascii="Times New Roman" w:hAnsi="Times New Roman"/>
          <w:b w:val="false"/>
          <w:i w:val="false"/>
          <w:color w:val="000000"/>
          <w:sz w:val="22"/>
        </w:rPr>
        <w:t>Assistance shall not be approved when an investigation proves that income was divested and the action was deliberate and for the primary purpose of qualifying for assistance or increasing the amount of assistance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8556B</w:t>
      </w:r>
      <w:r>
        <w:rPr>
          <w:rFonts w:ascii="Times New Roman" w:hAnsi="Times New Roman"/>
          <w:b w:val="false"/>
          <w:i w:val="false"/>
          <w:color w:val="000000"/>
          <w:sz w:val="16"/>
        </w:rPr>
        <w:t>, IAB 3/10/10, effective 2/10/10</w:t>
      </w:r>
      <w:r>
        <w:rPr>
          <w:rFonts w:ascii="Times New Roman" w:hAnsi="Times New Roman"/>
          <w:b w:val="false"/>
          <w:i w:val="false"/>
          <w:color w:val="000000"/>
          <w:sz w:val="16"/>
        </w:rPr>
        <w:t xml:space="preserve">; </w:t>
      </w:r>
      <w:r>
        <w:rPr>
          <w:rFonts w:ascii="Times New Roman" w:hAnsi="Times New Roman"/>
          <w:b/>
          <w:i w:val="false"/>
          <w:color w:val="000000"/>
          <w:sz w:val="16"/>
        </w:rPr>
        <w:t>ARC 9043B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441—75.58</w:t>
      </w:r>
      <w:r>
        <w:rPr>
          <w:rFonts w:ascii="Times New Roman" w:hAnsi="Times New Roman"/>
          <w:b/>
          <w:i w:val="false"/>
          <w:color w:val="000000"/>
          <w:sz w:val="22"/>
        </w:rPr>
        <w:t xml:space="preserve">(249A) </w:t>
      </w:r>
      <w:r>
        <w:rPr>
          <w:rFonts w:ascii="Times New Roman" w:hAnsi="Times New Roman"/>
          <w:b/>
          <w:i w:val="false"/>
          <w:color w:val="000000"/>
          <w:sz w:val="22"/>
        </w:rPr>
        <w:t xml:space="preserve">Need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eligible group. </w:t>
      </w:r>
      <w:r>
        <w:rPr>
          <w:rFonts w:ascii="Times New Roman" w:hAnsi="Times New Roman"/>
          <w:b w:val="false"/>
          <w:i w:val="false"/>
          <w:color w:val="000000"/>
          <w:sz w:val="22"/>
        </w:rPr>
        <w:t xml:space="preserve">The eligible group consists of all eligible persons specified below and living together, except when one or more of these persons have elected to receive supplemental security income under Title XVI of the Social Security Act or are voluntarily excluded in accordance with the provisions of rule </w:t>
      </w:r>
      <w:hyperlink r:id="rId445">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There shall be at least one child, which may be an unborn child, in the eligible group except when the only eligible child is receiving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parent of such children, if the parent is living in the same home as the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caretaker when the parent is in the home but is unable to act as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by ceremonial or common-law marriage and the stepparent does not have a child in the eligible group.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incapacity shall be supported by medical or psychological evidence. The evidence may be submitted either by letter from the physician or on Form 470-0447, Report on Incapacity.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an examination is required and other resources are not available to meet the expense of the examination, the physician shall be authorized to make the examination and submit the claim for payment on Form 470-0502, Authorization for Examination and Claim for Payment.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finding of eligibility for social security benefits or supplemental security income benefits based on disability or blindness is acceptable proof of incapacity for the family medical assistance program (FMAP) and FMAP-related program purposes.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stepparent who is considered incapacitated and is receiving Medicaid shall be referred to the department of education, division of vocational rehabilitation services, for evaluation and services. Acceptance of these services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who is not incapacitated when the stepparent is the legal spouse of the parent by ceremonial or common-law marriage and the stepparent is required in the home to care for the dependent children. These services must be required to the extent that if the stepparent were not available, it would be necessary to allow for care as a deduction from earned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75.58(2)</w:t>
      </w: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The schedule of living costs represents 100 percent of the basic needs. The schedule of living costs is used to determine the needs of individuals when these needs must be determined in accordance with the schedule of needs defined at rule </w:t>
      </w:r>
      <w:hyperlink r:id="rId44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 xml:space="preserve">(249A). The 185 percent schedule is included for the determination of eligibility in accordance with rule </w:t>
      </w:r>
      <w:hyperlink r:id="rId44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The schedule of basic needs is used to determine the basic needs of those persons whose needs are included in the eligible group. The eligible group is considered a separate and distinct group without regard to the presence in the home of other persons, regardless of relationship to or whether they have a liability to support members of the eligible group. The schedule of basic needs is also used to determine the needs of persons not included in the eligible group. The percentage of basic needs paid to one or more persons as compared to the schedule of living costs is shown on the chart below:</w:t>
      </w:r>
    </w:p>
    <w:p>
      <w:pPr>
        <w:spacing w:before="60" w:after="0"/>
        <w:ind w:left="120"/>
        <w:jc w:val="center"/>
      </w:pPr>
      <w:r>
        <w:rPr>
          <w:rFonts w:ascii="Times New Roman" w:hAnsi="Times New Roman"/>
          <w:b w:val="false"/>
          <w:i w:val="false"/>
          <w:color w:val="000000"/>
          <w:sz w:val="22"/>
        </w:rPr>
        <w:t>SCHEDULE OF NEEDS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68"/>
        <w:gridCol w:w="934"/>
        <w:gridCol w:w="934"/>
        <w:gridCol w:w="933"/>
        <w:gridCol w:w="933"/>
        <w:gridCol w:w="933"/>
        <w:gridCol w:w="933"/>
        <w:gridCol w:w="933"/>
        <w:gridCol w:w="933"/>
        <w:gridCol w:w="933"/>
        <w:gridCol w:w="933"/>
        <w:gridCol w:w="1173"/>
      </w:tblGrid>
      <w:tr>
        <w:trPr>
          <w:trHeight w:val="58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Number</w:t>
            </w:r>
          </w:p>
          <w:p>
            <w:pPr>
              <w:spacing w:before="0" w:after="0"/>
              <w:ind w:left="160"/>
              <w:jc w:val="left"/>
            </w:pPr>
            <w:r>
              <w:rPr>
                <w:rFonts w:ascii="Times New Roman" w:hAnsi="Times New Roman"/>
                <w:b w:val="false"/>
                <w:i w:val="false"/>
                <w:color w:val="000000"/>
                <w:sz w:val="16"/>
              </w:rPr>
              <w:t>of</w:t>
            </w:r>
          </w:p>
          <w:p>
            <w:pPr>
              <w:spacing w:before="0" w:after="0"/>
              <w:ind w:left="160"/>
              <w:jc w:val="left"/>
            </w:pPr>
            <w:r>
              <w:rPr>
                <w:rFonts w:ascii="Times New Roman" w:hAnsi="Times New Roman"/>
                <w:b w:val="false"/>
                <w:i w:val="false"/>
                <w:color w:val="000000"/>
                <w:sz w:val="16"/>
              </w:rPr>
              <w:t>Persons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Each Additional Person</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1</w:t>
            </w:r>
          </w:p>
          <w:p>
            <w:pPr>
              <w:spacing w:before="0" w:after="0"/>
              <w:ind w:left="160"/>
              <w:jc w:val="left"/>
            </w:pPr>
            <w:r>
              <w:rPr>
                <w:rFonts w:ascii="Times New Roman" w:hAnsi="Times New Roman"/>
                <w:b w:val="false"/>
                <w:i w:val="false"/>
                <w:color w:val="000000"/>
                <w:sz w:val="16"/>
              </w:rPr>
              <w:t>185% of</w:t>
            </w:r>
          </w:p>
          <w:p>
            <w:pPr>
              <w:spacing w:before="0" w:after="0"/>
              <w:ind w:left="160"/>
              <w:jc w:val="left"/>
            </w:pPr>
            <w:r>
              <w:rPr>
                <w:rFonts w:ascii="Times New Roman" w:hAnsi="Times New Roman"/>
                <w:b w:val="false"/>
                <w:i w:val="false"/>
                <w:color w:val="000000"/>
                <w:sz w:val="16"/>
              </w:rPr>
              <w:t>Living</w:t>
            </w:r>
          </w:p>
          <w:p>
            <w:pPr>
              <w:spacing w:before="0" w:after="0"/>
              <w:ind w:left="160"/>
              <w:jc w:val="left"/>
            </w:pPr>
            <w:r>
              <w:rPr>
                <w:rFonts w:ascii="Times New Roman" w:hAnsi="Times New Roman"/>
                <w:b w:val="false"/>
                <w:i w:val="false"/>
                <w:color w:val="000000"/>
                <w:sz w:val="16"/>
              </w:rPr>
              <w:t>Costs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675.25</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1330.15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1570.65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1824.10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2020.20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2249.60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2469.75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2695.45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2915.60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3189.40</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320.05</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2</w:t>
            </w:r>
          </w:p>
          <w:p>
            <w:pPr>
              <w:spacing w:before="0" w:after="0"/>
              <w:ind w:left="160"/>
              <w:jc w:val="left"/>
            </w:pPr>
            <w:r>
              <w:rPr>
                <w:rFonts w:ascii="Times New Roman" w:hAnsi="Times New Roman"/>
                <w:b w:val="false"/>
                <w:i w:val="false"/>
                <w:color w:val="000000"/>
                <w:sz w:val="16"/>
              </w:rPr>
              <w:t>Schedule</w:t>
            </w:r>
          </w:p>
          <w:p>
            <w:pPr>
              <w:spacing w:before="0" w:after="0"/>
              <w:ind w:left="160"/>
              <w:jc w:val="left"/>
            </w:pPr>
            <w:r>
              <w:rPr>
                <w:rFonts w:ascii="Times New Roman" w:hAnsi="Times New Roman"/>
                <w:b w:val="false"/>
                <w:i w:val="false"/>
                <w:color w:val="000000"/>
                <w:sz w:val="16"/>
              </w:rPr>
              <w:t>of Living</w:t>
            </w:r>
          </w:p>
          <w:p>
            <w:pPr>
              <w:spacing w:before="0" w:after="0"/>
              <w:ind w:left="160"/>
              <w:jc w:val="left"/>
            </w:pPr>
            <w:r>
              <w:rPr>
                <w:rFonts w:ascii="Times New Roman" w:hAnsi="Times New Roman"/>
                <w:b w:val="false"/>
                <w:i w:val="false"/>
                <w:color w:val="000000"/>
                <w:sz w:val="16"/>
              </w:rPr>
              <w:t>Costs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365</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719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849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986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1092</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1216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1335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1457</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1724</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173</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3</w:t>
            </w:r>
          </w:p>
          <w:p>
            <w:pPr>
              <w:spacing w:before="0" w:after="0"/>
              <w:ind w:left="160"/>
              <w:jc w:val="left"/>
            </w:pPr>
            <w:r>
              <w:rPr>
                <w:rFonts w:ascii="Times New Roman" w:hAnsi="Times New Roman"/>
                <w:b w:val="false"/>
                <w:i w:val="false"/>
                <w:color w:val="000000"/>
                <w:sz w:val="16"/>
              </w:rPr>
              <w:t>Schedule</w:t>
            </w:r>
          </w:p>
          <w:p>
            <w:pPr>
              <w:spacing w:before="0" w:after="0"/>
              <w:ind w:left="160"/>
              <w:jc w:val="left"/>
            </w:pPr>
            <w:r>
              <w:rPr>
                <w:rFonts w:ascii="Times New Roman" w:hAnsi="Times New Roman"/>
                <w:b w:val="false"/>
                <w:i w:val="false"/>
                <w:color w:val="000000"/>
                <w:sz w:val="16"/>
              </w:rPr>
              <w:t>of Basic</w:t>
            </w:r>
          </w:p>
          <w:p>
            <w:pPr>
              <w:spacing w:before="0" w:after="0"/>
              <w:ind w:left="160"/>
              <w:jc w:val="left"/>
            </w:pPr>
            <w:r>
              <w:rPr>
                <w:rFonts w:ascii="Times New Roman" w:hAnsi="Times New Roman"/>
                <w:b w:val="false"/>
                <w:i w:val="false"/>
                <w:color w:val="000000"/>
                <w:sz w:val="16"/>
              </w:rPr>
              <w:t>Needs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183</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548</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670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731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791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865</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w:t>
            </w:r>
          </w:p>
        </w:tc>
      </w:tr>
      <w:tr>
        <w:trPr>
          <w:trHeight w:val="945" w:hRule="atLeast"/>
        </w:trPr>
        <w:tc>
          <w:tcPr>
            <w:tcW w:w="1068"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Ratio of</w:t>
            </w:r>
          </w:p>
          <w:p>
            <w:pPr>
              <w:spacing w:before="0" w:after="0"/>
              <w:ind w:left="160"/>
              <w:jc w:val="left"/>
            </w:pPr>
            <w:r>
              <w:rPr>
                <w:rFonts w:ascii="Times New Roman" w:hAnsi="Times New Roman"/>
                <w:b w:val="false"/>
                <w:i w:val="false"/>
                <w:color w:val="000000"/>
                <w:sz w:val="16"/>
              </w:rPr>
              <w:t>Basic</w:t>
            </w:r>
          </w:p>
          <w:p>
            <w:pPr>
              <w:spacing w:before="0" w:after="0"/>
              <w:ind w:left="160"/>
              <w:jc w:val="left"/>
            </w:pPr>
            <w:r>
              <w:rPr>
                <w:rFonts w:ascii="Times New Roman" w:hAnsi="Times New Roman"/>
                <w:b w:val="false"/>
                <w:i w:val="false"/>
                <w:color w:val="000000"/>
                <w:sz w:val="16"/>
              </w:rPr>
              <w:t>Needs to</w:t>
            </w:r>
          </w:p>
          <w:p>
            <w:pPr>
              <w:spacing w:before="0" w:after="0"/>
              <w:ind w:left="160"/>
              <w:jc w:val="left"/>
            </w:pPr>
            <w:r>
              <w:rPr>
                <w:rFonts w:ascii="Times New Roman" w:hAnsi="Times New Roman"/>
                <w:b w:val="false"/>
                <w:i w:val="false"/>
                <w:color w:val="000000"/>
                <w:sz w:val="16"/>
              </w:rPr>
              <w:t>Living</w:t>
            </w:r>
          </w:p>
          <w:p>
            <w:pPr>
              <w:spacing w:before="0" w:after="0"/>
              <w:ind w:left="160"/>
              <w:jc w:val="left"/>
            </w:pPr>
            <w:r>
              <w:rPr>
                <w:rFonts w:ascii="Times New Roman" w:hAnsi="Times New Roman"/>
                <w:b w:val="false"/>
                <w:i w:val="false"/>
                <w:color w:val="000000"/>
                <w:sz w:val="16"/>
              </w:rPr>
              <w:t>Costs</w:t>
            </w:r>
          </w:p>
        </w:tc>
        <w:tc>
          <w:tcPr>
            <w:tcW w:w="93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11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r>
    </w:tbl>
    <w:p>
      <w:pPr>
        <w:spacing w:before="60" w:after="0"/>
        <w:ind w:left="120"/>
        <w:jc w:val="center"/>
      </w:pPr>
      <w:r>
        <w:rPr>
          <w:rFonts w:ascii="Times New Roman" w:hAnsi="Times New Roman"/>
          <w:b w:val="false"/>
          <w:i w:val="false"/>
          <w:color w:val="000000"/>
          <w:sz w:val="22"/>
        </w:rPr>
        <w:t>CHART OF BASIC NEEDS COMPONENTS</w:t>
      </w:r>
    </w:p>
    <w:p>
      <w:pPr>
        <w:spacing w:before="60" w:after="0"/>
        <w:ind w:left="120"/>
        <w:jc w:val="center"/>
      </w:pPr>
      <w:r>
        <w:rPr>
          <w:rFonts w:ascii="Times New Roman" w:hAnsi="Times New Roman"/>
          <w:b w:val="false"/>
          <w:i w:val="false"/>
          <w:color w:val="000000"/>
          <w:sz w:val="22"/>
        </w:rPr>
        <w:t>(all figures are on a per person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13"/>
        <w:gridCol w:w="833"/>
        <w:gridCol w:w="971"/>
        <w:gridCol w:w="971"/>
        <w:gridCol w:w="971"/>
        <w:gridCol w:w="970"/>
        <w:gridCol w:w="970"/>
        <w:gridCol w:w="970"/>
        <w:gridCol w:w="970"/>
        <w:gridCol w:w="970"/>
        <w:gridCol w:w="880"/>
      </w:tblGrid>
      <w:tr>
        <w:trPr>
          <w:trHeight w:val="58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Number</w:t>
            </w:r>
          </w:p>
          <w:p>
            <w:pPr>
              <w:spacing w:before="0" w:after="0"/>
              <w:ind w:left="160"/>
              <w:jc w:val="left"/>
            </w:pPr>
            <w:r>
              <w:rPr>
                <w:rFonts w:ascii="Times New Roman" w:hAnsi="Times New Roman"/>
                <w:b w:val="false"/>
                <w:i w:val="false"/>
                <w:color w:val="000000"/>
                <w:sz w:val="16"/>
              </w:rPr>
              <w:t>of</w:t>
            </w:r>
          </w:p>
          <w:p>
            <w:pPr>
              <w:spacing w:before="0" w:after="0"/>
              <w:ind w:left="160"/>
              <w:jc w:val="left"/>
            </w:pPr>
            <w:r>
              <w:rPr>
                <w:rFonts w:ascii="Times New Roman" w:hAnsi="Times New Roman"/>
                <w:b w:val="false"/>
                <w:i w:val="false"/>
                <w:color w:val="000000"/>
                <w:sz w:val="16"/>
              </w:rPr>
              <w:t>Persons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w:t>
            </w:r>
          </w:p>
        </w:tc>
        <w:tc>
          <w:tcPr>
            <w:tcW w:w="880"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10 or</w:t>
            </w:r>
          </w:p>
          <w:p>
            <w:pPr>
              <w:spacing w:before="0" w:after="0"/>
              <w:ind w:left="160"/>
              <w:jc w:val="left"/>
            </w:pPr>
            <w:r>
              <w:rPr>
                <w:rFonts w:ascii="Times New Roman" w:hAnsi="Times New Roman"/>
                <w:b w:val="false"/>
                <w:i w:val="false"/>
                <w:color w:val="000000"/>
                <w:sz w:val="16"/>
              </w:rPr>
              <w:t>More</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Shelter</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77.14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65.81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47.10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35.20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31.74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26.28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25.69</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22.52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20.91</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20.58</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Utilities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19.29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16.45</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11.77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8.80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7.93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6.42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5.23</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5.14</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Household</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2.92</w:t>
            </w:r>
          </w:p>
        </w:tc>
      </w:tr>
      <w:tr>
        <w:trPr>
          <w:trHeight w:val="28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Food</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34.49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44.98</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40.31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39.11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36.65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37.04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34.00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33.53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32.87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32.36</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Clothing</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11.17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11.49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6.84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6.39</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6.20</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6.10</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Pers. Care &amp;</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2.68</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1.64</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Med. Chest</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1.09</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Communications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7.23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3.85</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1.49</w:t>
            </w:r>
          </w:p>
        </w:tc>
      </w:tr>
      <w:tr>
        <w:trPr>
          <w:trHeight w:val="225" w:hRule="atLeast"/>
        </w:trPr>
        <w:tc>
          <w:tcPr>
            <w:tcW w:w="171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Transportation</w:t>
            </w:r>
          </w:p>
        </w:tc>
        <w:tc>
          <w:tcPr>
            <w:tcW w:w="8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25.13</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25.23</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22.24</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21.38</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17.43</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16.59</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15.24</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15.79</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15.44</w:t>
            </w:r>
          </w:p>
        </w:tc>
        <w:tc>
          <w:tcPr>
            <w:tcW w:w="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definitions of the basic need components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Shelter: Rental, taxes, upkeep, insurance,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Utilities: Fuel, water, lights, water heating, refrigeration, garbage.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 supplies and replacements: Essentials associated with housekeeping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Including school lunches.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Clothing: Including layette, laundry, dry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supplies: Including regular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Medicine chest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Communications: Telephone, newspapers,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Including bus fares.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situations in determining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needs of a child or children in a nonparental home shall be considered a separate eligible group when the relative is receiving Medicaid for the relative’s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under the age of 19 is living in the same home with a parent or parents who receive Medicaid, the needs of the specified relative, when eligible, shall be included in the same eligible group with the parents. When the specified relative is a parent, the needs of the eligible children for whom the unmarried parent is caretaker shall be included in the same eligible group. When the specified relative is a nonparental relative, the needs of the eligible children for whom the specified relative is caretaker shall be considered a separate eligible group.</w:t>
      </w:r>
    </w:p>
    <w:p>
      <w:pPr>
        <w:spacing w:before="0" w:after="0"/>
        <w:ind w:left="120"/>
        <w:jc w:val="both"/>
      </w:pPr>
      <w:r>
        <w:rPr>
          <w:rFonts w:ascii="Times New Roman" w:hAnsi="Times New Roman"/>
          <w:b w:val="false"/>
          <w:i w:val="false"/>
          <w:color w:val="000000"/>
          <w:sz w:val="22"/>
        </w:rPr>
        <w:t>When the unmarried specified relative under the age of 19 is living in the same home as a parent who receives Medicaid but the specified relative is not an eligible child, need of the specified relative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When the unmarried specified relative under the age of 19 is living with a nonparental relative or in an independent living arrangement,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xml:space="preserve">When the unmarried specified relative is under the age of 18 and living in the same home with a parent who does not receive Medicaid, the needs of the specified relative, when eligible, shall be included in the eligible group with the children when the specified relative is a parent. When the specified relative is a nonparental relative as defined at subrule </w:t>
      </w:r>
      <w:hyperlink r:id="rId448">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only the needs of the eligible children shall be included in the eligible group. When the unmarried specified relative is aged 18,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who would ordinarily be in the eligible group has elected to receive supplemental security income benefits, the person, income and resources shall not be considered in determining eligibility for the rest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two individuals, married to each other, are living in a common household and the children of each of them are recipients of Medicaid, the eligibility shall be computed on the basis of their comprising one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child is ineligible for Medicaid, the income and resources of that child are not used in determining eligibility of the eligible group and the ineligible child is not a part of the household size. However, the income and resources of a parent who is ineligible for Medicaid are used in determining eligibility of the eligible group and the ineligible parent is counted when determining household size.</w:t>
      </w:r>
    </w:p>
    <w:p>
      <w:pPr>
        <w:spacing w:before="0" w:after="0"/>
        <w:ind w:left="120"/>
        <w:jc w:val="both"/>
      </w:pPr>
      <w:r>
        <w:rPr>
          <w:rFonts w:ascii="Times New Roman" w:hAnsi="Times New Roman"/>
          <w:b/>
          <w:i w:val="false"/>
          <w:color w:val="000000"/>
          <w:sz w:val="22"/>
        </w:rPr>
        <w:t>441—75.59</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who may be voluntarily excluded from the eligible group when determining eligibility for the family medical assistance program (FMAP) and FMAP-related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75.59(1)</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the eligible group. </w:t>
      </w:r>
      <w:r>
        <w:rPr>
          <w:rFonts w:ascii="Times New Roman" w:hAnsi="Times New Roman"/>
          <w:b w:val="false"/>
          <w:i w:val="false"/>
          <w:color w:val="000000"/>
          <w:sz w:val="22"/>
        </w:rPr>
        <w:t>In determining eligibility under the family medical assistance program (FMAP) or any FMAP-related Medicaid coverage group in this chapter, the following persons may be excluded from the eligible group when determining Medicaid eligibility of other household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Siblings (of whole or half blood, or adoptive)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Self-supporting parents of minor unmarried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Stepparents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with a specified relative, as listed at subrule </w:t>
      </w:r>
      <w:hyperlink r:id="rId449">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75.59(2)</w:t>
      </w:r>
      <w:r>
        <w:rPr>
          <w:rFonts w:ascii="Times New Roman" w:hAnsi="Times New Roman"/>
          <w:b w:val="false"/>
          <w:i w:val="false"/>
          <w:color w:val="000000"/>
          <w:sz w:val="22"/>
        </w:rPr>
        <w:t> </w:t>
      </w:r>
      <w:r>
        <w:rPr>
          <w:rFonts w:ascii="Times New Roman" w:hAnsi="Times New Roman"/>
          <w:b w:val="false"/>
          <w:i/>
          <w:color w:val="000000"/>
          <w:sz w:val="22"/>
        </w:rPr>
        <w:t xml:space="preserve">Needs, income, and resource exclusions. </w:t>
      </w:r>
      <w:r>
        <w:rPr>
          <w:rFonts w:ascii="Times New Roman" w:hAnsi="Times New Roman"/>
          <w:b w:val="false"/>
          <w:i w:val="false"/>
          <w:color w:val="000000"/>
          <w:sz w:val="22"/>
        </w:rPr>
        <w:t>The needs, income, and resources of persons who are voluntarily excluded shall also be excluded. If a self-supporting parent of a minor unmarried parent is voluntarily excluded, then the minor unmarried parent shall not be counted in the household size when determining eligibility for the minor unmarried parent’s child. However, the income and resources of the minor unmarried parent shall be used in determining eligibility for the unmarried minor parent’s child. If a stepparent is voluntarily excluded, the natural or adoptive parent shall not be counted in the household size when determining eligibility for the natural or adoptive parent’s children. However, the income and resources of the natural or adoptive parent shall be used in determining eligibility for the natural or adoptive parent’s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75.59(3)</w:t>
      </w:r>
      <w:r>
        <w:rPr>
          <w:rFonts w:ascii="Times New Roman" w:hAnsi="Times New Roman"/>
          <w:b w:val="false"/>
          <w:i w:val="false"/>
          <w:color w:val="000000"/>
          <w:sz w:val="22"/>
        </w:rPr>
        <w:t> </w:t>
      </w:r>
      <w:r>
        <w:rPr>
          <w:rFonts w:ascii="Times New Roman" w:hAnsi="Times New Roman"/>
          <w:b w:val="false"/>
          <w:i/>
          <w:color w:val="000000"/>
          <w:sz w:val="22"/>
        </w:rPr>
        <w:t xml:space="preserve">Medicaid entitlement. </w:t>
      </w:r>
      <w:r>
        <w:rPr>
          <w:rFonts w:ascii="Times New Roman" w:hAnsi="Times New Roman"/>
          <w:b w:val="false"/>
          <w:i w:val="false"/>
          <w:color w:val="000000"/>
          <w:sz w:val="22"/>
        </w:rPr>
        <w:t>Persons whose needs are voluntarily excluded from the eligibility determination shall not be entitled to Medicaid under this or any 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75.59(4)</w:t>
      </w:r>
      <w:r>
        <w:rPr>
          <w:rFonts w:ascii="Times New Roman" w:hAnsi="Times New Roman"/>
          <w:b w:val="false"/>
          <w:i w:val="false"/>
          <w:color w:val="000000"/>
          <w:sz w:val="22"/>
        </w:rPr>
        <w:t> </w:t>
      </w:r>
      <w:r>
        <w:rPr>
          <w:rFonts w:ascii="Times New Roman" w:hAnsi="Times New Roman"/>
          <w:b w:val="false"/>
          <w:i/>
          <w:color w:val="000000"/>
          <w:sz w:val="22"/>
        </w:rPr>
        <w:t xml:space="preserve">Situations where parent’s needs are excluded. </w:t>
      </w:r>
      <w:r>
        <w:rPr>
          <w:rFonts w:ascii="Times New Roman" w:hAnsi="Times New Roman"/>
          <w:b w:val="false"/>
          <w:i w:val="false"/>
          <w:color w:val="000000"/>
          <w:sz w:val="22"/>
        </w:rPr>
        <w:t>In situations where the parent’s needs are excluded but the parent’s income and resources are considered in the eligibility determination (e.g., minor unmarried parent living with self-supporting parents), the excluded parent shall be allowed the earned income deduction, child care expenses and the work incentive disregard as provided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75.59(5)</w:t>
      </w:r>
      <w:r>
        <w:rPr>
          <w:rFonts w:ascii="Times New Roman" w:hAnsi="Times New Roman"/>
          <w:b w:val="false"/>
          <w:i w:val="false"/>
          <w:color w:val="000000"/>
          <w:sz w:val="22"/>
        </w:rPr>
        <w:t> </w:t>
      </w:r>
      <w:r>
        <w:rPr>
          <w:rFonts w:ascii="Times New Roman" w:hAnsi="Times New Roman"/>
          <w:b w:val="false"/>
          <w:i/>
          <w:color w:val="000000"/>
          <w:sz w:val="22"/>
        </w:rPr>
        <w:t xml:space="preserve">Situations where child’s needs, income, and resources are excluded. </w:t>
      </w:r>
      <w:r>
        <w:rPr>
          <w:rFonts w:ascii="Times New Roman" w:hAnsi="Times New Roman"/>
          <w:b w:val="false"/>
          <w:i w:val="false"/>
          <w:color w:val="000000"/>
          <w:sz w:val="22"/>
        </w:rPr>
        <w:t xml:space="preserve">In situations where the child’s needs, income, and resources are excluded from the eligibility determination pursuant to subrule </w:t>
      </w:r>
      <w:hyperlink r:id="rId450">
        <w:r>
          <w:rPr>
            <w:rStyle w:val="Hyperlink"/>
            <w:rFonts w:ascii="Times New Roman" w:hAnsi="Times New Roman"/>
            <w:b w:val="false"/>
            <w:i w:val="false"/>
            <w:color w:val="000000"/>
            <w:sz w:val="22"/>
          </w:rPr>
          <w:t>75.59(1)</w:t>
        </w:r>
      </w:hyperlink>
      <w:r>
        <w:rPr>
          <w:rFonts w:ascii="Times New Roman" w:hAnsi="Times New Roman"/>
          <w:b w:val="false"/>
          <w:i w:val="false"/>
          <w:color w:val="000000"/>
          <w:sz w:val="22"/>
        </w:rPr>
        <w:t xml:space="preserve">, and the child’s income is not sufficient to meet the child’s needs, the parent shall be allowed to divert income to meet the unmet needs of the excluded child. The maximum amount to be diverted shall be the difference between the schedule of basic needs of the eligible group with the child included and the schedule of basic needs with the child excluded, in accordance with the provisions of subrule </w:t>
      </w:r>
      <w:hyperlink r:id="rId45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minus any countable income of the child.</w:t>
      </w:r>
    </w:p>
    <w:p>
      <w:pPr>
        <w:spacing w:before="210" w:after="0"/>
        <w:ind w:left="120"/>
        <w:jc w:val="both"/>
      </w:pPr>
      <w:r>
        <w:rPr>
          <w:rFonts w:ascii="Times New Roman" w:hAnsi="Times New Roman"/>
          <w:b/>
          <w:i w:val="false"/>
          <w:color w:val="000000"/>
          <w:sz w:val="22"/>
        </w:rPr>
        <w:t>441—75.60</w:t>
      </w:r>
      <w:r>
        <w:rPr>
          <w:rFonts w:ascii="Times New Roman" w:hAnsi="Times New Roman"/>
          <w:b/>
          <w:i w:val="false"/>
          <w:color w:val="000000"/>
          <w:sz w:val="22"/>
        </w:rPr>
        <w:t xml:space="preserve">(249A) </w:t>
      </w:r>
      <w:r>
        <w:rPr>
          <w:rFonts w:ascii="Times New Roman" w:hAnsi="Times New Roman"/>
          <w:b/>
          <w:i w:val="false"/>
          <w:color w:val="000000"/>
          <w:sz w:val="22"/>
        </w:rPr>
        <w:t xml:space="preserve">Pending SSI approval. </w:t>
      </w:r>
      <w:r>
        <w:rPr>
          <w:rFonts w:ascii="Times New Roman" w:hAnsi="Times New Roman"/>
          <w:b w:val="false"/>
          <w:i w:val="false"/>
          <w:color w:val="000000"/>
          <w:sz w:val="22"/>
        </w:rPr>
        <w:t>When a person who would ordinarily be in the eligible group has applied for supplemental security income benefits, the person’s needs may be included in the eligible group pending approval of supplemental security income.</w:t>
      </w:r>
    </w:p>
    <w:p>
      <w:pPr>
        <w:spacing w:before="210" w:after="0"/>
        <w:ind w:left="120"/>
        <w:jc w:val="both"/>
      </w:pPr>
      <w:r>
        <w:rPr>
          <w:rFonts w:ascii="Times New Roman" w:hAnsi="Times New Roman"/>
          <w:b/>
          <w:i w:val="false"/>
          <w:color w:val="000000"/>
          <w:sz w:val="22"/>
        </w:rPr>
        <w:t>441—75.61</w:t>
      </w:r>
      <w:r>
        <w:rPr>
          <w:rFonts w:ascii="Times New Roman" w:hAnsi="Times New Roman"/>
          <w:b w:val="false"/>
          <w:i w:val="false"/>
          <w:color w:val="000000"/>
          <w:sz w:val="22"/>
        </w:rPr>
        <w:t xml:space="preserve"> to </w:t>
      </w:r>
      <w:r>
        <w:rPr>
          <w:rFonts w:ascii="Times New Roman" w:hAnsi="Times New Roman"/>
          <w:b/>
          <w:i w:val="false"/>
          <w:color w:val="000000"/>
          <w:sz w:val="22"/>
        </w:rPr>
        <w:t>75.69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ELIGIBILITY BASED ON MODIFIED ADJUSTED GROSS INCOME (MAGI)</w:t>
      </w:r>
    </w:p>
    <w:p>
      <w:pPr>
        <w:spacing w:before="0" w:after="0"/>
        <w:ind w:left="120"/>
        <w:jc w:val="both"/>
      </w:pPr>
      <w:r>
        <w:rPr>
          <w:rFonts w:ascii="Times New Roman" w:hAnsi="Times New Roman"/>
          <w:b/>
          <w:i w:val="false"/>
          <w:color w:val="000000"/>
          <w:sz w:val="22"/>
        </w:rPr>
        <w:t>441—75.70</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eligibility based on modified adjusted gross income (MAGI). </w:t>
      </w:r>
      <w:r>
        <w:rPr>
          <w:rFonts w:ascii="Times New Roman" w:hAnsi="Times New Roman"/>
          <w:b w:val="false"/>
          <w:i w:val="false"/>
          <w:color w:val="000000"/>
          <w:sz w:val="22"/>
        </w:rPr>
        <w:t xml:space="preserve">Notwithstanding any other provision of this chapter, effective January 1, 2014, financial eligibility for medical assistance shall be determined using “modified adjusted gross income” (MAGI) and “household income” </w:t>
      </w:r>
      <w:r>
        <w:rPr>
          <w:rFonts w:ascii="Times New Roman" w:hAnsi="Times New Roman"/>
          <w:b w:val="false"/>
          <w:i w:val="false"/>
          <w:color w:val="000000"/>
          <w:sz w:val="22"/>
        </w:rPr>
        <w:t>pursuant to 42 U.S.C. §</w:t>
      </w:r>
      <w:r>
        <w:rPr>
          <w:rFonts w:ascii="Times New Roman" w:hAnsi="Times New Roman"/>
          <w:b w:val="false"/>
          <w:i w:val="false"/>
          <w:color w:val="000000"/>
          <w:sz w:val="22"/>
        </w:rPr>
        <w:t xml:space="preserve"> 1396a(e)(14), to the extent required by that section as a condition of federal funding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For this purpose, financial eligibility for medical assistance includes any applicable purpose for which a determination of income is required, including the imposition of any premiums or cost sharing.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1212C</w:t>
      </w:r>
      <w:r>
        <w:rPr>
          <w:rFonts w:ascii="Times New Roman" w:hAnsi="Times New Roman"/>
          <w:b w:val="false"/>
          <w:i w:val="false"/>
          <w:color w:val="000000"/>
          <w:sz w:val="16"/>
        </w:rPr>
        <w:t>, IAB 12/11/13,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1356C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441—75.71</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limits. </w:t>
      </w:r>
      <w:r>
        <w:rPr>
          <w:rFonts w:ascii="Times New Roman" w:hAnsi="Times New Roman"/>
          <w:b w:val="false"/>
          <w:i w:val="false"/>
          <w:color w:val="000000"/>
          <w:sz w:val="22"/>
        </w:rPr>
        <w:t>Notwithstanding any other provision of this chapter, effective January 1, 2014, the following income limits apply to the following coverage groups, as identified by the legal references provided:</w:t>
      </w:r>
    </w:p>
    <w:p>
      <w:pPr>
        <w:pageBreakBefore/>
        <w:spacing w:before="0" w:after="0"/>
        <w:ind w:left="120"/>
        <w:jc w:val="both"/>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26"/>
        <w:gridCol w:w="3314"/>
        <w:gridCol w:w="2624"/>
        <w:gridCol w:w="2626"/>
      </w:tblGrid>
      <w:tr>
        <w:trPr>
          <w:trHeight w:val="420"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Coverage Group</w:t>
            </w:r>
          </w:p>
        </w:tc>
        <w:tc>
          <w:tcPr>
            <w:tcW w:w="331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Legal Reference</w:t>
            </w:r>
          </w:p>
        </w:tc>
        <w:tc>
          <w:tcPr>
            <w:tcW w:w="262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Household Size</w:t>
            </w:r>
          </w:p>
          <w:p>
            <w:pPr>
              <w:spacing w:before="0" w:after="0"/>
              <w:ind w:left="160"/>
              <w:jc w:val="center"/>
            </w:pPr>
            <w:r>
              <w:rPr>
                <w:rFonts w:ascii="Times New Roman" w:hAnsi="Times New Roman"/>
                <w:b/>
                <w:i w:val="false"/>
                <w:color w:val="000000"/>
                <w:sz w:val="16"/>
              </w:rPr>
              <w:t>(persons)</w:t>
            </w:r>
          </w:p>
        </w:tc>
        <w:tc>
          <w:tcPr>
            <w:tcW w:w="262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Income Limit</w:t>
            </w:r>
          </w:p>
          <w:p>
            <w:pPr>
              <w:spacing w:before="0" w:after="0"/>
              <w:ind w:left="160"/>
              <w:jc w:val="center"/>
            </w:pPr>
            <w:r>
              <w:rPr>
                <w:rFonts w:ascii="Times New Roman" w:hAnsi="Times New Roman"/>
                <w:b/>
                <w:i w:val="false"/>
                <w:color w:val="000000"/>
                <w:sz w:val="16"/>
              </w:rPr>
              <w:t>(per month)</w:t>
            </w:r>
          </w:p>
        </w:tc>
      </w:tr>
      <w:tr>
        <w:trPr>
          <w:trHeight w:val="225" w:hRule="atLeast"/>
        </w:trPr>
        <w:tc>
          <w:tcPr>
            <w:tcW w:w="262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Family Medical Assistance Program and Child Medical Assistance Program</w:t>
            </w:r>
          </w:p>
        </w:tc>
        <w:tc>
          <w:tcPr>
            <w:tcW w:w="331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2">
              <w:r>
                <w:rPr>
                  <w:rStyle w:val="Hyperlink"/>
                  <w:rFonts w:ascii="Times New Roman" w:hAnsi="Times New Roman"/>
                  <w:b w:val="false"/>
                  <w:i w:val="false"/>
                  <w:color w:val="000000"/>
                  <w:sz w:val="16"/>
                </w:rPr>
                <w:t>441—subrule 75.1(14)</w:t>
              </w:r>
            </w:hyperlink>
            <w:r>
              <w:rPr>
                <w:rFonts w:ascii="Times New Roman" w:hAnsi="Times New Roman"/>
                <w:b w:val="false"/>
                <w:i w:val="false"/>
                <w:color w:val="000000"/>
                <w:sz w:val="16"/>
              </w:rPr>
              <w:t xml:space="preserve"> and </w:t>
            </w:r>
            <w:hyperlink r:id="rId453">
              <w:r>
                <w:rPr>
                  <w:rStyle w:val="Hyperlink"/>
                  <w:rFonts w:ascii="Times New Roman" w:hAnsi="Times New Roman"/>
                  <w:b w:val="false"/>
                  <w:i w:val="false"/>
                  <w:color w:val="000000"/>
                  <w:sz w:val="16"/>
                </w:rPr>
                <w:t>441—subrule 75.1(15)</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435.110</w:t>
            </w:r>
            <w:r>
              <w:rPr>
                <w:rFonts w:ascii="Times New Roman" w:hAnsi="Times New Roman"/>
                <w:b w:val="false"/>
                <w:i w:val="false"/>
                <w:color w:val="000000"/>
                <w:sz w:val="16"/>
              </w:rPr>
              <w:t>; Title XIX of the Social Security Act, Section 1931</w:t>
            </w: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$447</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$716</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$872</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$1,177</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$1,330</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$1,481</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$1,633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$1,784</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$1,950</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$1,950 plus $178 for each additional person</w:t>
            </w:r>
          </w:p>
        </w:tc>
      </w:tr>
      <w:tr>
        <w:trPr>
          <w:trHeight w:val="58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Mothers and Children, for pregnant women and for infants under one year of age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4">
              <w:r>
                <w:rPr>
                  <w:rStyle w:val="Hyperlink"/>
                  <w:rFonts w:ascii="Times New Roman" w:hAnsi="Times New Roman"/>
                  <w:b w:val="false"/>
                  <w:i w:val="false"/>
                  <w:color w:val="000000"/>
                  <w:sz w:val="16"/>
                </w:rPr>
                <w:t>441—subrule 75.1(28)</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435.116</w:t>
            </w:r>
            <w:r>
              <w:rPr>
                <w:rFonts w:ascii="Times New Roman" w:hAnsi="Times New Roman"/>
                <w:b w:val="false"/>
                <w:i w:val="false"/>
                <w:color w:val="000000"/>
                <w:sz w:val="16"/>
              </w:rPr>
              <w:t>; Title XIX of the Social Security Act, Section 1902</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 of the federal poverty level for the household</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26"/>
        <w:gridCol w:w="3314"/>
        <w:gridCol w:w="2624"/>
        <w:gridCol w:w="2626"/>
      </w:tblGrid>
      <w:tr>
        <w:trPr>
          <w:trHeight w:val="58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Mothers and Children, for children aged 1 through 18 years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5">
              <w:r>
                <w:rPr>
                  <w:rStyle w:val="Hyperlink"/>
                  <w:rFonts w:ascii="Times New Roman" w:hAnsi="Times New Roman"/>
                  <w:b w:val="false"/>
                  <w:i w:val="false"/>
                  <w:color w:val="000000"/>
                  <w:sz w:val="16"/>
                </w:rPr>
                <w:t>441—subrule 75.1(28)</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435.116</w:t>
            </w:r>
            <w:r>
              <w:rPr>
                <w:rFonts w:ascii="Times New Roman" w:hAnsi="Times New Roman"/>
                <w:b w:val="false"/>
                <w:i w:val="false"/>
                <w:color w:val="000000"/>
                <w:sz w:val="16"/>
              </w:rPr>
              <w:t>; Title XIX of the Social Security Act, Section 1902</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167% of the federal poverty level for the household</w:t>
            </w:r>
          </w:p>
        </w:tc>
      </w:tr>
      <w:tr>
        <w:trPr>
          <w:trHeight w:val="40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Medicaid for Independent Young Adults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6">
              <w:r>
                <w:rPr>
                  <w:rStyle w:val="Hyperlink"/>
                  <w:rFonts w:ascii="Times New Roman" w:hAnsi="Times New Roman"/>
                  <w:b w:val="false"/>
                  <w:i w:val="false"/>
                  <w:color w:val="000000"/>
                  <w:sz w:val="16"/>
                </w:rPr>
                <w:t>441—subrule 75.1(42)</w:t>
              </w:r>
            </w:hyperlink>
            <w:r>
              <w:rPr>
                <w:rFonts w:ascii="Times New Roman" w:hAnsi="Times New Roman"/>
                <w:b w:val="false"/>
                <w:i w:val="false"/>
                <w:color w:val="000000"/>
                <w:sz w:val="16"/>
              </w:rPr>
              <w:t>; Title XIX of the Social Security Act, Section 1902(a)(10)(A)(ii)(VII)</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 of the federal poverty level for the household</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1212C</w:t>
      </w:r>
      <w:r>
        <w:rPr>
          <w:rFonts w:ascii="Times New Roman" w:hAnsi="Times New Roman"/>
          <w:b w:val="false"/>
          <w:i w:val="false"/>
          <w:color w:val="000000"/>
          <w:sz w:val="16"/>
        </w:rPr>
        <w:t>, IAB 12/11/13,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1356C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5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12/17/73, 5/16/74, 7/1/74]</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1/31/77, Notice 12/1/76—published 2/23/77, effective 3/30/77]</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emergency 6/22/77—published 7/13/77, effective 7/1/77]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emergency 7/28/78 after Notice 4/19/78—published 8/23/78, effective 7/28/78]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without Notice 9/25/80—published 10/15/80, effective 12/1/80]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12/9/81—published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7/30/82—published 8/18/82, effective 8/1/82]</w:t>
      </w:r>
    </w:p>
    <w:p>
      <w:pPr>
        <w:spacing w:before="0" w:after="0"/>
        <w:ind w:left="120"/>
        <w:jc w:val="center"/>
      </w:pPr>
      <w:r>
        <w:rPr>
          <w:rFonts w:ascii="Times New Roman" w:hAnsi="Times New Roman"/>
          <w:b w:val="false"/>
          <w:i w:val="false"/>
          <w:color w:val="000000"/>
          <w:sz w:val="21"/>
        </w:rPr>
        <w:t>[Filed 9/23/82, Notices 6/9/82, 8/4/82—published 10/13/82, effective 12/1/82]</w:t>
      </w:r>
    </w:p>
    <w:p>
      <w:pPr>
        <w:spacing w:before="0" w:after="0"/>
        <w:ind w:left="120"/>
        <w:jc w:val="center"/>
      </w:pPr>
      <w:r>
        <w:rPr>
          <w:rFonts w:ascii="Times New Roman" w:hAnsi="Times New Roman"/>
          <w:b w:val="false"/>
          <w:i w:val="false"/>
          <w:color w:val="000000"/>
          <w:sz w:val="21"/>
        </w:rPr>
        <w:t>[Filed emergency 3/18/83—published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emergency 1/17/85—published 2/13/85, effective 1/17/85]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2/21/86, Notice 1/15/86—published 3/12/86, effective 5/1/86]</w:t>
      </w:r>
    </w:p>
    <w:p>
      <w:pPr>
        <w:spacing w:before="0" w:after="0"/>
        <w:ind w:left="120"/>
        <w:jc w:val="center"/>
      </w:pPr>
      <w:r>
        <w:rPr>
          <w:rFonts w:ascii="Times New Roman" w:hAnsi="Times New Roman"/>
          <w:b w:val="false"/>
          <w:i w:val="false"/>
          <w:color w:val="000000"/>
          <w:sz w:val="21"/>
        </w:rPr>
        <w:t>[Filed emergency 3/21/86 after Notice 2/12/86—published 4/9/86, effective 4/1/86]</w:t>
      </w:r>
    </w:p>
    <w:p>
      <w:pPr>
        <w:spacing w:before="0" w:after="0"/>
        <w:ind w:left="120"/>
        <w:jc w:val="center"/>
      </w:pPr>
      <w:r>
        <w:rPr>
          <w:rFonts w:ascii="Times New Roman" w:hAnsi="Times New Roman"/>
          <w:b w:val="false"/>
          <w:i w:val="false"/>
          <w:color w:val="000000"/>
          <w:sz w:val="21"/>
        </w:rPr>
        <w:t>[Filed emergency 4/28/86—published 5/21/86, effective 5/1/86]</w:t>
      </w:r>
    </w:p>
    <w:p>
      <w:pPr>
        <w:spacing w:before="0" w:after="0"/>
        <w:ind w:left="120"/>
        <w:jc w:val="center"/>
      </w:pPr>
      <w:r>
        <w:rPr>
          <w:rFonts w:ascii="Times New Roman" w:hAnsi="Times New Roman"/>
          <w:b w:val="false"/>
          <w:i w:val="false"/>
          <w:color w:val="000000"/>
          <w:sz w:val="21"/>
        </w:rPr>
        <w:t>[Filed emergency 8/28/86—published 9/24/86, effective 9/1/86]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without Notice 1/15/87—published 2/11/87, effective 4/1/87]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3/26/87, Notice 2/11/87—published 4/22/87, effective 6/1/87]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5/29/87 after Notice 4/22/87—published 6/17/87,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after Notice 9/24/87, Notice 8/12/87—published 10/21/87, effective 10/1/87]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emergency after Notice 10/23/87, Notice 9/9/87—published 11/18/87,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3/16/88—published 4/6/88, effective 3/16/88]</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emergency 4/22/88—published 5/18/88, effective 5/1/88]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Notices 6/29/88</w:t>
      </w:r>
      <w:r>
        <w:rPr>
          <w:rFonts w:ascii="Times New Roman" w:hAnsi="Times New Roman"/>
          <w:b w:val="false"/>
          <w:i w:val="false"/>
          <w:color w:val="000000"/>
          <w:sz w:val="14"/>
        </w:rPr>
        <w:t>◊</w:t>
      </w:r>
      <w:r>
        <w:rPr>
          <w:rFonts w:ascii="Times New Roman" w:hAnsi="Times New Roman"/>
          <w:b w:val="false"/>
          <w:i w:val="false"/>
          <w:color w:val="000000"/>
          <w:sz w:val="21"/>
        </w:rPr>
        <w:t>—published 8/24/88, effective 10/1/88]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11/14/88—published 11/30/88, effective 11/14/88]</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6/9/89 after Notice 5/3/89—published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10/10/89—published 11/1/89, effective 12/1/89]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12/19/89, Notice 11/1/89—published 1/10/90, effective 3/1/90]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without Notice 2/16/90—published 3/7/90, effective 5/1/90]</w:t>
      </w:r>
    </w:p>
    <w:p>
      <w:pPr>
        <w:spacing w:before="0" w:after="0"/>
        <w:ind w:left="120"/>
        <w:jc w:val="center"/>
      </w:pPr>
      <w:r>
        <w:rPr>
          <w:rFonts w:ascii="Times New Roman" w:hAnsi="Times New Roman"/>
          <w:b w:val="false"/>
          <w:i w:val="false"/>
          <w:color w:val="000000"/>
          <w:sz w:val="21"/>
        </w:rPr>
        <w:t>[Filed emergency 3/14/90—published 4/4/90, effective 3/14/90]</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emergency 6/20/90 after Notice 4/18/90—published 7/11/90, effective 7/1/90]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emergency 8/16/90 after Notice of 6/27/90—published 9/5/90, effective 10/1/90]</w:t>
      </w:r>
    </w:p>
    <w:p>
      <w:pPr>
        <w:spacing w:before="0" w:after="0"/>
        <w:ind w:left="120"/>
        <w:jc w:val="center"/>
      </w:pPr>
      <w:r>
        <w:rPr>
          <w:rFonts w:ascii="Times New Roman" w:hAnsi="Times New Roman"/>
          <w:b w:val="false"/>
          <w:i w:val="false"/>
          <w:color w:val="000000"/>
          <w:sz w:val="21"/>
        </w:rPr>
        <w:t>[Filed 8/16/90, Notices 6/13/90,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emergency 4/11/91—published 5/1/91, effective 4/11/91]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emergency 5/17/91 after Notice 4/3/91—published 6/12/91, effective 7/1/91]</w:t>
      </w:r>
    </w:p>
    <w:p>
      <w:pPr>
        <w:spacing w:before="0" w:after="0"/>
        <w:ind w:left="120"/>
        <w:jc w:val="center"/>
      </w:pPr>
      <w:r>
        <w:rPr>
          <w:rFonts w:ascii="Times New Roman" w:hAnsi="Times New Roman"/>
          <w:b w:val="false"/>
          <w:i w:val="false"/>
          <w:color w:val="000000"/>
          <w:sz w:val="21"/>
        </w:rPr>
        <w:t>[Filed 5/17/91, Notices 4/3/90</w:t>
      </w:r>
      <w:r>
        <w:rPr>
          <w:rFonts w:ascii="Times New Roman" w:hAnsi="Times New Roman"/>
          <w:b w:val="false"/>
          <w:i w:val="false"/>
          <w:color w:val="000000"/>
          <w:sz w:val="14"/>
        </w:rPr>
        <w:t>◊</w:t>
      </w:r>
      <w:r>
        <w:rPr>
          <w:rFonts w:ascii="Times New Roman" w:hAnsi="Times New Roman"/>
          <w:b w:val="false"/>
          <w:i w:val="false"/>
          <w:color w:val="000000"/>
          <w:sz w:val="21"/>
        </w:rPr>
        <w:t>—published 6/12/91, effective 8/1/91]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emergency 12/11/91 after Notice 10/30/91—published 1/8/92, effective 1/1/92]</w:t>
      </w:r>
    </w:p>
    <w:p>
      <w:pPr>
        <w:spacing w:before="0" w:after="0"/>
        <w:ind w:left="120"/>
        <w:jc w:val="center"/>
      </w:pPr>
      <w:r>
        <w:rPr>
          <w:rFonts w:ascii="Times New Roman" w:hAnsi="Times New Roman"/>
          <w:b w:val="false"/>
          <w:i w:val="false"/>
          <w:color w:val="000000"/>
          <w:sz w:val="21"/>
        </w:rPr>
        <w:t>[Filed 12/11/92,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11/13/91—published 2/5/92, effective 4/1/92]</w:t>
      </w:r>
    </w:p>
    <w:p>
      <w:pPr>
        <w:spacing w:before="0" w:after="0"/>
        <w:ind w:left="120"/>
        <w:jc w:val="center"/>
      </w:pPr>
      <w:r>
        <w:rPr>
          <w:rFonts w:ascii="Times New Roman" w:hAnsi="Times New Roman"/>
          <w:b w:val="false"/>
          <w:i w:val="false"/>
          <w:color w:val="000000"/>
          <w:sz w:val="21"/>
        </w:rPr>
        <w:t>[Filed 2/13/92, Notices 1/8/92</w:t>
      </w:r>
      <w:r>
        <w:rPr>
          <w:rFonts w:ascii="Times New Roman" w:hAnsi="Times New Roman"/>
          <w:b w:val="false"/>
          <w:i w:val="false"/>
          <w:color w:val="000000"/>
          <w:sz w:val="14"/>
        </w:rPr>
        <w:t>◊</w:t>
      </w:r>
      <w:r>
        <w:rPr>
          <w:rFonts w:ascii="Times New Roman" w:hAnsi="Times New Roman"/>
          <w:b w:val="false"/>
          <w:i w:val="false"/>
          <w:color w:val="000000"/>
          <w:sz w:val="21"/>
        </w:rPr>
        <w:t>—published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5/14/92 after Notice 3/18/92—published 6/10/92, effective 7/1/92]</w:t>
      </w:r>
    </w:p>
    <w:p>
      <w:pPr>
        <w:spacing w:before="0" w:after="0"/>
        <w:ind w:left="120"/>
        <w:jc w:val="center"/>
      </w:pPr>
      <w:r>
        <w:rPr>
          <w:rFonts w:ascii="Times New Roman" w:hAnsi="Times New Roman"/>
          <w:b w:val="false"/>
          <w:i w:val="false"/>
          <w:color w:val="000000"/>
          <w:sz w:val="21"/>
        </w:rPr>
        <w:t>[Filed 5/14/92, Notices 3/18/92</w:t>
      </w:r>
      <w:r>
        <w:rPr>
          <w:rFonts w:ascii="Times New Roman" w:hAnsi="Times New Roman"/>
          <w:b w:val="false"/>
          <w:i w:val="false"/>
          <w:color w:val="000000"/>
          <w:sz w:val="14"/>
        </w:rPr>
        <w:t>◊</w:t>
      </w:r>
      <w:r>
        <w:rPr>
          <w:rFonts w:ascii="Times New Roman" w:hAnsi="Times New Roman"/>
          <w:b w:val="false"/>
          <w:i w:val="false"/>
          <w:color w:val="000000"/>
          <w:sz w:val="21"/>
        </w:rPr>
        <w:t>—published 6/10/92, effective 8/1/92]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emergency 1/14/93 after Notice 10/28/92—published 2/3/93, effective 2/1/93]</w:t>
      </w:r>
    </w:p>
    <w:p>
      <w:pPr>
        <w:spacing w:before="0" w:after="0"/>
        <w:ind w:left="120"/>
        <w:jc w:val="center"/>
      </w:pPr>
      <w:r>
        <w:rPr>
          <w:rFonts w:ascii="Times New Roman" w:hAnsi="Times New Roman"/>
          <w:b w:val="false"/>
          <w:i w:val="false"/>
          <w:color w:val="000000"/>
          <w:sz w:val="21"/>
        </w:rPr>
        <w:t>[Filed 1/14/93, Notices 10/28/92, 11/25/92, 12/9/92—published 2/3/93, effective 4/1/93]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4/15/93, Notice 2/17/93—published 5/12/93, effective 7/1/93]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without Notice 12/16/93—published 1/5/94, effective 2/9/94]</w:t>
      </w:r>
    </w:p>
    <w:p>
      <w:pPr>
        <w:spacing w:before="0" w:after="0"/>
        <w:ind w:left="120"/>
        <w:jc w:val="center"/>
      </w:pPr>
      <w:r>
        <w:rPr>
          <w:rFonts w:ascii="Times New Roman" w:hAnsi="Times New Roman"/>
          <w:b w:val="false"/>
          <w:i w:val="false"/>
          <w:color w:val="000000"/>
          <w:sz w:val="21"/>
        </w:rPr>
        <w:t>[Filed 12/16/93, Notices 10/13/93, 10/27/93—published 1/5/94, effective 3/1/94]</w:t>
      </w:r>
    </w:p>
    <w:p>
      <w:pPr>
        <w:spacing w:before="0" w:after="0"/>
        <w:ind w:left="120"/>
        <w:jc w:val="center"/>
      </w:pPr>
      <w:r>
        <w:rPr>
          <w:rFonts w:ascii="Times New Roman" w:hAnsi="Times New Roman"/>
          <w:b w:val="false"/>
          <w:i w:val="false"/>
          <w:color w:val="000000"/>
          <w:sz w:val="21"/>
        </w:rPr>
        <w:t>[Filed 2/10/94, Notices 12/8/93, 1/5/94</w:t>
      </w:r>
      <w:r>
        <w:rPr>
          <w:rFonts w:ascii="Times New Roman" w:hAnsi="Times New Roman"/>
          <w:b w:val="false"/>
          <w:i w:val="false"/>
          <w:color w:val="000000"/>
          <w:sz w:val="14"/>
        </w:rPr>
        <w:t>◊</w:t>
      </w:r>
      <w:r>
        <w:rPr>
          <w:rFonts w:ascii="Times New Roman" w:hAnsi="Times New Roman"/>
          <w:b w:val="false"/>
          <w:i w:val="false"/>
          <w:color w:val="000000"/>
          <w:sz w:val="21"/>
        </w:rPr>
        <w:t>—published 3/2/94, effective 5/1/94]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5/11/94, Notice 3/16/94—published 6/8/94, effective 8/1/94]</w:t>
      </w:r>
    </w:p>
    <w:p>
      <w:pPr>
        <w:spacing w:before="0" w:after="0"/>
        <w:ind w:left="120"/>
        <w:jc w:val="center"/>
      </w:pPr>
      <w:r>
        <w:rPr>
          <w:rFonts w:ascii="Times New Roman" w:hAnsi="Times New Roman"/>
          <w:b w:val="false"/>
          <w:i w:val="false"/>
          <w:color w:val="000000"/>
          <w:sz w:val="21"/>
        </w:rPr>
        <w:t>[Filed 6/16/94, Notice 4/27/94—published 7/6/94, effective 9/1/94]</w:t>
      </w:r>
    </w:p>
    <w:p>
      <w:pPr>
        <w:spacing w:before="0" w:after="0"/>
        <w:ind w:left="120"/>
        <w:jc w:val="center"/>
      </w:pPr>
      <w:r>
        <w:rPr>
          <w:rFonts w:ascii="Times New Roman" w:hAnsi="Times New Roman"/>
          <w:b w:val="false"/>
          <w:i w:val="false"/>
          <w:color w:val="000000"/>
          <w:sz w:val="21"/>
        </w:rPr>
        <w:t>[Filed 9/15/94, Notice 8/3/94—published 10/12/94, effective 11/16/94]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Notices 10/26/94, 11/9/94—published 1/4/95, effective 3/1/95]</w:t>
      </w:r>
    </w:p>
    <w:p>
      <w:pPr>
        <w:spacing w:before="0" w:after="0"/>
        <w:ind w:left="120"/>
        <w:jc w:val="center"/>
      </w:pPr>
      <w:r>
        <w:rPr>
          <w:rFonts w:ascii="Times New Roman" w:hAnsi="Times New Roman"/>
          <w:b w:val="false"/>
          <w:i w:val="false"/>
          <w:color w:val="000000"/>
          <w:sz w:val="21"/>
        </w:rPr>
        <w:t>[Filed 2/16/95, Notices 11/23/94, 12/21/94, 1/4/95—published 3/15/95, effective 5/1/95]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Notices 9/27/95, 10/11/95—published 12/6/95, effective 2/1/96]</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4/10/96, Notice 2/14/96—published 5/8/96, effective 7/1/96]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emergency 12/12/96—published 1/1/97, effective 1/1/97]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12/12/96, Notices 9/11/96, 10/9/96—published 1/1/97, effective 3/1/97]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emergency 12/10/97 after Notices 10/22/97, 11/5/97—published 12/31/97, effective 1/1/98]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2/11/98, Notice 12/31/97—published 3/11/98,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7/15/98, Notices 6/3/98—published 8/12/98,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3/10/99, Notice 1/27/99—published 4/7/99, effective 7/1/99]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5/14/99, Notice 4/7/99—published 6/2/99, effective 8/1/99]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11/10/99 after Notice 10/6/99—published 12/1/99, effective 12/1/99]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12/8/99, Notice 11/3/99—published 12/29/99, effective 2/2/00]</w:t>
      </w:r>
    </w:p>
    <w:p>
      <w:pPr>
        <w:spacing w:before="0" w:after="0"/>
        <w:ind w:left="120"/>
        <w:jc w:val="center"/>
      </w:pPr>
      <w:r>
        <w:rPr>
          <w:rFonts w:ascii="Times New Roman" w:hAnsi="Times New Roman"/>
          <w:b w:val="false"/>
          <w:i w:val="false"/>
          <w:color w:val="000000"/>
          <w:sz w:val="21"/>
        </w:rPr>
        <w:t>[Filed 12/8/99, Notice 10/6/99—published 12/29/99, effective 3/1/00]</w:t>
      </w:r>
    </w:p>
    <w:p>
      <w:pPr>
        <w:spacing w:before="0" w:after="0"/>
        <w:ind w:left="120"/>
        <w:jc w:val="center"/>
      </w:pPr>
      <w:r>
        <w:rPr>
          <w:rFonts w:ascii="Times New Roman" w:hAnsi="Times New Roman"/>
          <w:b w:val="false"/>
          <w:i w:val="false"/>
          <w:color w:val="000000"/>
          <w:sz w:val="21"/>
        </w:rPr>
        <w:t>[Filed 2/9/00, Notice 12/29/99—published 3/8/00, effective 5/1/00]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emergency 6/8/00 after Notice 4/19/00—published 6/28/00, effective 7/1/00]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3/13/02, Notice 1/23/02—published 4/3/02, effective 6/1/02]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12/12/02—published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1/9/03 after Notice 11/27/02—published 2/5/03, effective 2/1/03]</w:t>
      </w:r>
    </w:p>
    <w:p>
      <w:pPr>
        <w:spacing w:before="0" w:after="0"/>
        <w:ind w:left="120"/>
        <w:jc w:val="center"/>
      </w:pPr>
      <w:r>
        <w:rPr>
          <w:rFonts w:ascii="Times New Roman" w:hAnsi="Times New Roman"/>
          <w:b w:val="false"/>
          <w:i w:val="false"/>
          <w:color w:val="000000"/>
          <w:sz w:val="21"/>
        </w:rPr>
        <w:t>[Filed 1/9/03, Notice 11/27/02—published 2/5/03, effective 4/1/03]</w:t>
      </w:r>
    </w:p>
    <w:p>
      <w:pPr>
        <w:spacing w:before="0" w:after="0"/>
        <w:ind w:left="120"/>
        <w:jc w:val="center"/>
      </w:pPr>
      <w:r>
        <w:rPr>
          <w:rFonts w:ascii="Times New Roman" w:hAnsi="Times New Roman"/>
          <w:b w:val="false"/>
          <w:i w:val="false"/>
          <w:color w:val="000000"/>
          <w:sz w:val="21"/>
        </w:rPr>
        <w:t>[Filed emergency 3/14/03—published 4/2/03, effective 4/1/03]</w:t>
      </w:r>
    </w:p>
    <w:p>
      <w:pPr>
        <w:spacing w:before="0" w:after="0"/>
        <w:ind w:left="120"/>
        <w:jc w:val="center"/>
      </w:pPr>
      <w:r>
        <w:rPr>
          <w:rFonts w:ascii="Times New Roman" w:hAnsi="Times New Roman"/>
          <w:b w:val="false"/>
          <w:i w:val="false"/>
          <w:color w:val="000000"/>
          <w:sz w:val="21"/>
        </w:rPr>
        <w:t>[Filed without Notice 5/16/03—published 6/11/03, effective 7/16/03]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10/10/03]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3/11/04—published 3/31/04, effective 4/1/04]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9/23/04 after Notice 7/7/04—published 10/13/04, effective 10/1/04]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10/14/04, Notice 8/4/04—published 11/10/04, effective 1/1/05]</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emergency 7/15/05 after Notice 5/11/05—published 8/3/05, effective 8/1/05]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emergency 1/12/06 after Notice 11/23/05—published 2/1/06, effective 2/1/06]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without Notice 4/17/06—published 5/10/06, effective 7/1/06]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emergency 6/16/06 after Notice 5/10/06—published 7/5/06, effective 7/1/06]</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12/13/06, Notice 7/5/06—published 1/3/07, effective 2/7/07]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6/13/07—published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6/15/07—published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9/12/07, Notice 7/4/07—published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10/10/07 after Notice 8/29/07—published 11/7/07, effective 11/1/07]</w:t>
      </w:r>
    </w:p>
    <w:p>
      <w:pPr>
        <w:spacing w:before="0" w:after="0"/>
        <w:ind w:left="120"/>
        <w:jc w:val="center"/>
      </w:pPr>
      <w:r>
        <w:rPr>
          <w:rFonts w:ascii="Times New Roman" w:hAnsi="Times New Roman"/>
          <w:b w:val="false"/>
          <w:i w:val="false"/>
          <w:color w:val="000000"/>
          <w:sz w:val="21"/>
        </w:rPr>
        <w:t>[Filed 12/12/07, Notice 7/4/07—published 1/2/08, effective 2/6/08]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1/9/08 after Notice 12/5/07—published 1/30/08,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7546B</w:t>
      </w:r>
      <w:r>
        <w:rPr>
          <w:rFonts w:ascii="Times New Roman" w:hAnsi="Times New Roman"/>
          <w:b w:val="false"/>
          <w:i w:val="false"/>
          <w:color w:val="000000"/>
          <w:sz w:val="21"/>
        </w:rPr>
        <w:t xml:space="preserve"> (Notice ARC 7356B,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7834B</w:t>
      </w:r>
      <w:r>
        <w:rPr>
          <w:rFonts w:ascii="Times New Roman" w:hAnsi="Times New Roman"/>
          <w:b w:val="false"/>
          <w:i w:val="false"/>
          <w:color w:val="000000"/>
          <w:sz w:val="21"/>
        </w:rPr>
        <w:t xml:space="preserve"> (Notice ARC 7630B, IAB 3/11/09)</w:t>
      </w:r>
      <w:r>
        <w:rPr>
          <w:rFonts w:ascii="Times New Roman" w:hAnsi="Times New Roman"/>
          <w:b w:val="false"/>
          <w:i w:val="false"/>
          <w:color w:val="000000"/>
          <w:sz w:val="21"/>
        </w:rPr>
        <w:t>, IAB 6/3/09, effective 7/8/09]</w:t>
      </w:r>
      <w:r>
        <w:br/>
      </w:r>
      <w:r>
        <w:rPr>
          <w:rFonts w:ascii="Times New Roman" w:hAnsi="Times New Roman"/>
          <w:b w:val="false"/>
          <w:i w:val="false"/>
          <w:color w:val="000000"/>
          <w:sz w:val="21"/>
        </w:rPr>
        <w:t>[Filed ARC 7833B</w:t>
      </w:r>
      <w:r>
        <w:rPr>
          <w:rFonts w:ascii="Times New Roman" w:hAnsi="Times New Roman"/>
          <w:b w:val="false"/>
          <w:i w:val="false"/>
          <w:color w:val="000000"/>
          <w:sz w:val="21"/>
        </w:rPr>
        <w:t xml:space="preserve"> (Notice ARC 7629B, IAB 3/11/09)</w:t>
      </w:r>
      <w:r>
        <w:rPr>
          <w:rFonts w:ascii="Times New Roman" w:hAnsi="Times New Roman"/>
          <w:b w:val="false"/>
          <w:i w:val="false"/>
          <w:color w:val="000000"/>
          <w:sz w:val="21"/>
        </w:rPr>
        <w:t>, IAB 6/3/09, effective 8/1/09]</w:t>
      </w:r>
    </w:p>
    <w:p>
      <w:pPr>
        <w:spacing w:before="0" w:after="0"/>
        <w:ind w:left="120"/>
        <w:jc w:val="center"/>
      </w:pPr>
      <w:r>
        <w:rPr>
          <w:rFonts w:ascii="Times New Roman" w:hAnsi="Times New Roman"/>
          <w:b w:val="false"/>
          <w:i w:val="false"/>
          <w:color w:val="000000"/>
          <w:sz w:val="21"/>
        </w:rPr>
        <w:t>[Filed Emergency ARC 7929B, IAB 7/1/09, effective 7/1/09]</w:t>
      </w:r>
      <w:r>
        <w:br/>
      </w:r>
      <w:r>
        <w:rPr>
          <w:rFonts w:ascii="Times New Roman" w:hAnsi="Times New Roman"/>
          <w:b w:val="false"/>
          <w:i w:val="false"/>
          <w:color w:val="000000"/>
          <w:sz w:val="21"/>
        </w:rPr>
        <w:t>[Filed Emergency ARC 7931B, IAB 7/1/09, effective 7/1/09]</w:t>
      </w:r>
      <w:r>
        <w:br/>
      </w:r>
      <w:r>
        <w:rPr>
          <w:rFonts w:ascii="Times New Roman" w:hAnsi="Times New Roman"/>
          <w:b w:val="false"/>
          <w:i w:val="false"/>
          <w:color w:val="000000"/>
          <w:sz w:val="21"/>
        </w:rPr>
        <w:t>[Filed Emergency ARC 7932B, IAB 7/1/09, effective 7/1/09]</w:t>
      </w:r>
      <w:r>
        <w:br/>
      </w:r>
      <w:r>
        <w:rPr>
          <w:rFonts w:ascii="Times New Roman" w:hAnsi="Times New Roman"/>
          <w:b w:val="false"/>
          <w:i w:val="false"/>
          <w:color w:val="000000"/>
          <w:sz w:val="21"/>
        </w:rPr>
        <w:t>[Filed ARC 7935B</w:t>
      </w:r>
      <w:r>
        <w:rPr>
          <w:rFonts w:ascii="Times New Roman" w:hAnsi="Times New Roman"/>
          <w:b w:val="false"/>
          <w:i w:val="false"/>
          <w:color w:val="000000"/>
          <w:sz w:val="21"/>
        </w:rPr>
        <w:t xml:space="preserve"> (Notice ARC 7718B,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8095B</w:t>
      </w:r>
      <w:r>
        <w:rPr>
          <w:rFonts w:ascii="Times New Roman" w:hAnsi="Times New Roman"/>
          <w:b w:val="false"/>
          <w:i w:val="false"/>
          <w:color w:val="000000"/>
          <w:sz w:val="21"/>
        </w:rPr>
        <w:t xml:space="preserve"> (Notice ARC 7930B, IAB 7/1/09)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8096B</w:t>
      </w:r>
      <w:r>
        <w:rPr>
          <w:rFonts w:ascii="Times New Roman" w:hAnsi="Times New Roman"/>
          <w:b w:val="false"/>
          <w:i w:val="false"/>
          <w:color w:val="000000"/>
          <w:sz w:val="21"/>
        </w:rPr>
        <w:t xml:space="preserve"> (Notice ARC 7934B,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r>
        <w:br/>
      </w:r>
      <w:r>
        <w:rPr>
          <w:rFonts w:ascii="Times New Roman" w:hAnsi="Times New Roman"/>
          <w:b w:val="false"/>
          <w:i w:val="false"/>
          <w:color w:val="000000"/>
          <w:sz w:val="21"/>
        </w:rPr>
        <w:t>[Filed Emergency After Notice ARC 8261B, IAB 11/4/09, effective 10/15/09]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8443B</w:t>
      </w:r>
      <w:r>
        <w:rPr>
          <w:rFonts w:ascii="Times New Roman" w:hAnsi="Times New Roman"/>
          <w:b w:val="false"/>
          <w:i w:val="false"/>
          <w:color w:val="000000"/>
          <w:sz w:val="21"/>
        </w:rPr>
        <w:t xml:space="preserve"> (Notice ARC 8220B, IAB 10/7/09)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8444B</w:t>
      </w:r>
      <w:r>
        <w:rPr>
          <w:rFonts w:ascii="Times New Roman" w:hAnsi="Times New Roman"/>
          <w:b w:val="false"/>
          <w:i w:val="false"/>
          <w:color w:val="000000"/>
          <w:sz w:val="21"/>
        </w:rPr>
        <w:t xml:space="preserve"> (Notice ARC 8221B,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8503B</w:t>
      </w:r>
      <w:r>
        <w:rPr>
          <w:rFonts w:ascii="Times New Roman" w:hAnsi="Times New Roman"/>
          <w:b w:val="false"/>
          <w:i w:val="false"/>
          <w:color w:val="000000"/>
          <w:sz w:val="21"/>
        </w:rPr>
        <w:t xml:space="preserve"> (Notice ARC 8311B, IAB 11/18/09)</w:t>
      </w:r>
      <w:r>
        <w:rPr>
          <w:rFonts w:ascii="Times New Roman" w:hAnsi="Times New Roman"/>
          <w:b w:val="false"/>
          <w:i w:val="false"/>
          <w:color w:val="000000"/>
          <w:sz w:val="21"/>
        </w:rPr>
        <w:t>, IAB 2/10/10, effective 1/13/10]</w:t>
      </w:r>
      <w:r>
        <w:br/>
      </w: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Without Notice ARC 8713B, IAB 5/5/10, effective 8/1/10]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r>
        <w:br/>
      </w:r>
      <w:r>
        <w:rPr>
          <w:rFonts w:ascii="Times New Roman" w:hAnsi="Times New Roman"/>
          <w:b w:val="false"/>
          <w:i w:val="false"/>
          <w:color w:val="000000"/>
          <w:sz w:val="21"/>
        </w:rPr>
        <w:t>[Filed ARC 8785B</w:t>
      </w:r>
      <w:r>
        <w:rPr>
          <w:rFonts w:ascii="Times New Roman" w:hAnsi="Times New Roman"/>
          <w:b w:val="false"/>
          <w:i w:val="false"/>
          <w:color w:val="000000"/>
          <w:sz w:val="21"/>
        </w:rPr>
        <w:t xml:space="preserve"> (Notice ARC 8619B, IAB 3/24/10)</w:t>
      </w:r>
      <w:r>
        <w:rPr>
          <w:rFonts w:ascii="Times New Roman" w:hAnsi="Times New Roman"/>
          <w:b w:val="false"/>
          <w:i w:val="false"/>
          <w:color w:val="000000"/>
          <w:sz w:val="21"/>
        </w:rPr>
        <w:t>, IAB 6/2/10, effective 8/1/10]</w:t>
      </w:r>
    </w:p>
    <w:p>
      <w:pPr>
        <w:spacing w:before="0" w:after="0"/>
        <w:ind w:left="120"/>
        <w:jc w:val="center"/>
      </w:pPr>
      <w:r>
        <w:rPr>
          <w:rFonts w:ascii="Times New Roman" w:hAnsi="Times New Roman"/>
          <w:b w:val="false"/>
          <w:i w:val="false"/>
          <w:color w:val="000000"/>
          <w:sz w:val="21"/>
        </w:rPr>
        <w:t>[Filed Emergency ARC 8898B, IAB 6/30/10, effective 7/1/10]</w:t>
      </w:r>
      <w:r>
        <w:br/>
      </w:r>
      <w:r>
        <w:rPr>
          <w:rFonts w:ascii="Times New Roman" w:hAnsi="Times New Roman"/>
          <w:b w:val="false"/>
          <w:i w:val="false"/>
          <w:color w:val="000000"/>
          <w:sz w:val="21"/>
        </w:rPr>
        <w:t>[Filed ARC 8897B</w:t>
      </w:r>
      <w:r>
        <w:rPr>
          <w:rFonts w:ascii="Times New Roman" w:hAnsi="Times New Roman"/>
          <w:b w:val="false"/>
          <w:i w:val="false"/>
          <w:color w:val="000000"/>
          <w:sz w:val="21"/>
        </w:rPr>
        <w:t xml:space="preserve"> (Notice ARC 8705B,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r>
        <w:br/>
      </w:r>
      <w:r>
        <w:rPr>
          <w:rFonts w:ascii="Times New Roman" w:hAnsi="Times New Roman"/>
          <w:b w:val="false"/>
          <w:i w:val="false"/>
          <w:color w:val="000000"/>
          <w:sz w:val="21"/>
        </w:rPr>
        <w:t>[Filed ARC 9044B</w:t>
      </w:r>
      <w:r>
        <w:rPr>
          <w:rFonts w:ascii="Times New Roman" w:hAnsi="Times New Roman"/>
          <w:b w:val="false"/>
          <w:i w:val="false"/>
          <w:color w:val="000000"/>
          <w:sz w:val="21"/>
        </w:rPr>
        <w:t xml:space="preserve"> (Notice ARC 8864B,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9404B</w:t>
      </w:r>
      <w:r>
        <w:rPr>
          <w:rFonts w:ascii="Times New Roman" w:hAnsi="Times New Roman"/>
          <w:b w:val="false"/>
          <w:i w:val="false"/>
          <w:color w:val="000000"/>
          <w:sz w:val="21"/>
        </w:rPr>
        <w:t xml:space="preserve"> (Notice ARC 9277B, IAB 12/15/10)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Emergency ARC 9582B, IAB 6/29/11, effective 7/1/11]</w:t>
      </w:r>
      <w:r>
        <w:br/>
      </w:r>
      <w:r>
        <w:rPr>
          <w:rFonts w:ascii="Times New Roman" w:hAnsi="Times New Roman"/>
          <w:b w:val="false"/>
          <w:i w:val="false"/>
          <w:color w:val="000000"/>
          <w:sz w:val="21"/>
        </w:rPr>
        <w:t>[Filed ARC 9581B</w:t>
      </w:r>
      <w:r>
        <w:rPr>
          <w:rFonts w:ascii="Times New Roman" w:hAnsi="Times New Roman"/>
          <w:b w:val="false"/>
          <w:i w:val="false"/>
          <w:color w:val="000000"/>
          <w:sz w:val="21"/>
        </w:rPr>
        <w:t xml:space="preserve"> (Notice ARC 9479B,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Emergency ARC 9647B, IAB 8/10/11, effective 8/1/11]</w:t>
      </w:r>
    </w:p>
    <w:p>
      <w:pPr>
        <w:spacing w:before="0" w:after="0"/>
        <w:ind w:left="120"/>
        <w:jc w:val="center"/>
      </w:pPr>
      <w:r>
        <w:rPr>
          <w:rFonts w:ascii="Times New Roman" w:hAnsi="Times New Roman"/>
          <w:b w:val="false"/>
          <w:i w:val="false"/>
          <w:color w:val="000000"/>
          <w:sz w:val="21"/>
        </w:rPr>
        <w:t>[Filed Emergency ARC 9696B, IAB 9/7/11, effective 9/1/11]</w:t>
      </w:r>
    </w:p>
    <w:p>
      <w:pPr>
        <w:spacing w:before="0" w:after="0"/>
        <w:ind w:left="120"/>
        <w:jc w:val="center"/>
      </w:pPr>
      <w:r>
        <w:rPr>
          <w:rFonts w:ascii="Times New Roman" w:hAnsi="Times New Roman"/>
          <w:b w:val="false"/>
          <w:i w:val="false"/>
          <w:color w:val="000000"/>
          <w:sz w:val="21"/>
        </w:rPr>
        <w:t>[Filed ARC 9881B</w:t>
      </w:r>
      <w:r>
        <w:rPr>
          <w:rFonts w:ascii="Times New Roman" w:hAnsi="Times New Roman"/>
          <w:b w:val="false"/>
          <w:i w:val="false"/>
          <w:color w:val="000000"/>
          <w:sz w:val="21"/>
        </w:rPr>
        <w:t xml:space="preserve"> (Notice ARC 9697B,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9956B</w:t>
      </w:r>
      <w:r>
        <w:rPr>
          <w:rFonts w:ascii="Times New Roman" w:hAnsi="Times New Roman"/>
          <w:b w:val="false"/>
          <w:i w:val="false"/>
          <w:color w:val="000000"/>
          <w:sz w:val="21"/>
        </w:rPr>
        <w:t xml:space="preserve"> (Notice ARC 9648B, IAB 8/10/11)</w:t>
      </w:r>
      <w:r>
        <w:rPr>
          <w:rFonts w:ascii="Times New Roman" w:hAnsi="Times New Roman"/>
          <w:b w:val="false"/>
          <w:i w:val="false"/>
          <w:color w:val="000000"/>
          <w:sz w:val="21"/>
        </w:rPr>
        <w:t>, IAB 1/11/12, effective 1/1/12]</w:t>
      </w:r>
      <w:r>
        <w:br/>
      </w:r>
      <w:r>
        <w:rPr>
          <w:rFonts w:ascii="Times New Roman" w:hAnsi="Times New Roman"/>
          <w:b w:val="false"/>
          <w:i w:val="false"/>
          <w:color w:val="000000"/>
          <w:sz w:val="21"/>
        </w:rPr>
        <w:t>[Filed Emergency After Notice ARC 9957B</w:t>
      </w:r>
      <w:r>
        <w:rPr>
          <w:rFonts w:ascii="Times New Roman" w:hAnsi="Times New Roman"/>
          <w:b w:val="false"/>
          <w:i w:val="false"/>
          <w:color w:val="000000"/>
          <w:sz w:val="21"/>
        </w:rPr>
        <w:t xml:space="preserve"> (Notice ARC 9804B, IAB 10/19/11)</w:t>
      </w:r>
      <w:r>
        <w:rPr>
          <w:rFonts w:ascii="Times New Roman" w:hAnsi="Times New Roman"/>
          <w:b w:val="false"/>
          <w:i w:val="false"/>
          <w:color w:val="000000"/>
          <w:sz w:val="21"/>
        </w:rPr>
        <w:t>, IAB 1/11/12, effective 1/1/12]</w:t>
      </w:r>
    </w:p>
    <w:p>
      <w:pPr>
        <w:spacing w:before="0" w:after="0"/>
        <w:ind w:left="120"/>
        <w:jc w:val="center"/>
      </w:pPr>
      <w:r>
        <w:rPr>
          <w:rFonts w:ascii="Times New Roman" w:hAnsi="Times New Roman"/>
          <w:b w:val="false"/>
          <w:i w:val="false"/>
          <w:color w:val="000000"/>
          <w:sz w:val="21"/>
        </w:rPr>
        <w:t>[Filed ARC 0149C</w:t>
      </w:r>
      <w:r>
        <w:rPr>
          <w:rFonts w:ascii="Times New Roman" w:hAnsi="Times New Roman"/>
          <w:b w:val="false"/>
          <w:i w:val="false"/>
          <w:color w:val="000000"/>
          <w:sz w:val="21"/>
        </w:rPr>
        <w:t xml:space="preserve"> (Notice ARC 0047C,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ARC 0192C, IAB 7/11/12, effective 7/1/12]</w:t>
      </w:r>
    </w:p>
    <w:p>
      <w:pPr>
        <w:spacing w:before="0" w:after="0"/>
        <w:ind w:left="120"/>
        <w:jc w:val="center"/>
      </w:pPr>
      <w:r>
        <w:rPr>
          <w:rFonts w:ascii="Times New Roman" w:hAnsi="Times New Roman"/>
          <w:b w:val="false"/>
          <w:i w:val="false"/>
          <w:color w:val="000000"/>
          <w:sz w:val="21"/>
        </w:rPr>
        <w:t>[Filed ARC 0579C</w:t>
      </w:r>
      <w:r>
        <w:rPr>
          <w:rFonts w:ascii="Times New Roman" w:hAnsi="Times New Roman"/>
          <w:b w:val="false"/>
          <w:i w:val="false"/>
          <w:color w:val="000000"/>
          <w:sz w:val="21"/>
        </w:rPr>
        <w:t xml:space="preserve"> (Notice ARC 0432C,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Emergency After Notice ARC 0822C</w:t>
      </w:r>
      <w:r>
        <w:rPr>
          <w:rFonts w:ascii="Times New Roman" w:hAnsi="Times New Roman"/>
          <w:b w:val="false"/>
          <w:i w:val="false"/>
          <w:color w:val="000000"/>
          <w:sz w:val="21"/>
        </w:rPr>
        <w:t xml:space="preserve"> (Notice ARC 0690C,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0821C</w:t>
      </w:r>
      <w:r>
        <w:rPr>
          <w:rFonts w:ascii="Times New Roman" w:hAnsi="Times New Roman"/>
          <w:b w:val="false"/>
          <w:i w:val="false"/>
          <w:color w:val="000000"/>
          <w:sz w:val="21"/>
        </w:rPr>
        <w:t xml:space="preserve"> (Notice ARC 0691C,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0820C</w:t>
      </w:r>
      <w:r>
        <w:rPr>
          <w:rFonts w:ascii="Times New Roman" w:hAnsi="Times New Roman"/>
          <w:b w:val="false"/>
          <w:i w:val="false"/>
          <w:color w:val="000000"/>
          <w:sz w:val="21"/>
        </w:rPr>
        <w:t xml:space="preserve"> (Notice ARC 0668C, IAB 4/3/13)</w:t>
      </w:r>
      <w:r>
        <w:rPr>
          <w:rFonts w:ascii="Times New Roman" w:hAnsi="Times New Roman"/>
          <w:b w:val="false"/>
          <w:i w:val="false"/>
          <w:color w:val="000000"/>
          <w:sz w:val="21"/>
        </w:rPr>
        <w:t>, IAB 7/10/13, effective 8/1/13]</w:t>
      </w:r>
    </w:p>
    <w:p>
      <w:pPr>
        <w:spacing w:before="0" w:after="0"/>
        <w:ind w:left="120"/>
        <w:jc w:val="center"/>
      </w:pPr>
      <w:r>
        <w:rPr>
          <w:rFonts w:ascii="Times New Roman" w:hAnsi="Times New Roman"/>
          <w:b w:val="false"/>
          <w:i w:val="false"/>
          <w:color w:val="000000"/>
          <w:sz w:val="21"/>
        </w:rPr>
        <w:t>[Filed ARC 0990C</w:t>
      </w:r>
      <w:r>
        <w:rPr>
          <w:rFonts w:ascii="Times New Roman" w:hAnsi="Times New Roman"/>
          <w:b w:val="false"/>
          <w:i w:val="false"/>
          <w:color w:val="000000"/>
          <w:sz w:val="21"/>
        </w:rPr>
        <w:t xml:space="preserve"> (Notice ARC 0746C, IAB 5/15/13)</w:t>
      </w:r>
      <w:r>
        <w:rPr>
          <w:rFonts w:ascii="Times New Roman" w:hAnsi="Times New Roman"/>
          <w:b w:val="false"/>
          <w:i w:val="false"/>
          <w:color w:val="000000"/>
          <w:sz w:val="21"/>
        </w:rPr>
        <w:t>, IAB 9/4/13, effective 1/1/14]</w:t>
      </w:r>
    </w:p>
    <w:p>
      <w:pPr>
        <w:spacing w:before="0" w:after="0"/>
        <w:ind w:left="120"/>
        <w:jc w:val="center"/>
      </w:pPr>
      <w:r>
        <w:rPr>
          <w:rFonts w:ascii="Times New Roman" w:hAnsi="Times New Roman"/>
          <w:b w:val="false"/>
          <w:i w:val="false"/>
          <w:color w:val="000000"/>
          <w:sz w:val="21"/>
        </w:rPr>
        <w:t>[Filed Emergency After Notice ARC 1134C</w:t>
      </w:r>
      <w:r>
        <w:rPr>
          <w:rFonts w:ascii="Times New Roman" w:hAnsi="Times New Roman"/>
          <w:b w:val="false"/>
          <w:i w:val="false"/>
          <w:color w:val="000000"/>
          <w:sz w:val="21"/>
        </w:rPr>
        <w:t xml:space="preserve"> (Notice ARC 0971C,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1212C, IAB 12/11/13, effective 1/1/14]</w:t>
      </w:r>
    </w:p>
    <w:p>
      <w:pPr>
        <w:spacing w:before="0" w:after="0"/>
        <w:ind w:left="120"/>
        <w:jc w:val="center"/>
      </w:pPr>
      <w:r>
        <w:rPr>
          <w:rFonts w:ascii="Times New Roman" w:hAnsi="Times New Roman"/>
          <w:b w:val="false"/>
          <w:i w:val="false"/>
          <w:color w:val="000000"/>
          <w:sz w:val="21"/>
        </w:rPr>
        <w:t>[Filed Emergency ARC 1266C, IAB 1/8/14, effective 1/1/14]</w:t>
      </w:r>
    </w:p>
    <w:p>
      <w:pPr>
        <w:spacing w:before="0" w:after="0"/>
        <w:ind w:left="120"/>
        <w:jc w:val="center"/>
      </w:pPr>
      <w:r>
        <w:rPr>
          <w:rFonts w:ascii="Times New Roman" w:hAnsi="Times New Roman"/>
          <w:b w:val="false"/>
          <w:i w:val="false"/>
          <w:color w:val="000000"/>
          <w:sz w:val="21"/>
        </w:rPr>
        <w:t>[Filed ARC 1355C</w:t>
      </w:r>
      <w:r>
        <w:rPr>
          <w:rFonts w:ascii="Times New Roman" w:hAnsi="Times New Roman"/>
          <w:b w:val="false"/>
          <w:i w:val="false"/>
          <w:color w:val="000000"/>
          <w:sz w:val="21"/>
        </w:rPr>
        <w:t xml:space="preserve"> (Notice ARC 1265C, IAB 1/8/14)</w:t>
      </w:r>
      <w:r>
        <w:rPr>
          <w:rFonts w:ascii="Times New Roman" w:hAnsi="Times New Roman"/>
          <w:b w:val="false"/>
          <w:i w:val="false"/>
          <w:color w:val="000000"/>
          <w:sz w:val="21"/>
        </w:rPr>
        <w:t>, IAB 3/5/14, effective 4/9/14]</w:t>
      </w:r>
      <w:r>
        <w:br/>
      </w:r>
      <w:r>
        <w:rPr>
          <w:rFonts w:ascii="Times New Roman" w:hAnsi="Times New Roman"/>
          <w:b w:val="false"/>
          <w:i w:val="false"/>
          <w:color w:val="000000"/>
          <w:sz w:val="21"/>
        </w:rPr>
        <w:t>[Filed ARC 1356C</w:t>
      </w:r>
      <w:r>
        <w:rPr>
          <w:rFonts w:ascii="Times New Roman" w:hAnsi="Times New Roman"/>
          <w:b w:val="false"/>
          <w:i w:val="false"/>
          <w:color w:val="000000"/>
          <w:sz w:val="21"/>
        </w:rPr>
        <w:t xml:space="preserve"> (Notice ARC 1211C,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1447C</w:t>
      </w:r>
      <w:r>
        <w:rPr>
          <w:rFonts w:ascii="Times New Roman" w:hAnsi="Times New Roman"/>
          <w:b w:val="false"/>
          <w:i w:val="false"/>
          <w:color w:val="000000"/>
          <w:sz w:val="21"/>
        </w:rPr>
        <w:t xml:space="preserve"> (Notice ARC 1368C,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1484C</w:t>
      </w:r>
      <w:r>
        <w:rPr>
          <w:rFonts w:ascii="Times New Roman" w:hAnsi="Times New Roman"/>
          <w:b w:val="false"/>
          <w:i w:val="false"/>
          <w:color w:val="000000"/>
          <w:sz w:val="21"/>
        </w:rPr>
        <w:t xml:space="preserve"> (Notice ARC 1415C,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Emergency After Notice ARC 1483C</w:t>
      </w:r>
      <w:r>
        <w:rPr>
          <w:rFonts w:ascii="Times New Roman" w:hAnsi="Times New Roman"/>
          <w:b w:val="false"/>
          <w:i w:val="false"/>
          <w:color w:val="000000"/>
          <w:sz w:val="21"/>
        </w:rPr>
        <w:t xml:space="preserve"> (Notice ARC 1416C,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ARC 1482C</w:t>
      </w:r>
      <w:r>
        <w:rPr>
          <w:rFonts w:ascii="Times New Roman" w:hAnsi="Times New Roman"/>
          <w:b w:val="false"/>
          <w:i w:val="false"/>
          <w:color w:val="000000"/>
          <w:sz w:val="21"/>
        </w:rPr>
        <w:t xml:space="preserve"> (Notice ARC 1417C,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After Notice ARC 2027C</w:t>
      </w:r>
      <w:r>
        <w:rPr>
          <w:rFonts w:ascii="Times New Roman" w:hAnsi="Times New Roman"/>
          <w:b w:val="false"/>
          <w:i w:val="false"/>
          <w:color w:val="000000"/>
          <w:sz w:val="21"/>
        </w:rPr>
        <w:t xml:space="preserve"> (Notice ARC 1952C, IAB 4/1/15)</w:t>
      </w:r>
      <w:r>
        <w:rPr>
          <w:rFonts w:ascii="Times New Roman" w:hAnsi="Times New Roman"/>
          <w:b w:val="false"/>
          <w:i w:val="false"/>
          <w:color w:val="000000"/>
          <w:sz w:val="21"/>
        </w:rPr>
        <w:t>, IAB 6/10/15, effective 7/1/15]</w:t>
      </w:r>
      <w:r>
        <w:br/>
      </w:r>
      <w:r>
        <w:rPr>
          <w:rFonts w:ascii="Times New Roman" w:hAnsi="Times New Roman"/>
          <w:b w:val="false"/>
          <w:i w:val="false"/>
          <w:color w:val="000000"/>
          <w:sz w:val="21"/>
        </w:rPr>
        <w:t>[Filed ARC 2029C</w:t>
      </w:r>
      <w:r>
        <w:rPr>
          <w:rFonts w:ascii="Times New Roman" w:hAnsi="Times New Roman"/>
          <w:b w:val="false"/>
          <w:i w:val="false"/>
          <w:color w:val="000000"/>
          <w:sz w:val="21"/>
        </w:rPr>
        <w:t xml:space="preserve"> (Notice ARC 1951C, IAB 4/1/15)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2557C</w:t>
      </w:r>
      <w:r>
        <w:rPr>
          <w:rFonts w:ascii="Times New Roman" w:hAnsi="Times New Roman"/>
          <w:b w:val="false"/>
          <w:i w:val="false"/>
          <w:color w:val="000000"/>
          <w:sz w:val="21"/>
        </w:rPr>
        <w:t xml:space="preserve"> (Notice ARC 2469C, IAB 3/30/16)</w:t>
      </w:r>
      <w:r>
        <w:rPr>
          <w:rFonts w:ascii="Times New Roman" w:hAnsi="Times New Roman"/>
          <w:b w:val="false"/>
          <w:i w:val="false"/>
          <w:color w:val="000000"/>
          <w:sz w:val="21"/>
        </w:rPr>
        <w:t>, IAB 6/8/16, effective 8/1/16]</w:t>
      </w:r>
    </w:p>
    <w:p>
      <w:pPr>
        <w:spacing w:before="0" w:after="0"/>
        <w:ind w:left="120"/>
        <w:jc w:val="center"/>
      </w:pPr>
      <w:r>
        <w:rPr>
          <w:rFonts w:ascii="Times New Roman" w:hAnsi="Times New Roman"/>
          <w:b w:val="false"/>
          <w:i w:val="false"/>
          <w:color w:val="000000"/>
          <w:sz w:val="21"/>
        </w:rPr>
        <w:t>[Filed Emergency After Notice ARC 2605C</w:t>
      </w:r>
      <w:r>
        <w:rPr>
          <w:rFonts w:ascii="Times New Roman" w:hAnsi="Times New Roman"/>
          <w:b w:val="false"/>
          <w:i w:val="false"/>
          <w:color w:val="000000"/>
          <w:sz w:val="21"/>
        </w:rPr>
        <w:t xml:space="preserve"> (Notice ARC 2505C, IAB 4/27/16)</w:t>
      </w:r>
      <w:r>
        <w:rPr>
          <w:rFonts w:ascii="Times New Roman" w:hAnsi="Times New Roman"/>
          <w:b w:val="false"/>
          <w:i w:val="false"/>
          <w:color w:val="000000"/>
          <w:sz w:val="21"/>
        </w:rPr>
        <w:t>, IAB 7/6/16, effective 7/1/16]</w:t>
      </w:r>
    </w:p>
    <w:p>
      <w:pPr>
        <w:spacing w:before="0" w:after="0"/>
        <w:ind w:left="120"/>
        <w:jc w:val="center"/>
      </w:pPr>
      <w:r>
        <w:rPr>
          <w:rFonts w:ascii="Times New Roman" w:hAnsi="Times New Roman"/>
          <w:b w:val="false"/>
          <w:i w:val="false"/>
          <w:color w:val="000000"/>
          <w:sz w:val="21"/>
        </w:rPr>
        <w:t>[Filed ARC 3094C</w:t>
      </w:r>
      <w:r>
        <w:rPr>
          <w:rFonts w:ascii="Times New Roman" w:hAnsi="Times New Roman"/>
          <w:b w:val="false"/>
          <w:i w:val="false"/>
          <w:color w:val="000000"/>
          <w:sz w:val="21"/>
        </w:rPr>
        <w:t xml:space="preserve"> (Notice ARC 3001C,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Emergency After Notice ARC 3182C</w:t>
      </w:r>
      <w:r>
        <w:rPr>
          <w:rFonts w:ascii="Times New Roman" w:hAnsi="Times New Roman"/>
          <w:b w:val="false"/>
          <w:i w:val="false"/>
          <w:color w:val="000000"/>
          <w:sz w:val="21"/>
        </w:rPr>
        <w:t xml:space="preserve"> (Notice ARC 3016C, IAB 4/12/17)</w:t>
      </w:r>
      <w:r>
        <w:rPr>
          <w:rFonts w:ascii="Times New Roman" w:hAnsi="Times New Roman"/>
          <w:b w:val="false"/>
          <w:i w:val="false"/>
          <w:color w:val="000000"/>
          <w:sz w:val="21"/>
        </w:rPr>
        <w:t>, IAB 7/5/17, effective 7/1/17]</w:t>
      </w:r>
      <w:r>
        <w:br/>
      </w:r>
      <w:r>
        <w:rPr>
          <w:rFonts w:ascii="Times New Roman" w:hAnsi="Times New Roman"/>
          <w:b w:val="false"/>
          <w:i w:val="false"/>
          <w:color w:val="000000"/>
          <w:sz w:val="21"/>
        </w:rPr>
        <w:t>[Filed Emergency After Notice ARC 3183C</w:t>
      </w:r>
      <w:r>
        <w:rPr>
          <w:rFonts w:ascii="Times New Roman" w:hAnsi="Times New Roman"/>
          <w:b w:val="false"/>
          <w:i w:val="false"/>
          <w:color w:val="000000"/>
          <w:sz w:val="21"/>
        </w:rPr>
        <w:t xml:space="preserve"> (Notice ARC 3017C, IAB 4/12/17)</w:t>
      </w:r>
      <w:r>
        <w:rPr>
          <w:rFonts w:ascii="Times New Roman" w:hAnsi="Times New Roman"/>
          <w:b w:val="false"/>
          <w:i w:val="false"/>
          <w:color w:val="000000"/>
          <w:sz w:val="21"/>
        </w:rPr>
        <w:t>, IAB 7/5/17, effective 7/1/17]</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3493C</w:t>
      </w:r>
      <w:r>
        <w:rPr>
          <w:rFonts w:ascii="Times New Roman" w:hAnsi="Times New Roman"/>
          <w:b w:val="false"/>
          <w:i w:val="false"/>
          <w:color w:val="000000"/>
          <w:sz w:val="21"/>
        </w:rPr>
        <w:t xml:space="preserve"> (Notice ARC 3323C,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Emergency After Notice ARC 3869C</w:t>
      </w:r>
      <w:r>
        <w:rPr>
          <w:rFonts w:ascii="Times New Roman" w:hAnsi="Times New Roman"/>
          <w:b w:val="false"/>
          <w:i w:val="false"/>
          <w:color w:val="000000"/>
          <w:sz w:val="21"/>
        </w:rPr>
        <w:t xml:space="preserve"> (Notice ARC 3760C,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Emergency After Notice ARC 3870C</w:t>
      </w:r>
      <w:r>
        <w:rPr>
          <w:rFonts w:ascii="Times New Roman" w:hAnsi="Times New Roman"/>
          <w:b w:val="false"/>
          <w:i w:val="false"/>
          <w:color w:val="000000"/>
          <w:sz w:val="21"/>
        </w:rPr>
        <w:t xml:space="preserve"> (Notice ARC 3761C,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ARC 3873C</w:t>
      </w:r>
      <w:r>
        <w:rPr>
          <w:rFonts w:ascii="Times New Roman" w:hAnsi="Times New Roman"/>
          <w:b w:val="false"/>
          <w:i w:val="false"/>
          <w:color w:val="000000"/>
          <w:sz w:val="21"/>
        </w:rPr>
        <w:t xml:space="preserve"> (Notice ARC 3704C, IAB 3/28/18)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After Notice ARC 4572C</w:t>
      </w:r>
      <w:r>
        <w:rPr>
          <w:rFonts w:ascii="Times New Roman" w:hAnsi="Times New Roman"/>
          <w:b w:val="false"/>
          <w:i w:val="false"/>
          <w:color w:val="000000"/>
          <w:sz w:val="21"/>
        </w:rPr>
        <w:t xml:space="preserve"> (Notice ARC 4443C, IAB 5/22/19)</w:t>
      </w:r>
      <w:r>
        <w:rPr>
          <w:rFonts w:ascii="Times New Roman" w:hAnsi="Times New Roman"/>
          <w:b w:val="false"/>
          <w:i w:val="false"/>
          <w:color w:val="000000"/>
          <w:sz w:val="21"/>
        </w:rPr>
        <w:t>, IAB 7/31/19, effective 7/11/19]</w:t>
      </w:r>
      <w:r>
        <w:br/>
      </w:r>
      <w:r>
        <w:rPr>
          <w:rFonts w:ascii="Times New Roman" w:hAnsi="Times New Roman"/>
          <w:b w:val="false"/>
          <w:i w:val="false"/>
          <w:color w:val="000000"/>
          <w:sz w:val="21"/>
        </w:rPr>
        <w:t>[Filed ARC 4574C</w:t>
      </w:r>
      <w:r>
        <w:rPr>
          <w:rFonts w:ascii="Times New Roman" w:hAnsi="Times New Roman"/>
          <w:b w:val="false"/>
          <w:i w:val="false"/>
          <w:color w:val="000000"/>
          <w:sz w:val="21"/>
        </w:rPr>
        <w:t xml:space="preserve"> (Notice ARC 4442C,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4898C</w:t>
      </w:r>
      <w:r>
        <w:rPr>
          <w:rFonts w:ascii="Times New Roman" w:hAnsi="Times New Roman"/>
          <w:b w:val="false"/>
          <w:i w:val="false"/>
          <w:color w:val="000000"/>
          <w:sz w:val="21"/>
        </w:rPr>
        <w:t xml:space="preserve"> (Notice ARC 4738C,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5174C</w:t>
      </w:r>
      <w:r>
        <w:rPr>
          <w:rFonts w:ascii="Times New Roman" w:hAnsi="Times New Roman"/>
          <w:b w:val="false"/>
          <w:i w:val="false"/>
          <w:color w:val="000000"/>
          <w:sz w:val="21"/>
        </w:rPr>
        <w:t xml:space="preserve"> (Notice ARC 5049C, IAB 6/17/20)</w:t>
      </w:r>
      <w:r>
        <w:rPr>
          <w:rFonts w:ascii="Times New Roman" w:hAnsi="Times New Roman"/>
          <w:b w:val="false"/>
          <w:i w:val="false"/>
          <w:color w:val="000000"/>
          <w:sz w:val="21"/>
        </w:rPr>
        <w:t>, IAB 9/9/20, effective 11/1/20]</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9381C</w:t>
      </w:r>
      <w:r>
        <w:rPr>
          <w:rFonts w:ascii="Times New Roman" w:hAnsi="Times New Roman"/>
          <w:b w:val="false"/>
          <w:i w:val="false"/>
          <w:color w:val="000000"/>
          <w:sz w:val="21"/>
        </w:rPr>
        <w:t xml:space="preserve"> (Notice ARC 9185C, IAB 4/30/25)</w:t>
      </w:r>
      <w:r>
        <w:rPr>
          <w:rFonts w:ascii="Times New Roman" w:hAnsi="Times New Roman"/>
          <w:b w:val="false"/>
          <w:i w:val="false"/>
          <w:color w:val="000000"/>
          <w:sz w:val="21"/>
        </w:rPr>
        <w:t>, IAB 6/25/25, effective 8/1/25]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ac/chapter/441.60.pdf" Type="http://schemas.openxmlformats.org/officeDocument/2006/relationships/hyperlink" Id="rId6"/>
    <Relationship TargetMode="External" Target="https://www.legis.iowa.gov/docs/iac/rule/441.78.3.pdf" Type="http://schemas.openxmlformats.org/officeDocument/2006/relationships/hyperlink" Id="rId7"/>
    <Relationship TargetMode="External" Target="https://www.legis.iowa.gov/docs/iac/rule/441.81.3.pdf" Type="http://schemas.openxmlformats.org/officeDocument/2006/relationships/hyperlink" Id="rId8"/>
    <Relationship TargetMode="External" Target="https://www.legis.iowa.gov/docs/iac/rule/441.82.7.pdf" Type="http://schemas.openxmlformats.org/officeDocument/2006/relationships/hyperlink" Id="rId9"/>
    <Relationship TargetMode="External" Target="https://www.legis.iowa.gov/docs/iac/rule/441.75.13.pdf" Type="http://schemas.openxmlformats.org/officeDocument/2006/relationships/hyperlink" Id="rId10"/>
    <Relationship TargetMode="External" Target="https://www.legis.iowa.gov/docs/iac/rule/441.75.13.pdf" Type="http://schemas.openxmlformats.org/officeDocument/2006/relationships/hyperlink" Id="rId11"/>
    <Relationship TargetMode="External" Target="https://www.legis.iowa.gov/docs/ico/chapter/249.pdf" Type="http://schemas.openxmlformats.org/officeDocument/2006/relationships/hyperlink" Id="rId12"/>
    <Relationship TargetMode="External" Target="https://www.legis.iowa.gov/docs/ico/chapter/234.35.pdf" Type="http://schemas.openxmlformats.org/officeDocument/2006/relationships/hyperlink" Id="rId13"/>
    <Relationship TargetMode="External" Target="https://www.legis.iowa.gov/docs/iac/rule/441.156.20.pdf" Type="http://schemas.openxmlformats.org/officeDocument/2006/relationships/hyperlink" Id="rId14"/>
    <Relationship TargetMode="External" Target="https://www.legis.iowa.gov/docs/iac/rule/441.201.5.pdf" Type="http://schemas.openxmlformats.org/officeDocument/2006/relationships/hyperlink" Id="rId15"/>
    <Relationship TargetMode="External" Target="https://www.legis.iowa.gov/docs/iac/rule/441.75.10.pdf" Type="http://schemas.openxmlformats.org/officeDocument/2006/relationships/hyperlink" Id="rId16"/>
    <Relationship TargetMode="External" Target="https://www.legis.iowa.gov/docs/iac/rule/441.75.53.pdf" Type="http://schemas.openxmlformats.org/officeDocument/2006/relationships/hyperlink" Id="rId17"/>
    <Relationship TargetMode="External" Target="https://www.legis.iowa.gov/docs/iac/chapter/441.204.pdf" Type="http://schemas.openxmlformats.org/officeDocument/2006/relationships/hyperlink" Id="rId18"/>
    <Relationship TargetMode="External" Target="https://www.legis.iowa.gov/docs/iac/rule/441.75.10.pdf" Type="http://schemas.openxmlformats.org/officeDocument/2006/relationships/hyperlink" Id="rId19"/>
    <Relationship TargetMode="External" Target="https://www.legis.iowa.gov/docs/iac/rule/441.75.53.pdf" Type="http://schemas.openxmlformats.org/officeDocument/2006/relationships/hyperlink" Id="rId20"/>
    <Relationship TargetMode="External" Target="https://www.legis.iowa.gov/docs/iac/rule/441.75.54.pdf" Type="http://schemas.openxmlformats.org/officeDocument/2006/relationships/hyperlink" Id="rId21"/>
    <Relationship TargetMode="External" Target="https://www.legis.iowa.gov/docs/iac/rule/441.75.54.pdf" Type="http://schemas.openxmlformats.org/officeDocument/2006/relationships/hyperlink" Id="rId22"/>
    <Relationship TargetMode="External" Target="https://www.legis.iowa.gov/docs/iac/rule/441.75.55.pdf" Type="http://schemas.openxmlformats.org/officeDocument/2006/relationships/hyperlink" Id="rId23"/>
    <Relationship TargetMode="External" Target="https://www.legis.iowa.gov/docs/iac/rule/441.75.56.pdf" Type="http://schemas.openxmlformats.org/officeDocument/2006/relationships/hyperlink" Id="rId24"/>
    <Relationship TargetMode="External" Target="https://www.legis.iowa.gov/docs/iac/rule/441.75.57.pdf" Type="http://schemas.openxmlformats.org/officeDocument/2006/relationships/hyperlink" Id="rId25"/>
    <Relationship TargetMode="External" Target="https://www.legis.iowa.gov/docs/iac/rule/441.75.58.pdf" Type="http://schemas.openxmlformats.org/officeDocument/2006/relationships/hyperlink" Id="rId26"/>
    <Relationship TargetMode="External" Target="https://www.legis.iowa.gov/docs/iac/rule/441.75.57.pdf" Type="http://schemas.openxmlformats.org/officeDocument/2006/relationships/hyperlink" Id="rId27"/>
    <Relationship TargetMode="External" Target="https://www.legis.iowa.gov/docs/iac/rule/441.75.58.pdf" Type="http://schemas.openxmlformats.org/officeDocument/2006/relationships/hyperlink" Id="rId28"/>
    <Relationship TargetMode="External" Target="https://www.legis.iowa.gov/docs/iac/rule/441.75.59.pdf" Type="http://schemas.openxmlformats.org/officeDocument/2006/relationships/hyperlink" Id="rId29"/>
    <Relationship TargetMode="External" Target="https://www.legis.iowa.gov/docs/iac/rule/441.75.17.pdf" Type="http://schemas.openxmlformats.org/officeDocument/2006/relationships/hyperlink" Id="rId30"/>
    <Relationship TargetMode="External" Target="https://www.legis.iowa.gov/docs/iac/rule/441.75.57.pdf" Type="http://schemas.openxmlformats.org/officeDocument/2006/relationships/hyperlink" Id="rId31"/>
    <Relationship TargetMode="External" Target="https://www.legis.iowa.gov/docs/iac/rule/441.75.58.pdf" Type="http://schemas.openxmlformats.org/officeDocument/2006/relationships/hyperlink" Id="rId32"/>
    <Relationship TargetMode="External" Target="https://www.legis.iowa.gov/docs/iac/rule/441.75.53.pdf" Type="http://schemas.openxmlformats.org/officeDocument/2006/relationships/hyperlink" Id="rId33"/>
    <Relationship TargetMode="External" Target="https://www.legis.iowa.gov/docs/iac/rule/441.75.1.pdf" Type="http://schemas.openxmlformats.org/officeDocument/2006/relationships/hyperlink" Id="rId34"/>
    <Relationship TargetMode="External" Target="https://www.legis.iowa.gov/docs/iac/rule/441.75.1.pdf" Type="http://schemas.openxmlformats.org/officeDocument/2006/relationships/hyperlink" Id="rId35"/>
    <Relationship TargetMode="External" Target="https://www.legis.iowa.gov/docs/iac/rule/441.75.54.pdf" Type="http://schemas.openxmlformats.org/officeDocument/2006/relationships/hyperlink" Id="rId36"/>
    <Relationship TargetMode="External" Target="https://www.legis.iowa.gov/docs/iac/rule/441.75.13.pdf" Type="http://schemas.openxmlformats.org/officeDocument/2006/relationships/hyperlink" Id="rId37"/>
    <Relationship TargetMode="External" Target="https://www.legis.iowa.gov/docs/iac/rule/441.75.20.pdf" Type="http://schemas.openxmlformats.org/officeDocument/2006/relationships/hyperlink" Id="rId38"/>
    <Relationship TargetMode="External" Target="https://www.legis.iowa.gov/docs/iac/rule/441.75.13.pdf" Type="http://schemas.openxmlformats.org/officeDocument/2006/relationships/hyperlink" Id="rId39"/>
    <Relationship TargetMode="External" Target="https://www.legis.iowa.gov/docs/iac/chapter/441.83.pdf" Type="http://schemas.openxmlformats.org/officeDocument/2006/relationships/hyperlink" Id="rId40"/>
    <Relationship TargetMode="External" Target="https://www.legis.iowa.gov/docs/iac/rule/441.75.57.pdf" Type="http://schemas.openxmlformats.org/officeDocument/2006/relationships/hyperlink" Id="rId41"/>
    <Relationship TargetMode="External" Target="https://www.legis.iowa.gov/docs/iac/rule/441.75.57.pdf" Type="http://schemas.openxmlformats.org/officeDocument/2006/relationships/hyperlink" Id="rId42"/>
    <Relationship TargetMode="External" Target="https://www.legis.iowa.gov/docs/iac/rule/441.75.56.pdf" Type="http://schemas.openxmlformats.org/officeDocument/2006/relationships/hyperlink" Id="rId43"/>
    <Relationship TargetMode="External" Target="https://www.legis.iowa.gov/docs/iac/rule/441.75.56.pdf" Type="http://schemas.openxmlformats.org/officeDocument/2006/relationships/hyperlink" Id="rId44"/>
    <Relationship TargetMode="External" Target="https://www.legis.iowa.gov/docs/iac/rule/441.75.57.pdf" Type="http://schemas.openxmlformats.org/officeDocument/2006/relationships/hyperlink" Id="rId45"/>
    <Relationship TargetMode="External" Target="https://www.legis.iowa.gov/docs/iac/rule/441.75.57.pdf" Type="http://schemas.openxmlformats.org/officeDocument/2006/relationships/hyperlink" Id="rId46"/>
    <Relationship TargetMode="External" Target="https://www.legis.iowa.gov/docs/iac/rule/441.75.57.pdf" Type="http://schemas.openxmlformats.org/officeDocument/2006/relationships/hyperlink" Id="rId47"/>
    <Relationship TargetMode="External" Target="https://www.legis.iowa.gov/docs/iac/rule/441.75.57.pdf" Type="http://schemas.openxmlformats.org/officeDocument/2006/relationships/hyperlink" Id="rId48"/>
    <Relationship TargetMode="External" Target="https://www.legis.iowa.gov/docs/iac/rule/441.75.53.pdf" Type="http://schemas.openxmlformats.org/officeDocument/2006/relationships/hyperlink" Id="rId49"/>
    <Relationship TargetMode="External" Target="https://www.legis.iowa.gov/docs/iac/rule/641.75.4.pdf" Type="http://schemas.openxmlformats.org/officeDocument/2006/relationships/hyperlink" Id="rId50"/>
    <Relationship TargetMode="External" Target="https://www.legis.iowa.gov/docs/iac/rule/441.76.5.pdf" Type="http://schemas.openxmlformats.org/officeDocument/2006/relationships/hyperlink" Id="rId51"/>
    <Relationship TargetMode="External" Target="https://www.legis.iowa.gov/docs/iac/rule/441.75.54.pdf" Type="http://schemas.openxmlformats.org/officeDocument/2006/relationships/hyperlink" Id="rId52"/>
    <Relationship TargetMode="External" Target="https://www.legis.iowa.gov/docs/iac/rule/441.75.54.pdf" Type="http://schemas.openxmlformats.org/officeDocument/2006/relationships/hyperlink" Id="rId53"/>
    <Relationship TargetMode="External" Target="https://www.legis.iowa.gov/docs/iac/rule/441.75.1.pdf" Type="http://schemas.openxmlformats.org/officeDocument/2006/relationships/hyperlink" Id="rId54"/>
    <Relationship TargetMode="External" Target="https://www.legis.iowa.gov/docs/iac/rule/441.75.5.pdf" Type="http://schemas.openxmlformats.org/officeDocument/2006/relationships/hyperlink" Id="rId55"/>
    <Relationship TargetMode="External" Target="https://www.legis.iowa.gov/docs/iac/rule/441.75.5.pdf" Type="http://schemas.openxmlformats.org/officeDocument/2006/relationships/hyperlink" Id="rId56"/>
    <Relationship TargetMode="External" Target="https://www.legis.iowa.gov/docs/iac/rule/441.76.1.pdf" Type="http://schemas.openxmlformats.org/officeDocument/2006/relationships/hyperlink" Id="rId57"/>
    <Relationship TargetMode="External" Target="https://www.legis.iowa.gov/docs/iac/rule/441.76.1.pdf" Type="http://schemas.openxmlformats.org/officeDocument/2006/relationships/hyperlink" Id="rId58"/>
    <Relationship TargetMode="External" Target="https://www.legis.iowa.gov/docs/iac/rule/441.76.1.pdf" Type="http://schemas.openxmlformats.org/officeDocument/2006/relationships/hyperlink" Id="rId59"/>
    <Relationship TargetMode="External" Target="https://www.legis.iowa.gov/docs/iac/rule/441.75.1.pdf" Type="http://schemas.openxmlformats.org/officeDocument/2006/relationships/hyperlink" Id="rId60"/>
    <Relationship TargetMode="External" Target="https://www.legis.iowa.gov/docs/ico/chapter/239B.14.pdf" Type="http://schemas.openxmlformats.org/officeDocument/2006/relationships/hyperlink" Id="rId61"/>
    <Relationship TargetMode="External" Target="https://www.legis.iowa.gov/docs/iac/rule/441.75.57.pdf" Type="http://schemas.openxmlformats.org/officeDocument/2006/relationships/hyperlink" Id="rId62"/>
    <Relationship TargetMode="External" Target="https://www.legis.iowa.gov/docs/iac/rule/441.75.57.pdf" Type="http://schemas.openxmlformats.org/officeDocument/2006/relationships/hyperlink" Id="rId63"/>
    <Relationship TargetMode="External" Target="https://www.legis.iowa.gov/docs/iac/rule/441.75.1.pdf" Type="http://schemas.openxmlformats.org/officeDocument/2006/relationships/hyperlink" Id="rId64"/>
    <Relationship TargetMode="External" Target="https://www.legis.iowa.gov/docs/iac/rule/441.93.133.pdf" Type="http://schemas.openxmlformats.org/officeDocument/2006/relationships/hyperlink" Id="rId65"/>
    <Relationship TargetMode="External" Target="https://www.legis.iowa.gov/docs/iac/rule/441.75.55.pdf" Type="http://schemas.openxmlformats.org/officeDocument/2006/relationships/hyperlink" Id="rId66"/>
    <Relationship TargetMode="External" Target="https://www.legis.iowa.gov/docs/iac/rule/441.76.4.pdf" Type="http://schemas.openxmlformats.org/officeDocument/2006/relationships/hyperlink" Id="rId67"/>
    <Relationship TargetMode="External" Target="https://www.legis.iowa.gov/docs/iac/rule/441.75.5.pdf" Type="http://schemas.openxmlformats.org/officeDocument/2006/relationships/hyperlink" Id="rId68"/>
    <Relationship TargetMode="External" Target="https://www.legis.iowa.gov/docs/iac/rule/441.75.5.pdf" Type="http://schemas.openxmlformats.org/officeDocument/2006/relationships/hyperlink" Id="rId69"/>
    <Relationship TargetMode="External" Target="https://www.legis.iowa.gov/docs/iac/rule/441.76.5.pdf" Type="http://schemas.openxmlformats.org/officeDocument/2006/relationships/hyperlink" Id="rId70"/>
    <Relationship TargetMode="External" Target="https://www.legis.iowa.gov/docs/iac/rule/441.75.1.pdf" Type="http://schemas.openxmlformats.org/officeDocument/2006/relationships/hyperlink" Id="rId71"/>
    <Relationship TargetMode="External" Target="https://www.legis.iowa.gov/docs/iac/rule/441.75.55.pdf" Type="http://schemas.openxmlformats.org/officeDocument/2006/relationships/hyperlink" Id="rId72"/>
    <Relationship TargetMode="External" Target="https://www.legis.iowa.gov/docs/iac/rule/441.75.1.pdf" Type="http://schemas.openxmlformats.org/officeDocument/2006/relationships/hyperlink" Id="rId73"/>
    <Relationship TargetMode="External" Target="https://www.legis.iowa.gov/docs/iac/rule/441.75.59.pdf" Type="http://schemas.openxmlformats.org/officeDocument/2006/relationships/hyperlink" Id="rId74"/>
    <Relationship TargetMode="External" Target="https://www.legis.iowa.gov/docs/iac/rule/441.75.1.pdf" Type="http://schemas.openxmlformats.org/officeDocument/2006/relationships/hyperlink" Id="rId75"/>
    <Relationship TargetMode="External" Target="https://www.legis.iowa.gov/docs/iac/rule/441.75.59.pdf" Type="http://schemas.openxmlformats.org/officeDocument/2006/relationships/hyperlink" Id="rId76"/>
    <Relationship TargetMode="External" Target="https://www.legis.iowa.gov/docs/iac/rule/441.75.5.pdf" Type="http://schemas.openxmlformats.org/officeDocument/2006/relationships/hyperlink" Id="rId77"/>
    <Relationship TargetMode="External" Target="https://www.legis.iowa.gov/docs/iac/rule/441.75.5.pdf" Type="http://schemas.openxmlformats.org/officeDocument/2006/relationships/hyperlink" Id="rId78"/>
    <Relationship TargetMode="External" Target="https://www.legis.iowa.gov/docs/iac/rule/441.75.23.pdf" Type="http://schemas.openxmlformats.org/officeDocument/2006/relationships/hyperlink" Id="rId79"/>
    <Relationship TargetMode="External" Target="https://www.legis.iowa.gov/docs/iac/rule/641.75.4.pdf" Type="http://schemas.openxmlformats.org/officeDocument/2006/relationships/hyperlink" Id="rId80"/>
    <Relationship TargetMode="External" Target="https://www.legis.iowa.gov/docs/iac/rule/441.75.57.pdf" Type="http://schemas.openxmlformats.org/officeDocument/2006/relationships/hyperlink" Id="rId81"/>
    <Relationship TargetMode="External" Target="https://www.legis.iowa.gov/docs/iac/rule/441.75.57.pdf" Type="http://schemas.openxmlformats.org/officeDocument/2006/relationships/hyperlink" Id="rId82"/>
    <Relationship TargetMode="External" Target="https://www.legis.iowa.gov/docs/iac/rule/441.75.57.pdf" Type="http://schemas.openxmlformats.org/officeDocument/2006/relationships/hyperlink" Id="rId83"/>
    <Relationship TargetMode="External" Target="https://www.legis.iowa.gov/docs/iac/rule/441.75.58.pdf" Type="http://schemas.openxmlformats.org/officeDocument/2006/relationships/hyperlink" Id="rId84"/>
    <Relationship TargetMode="External" Target="https://www.legis.iowa.gov/docs/iac/rule/441.75.1.pdf" Type="http://schemas.openxmlformats.org/officeDocument/2006/relationships/hyperlink" Id="rId85"/>
    <Relationship TargetMode="External" Target="https://www.legis.iowa.gov/docs/iac/rule/441.75.59.pdf" Type="http://schemas.openxmlformats.org/officeDocument/2006/relationships/hyperlink" Id="rId86"/>
    <Relationship TargetMode="External" Target="https://www.legis.iowa.gov/docs/iac/rule/441.78.13.pdf" Type="http://schemas.openxmlformats.org/officeDocument/2006/relationships/hyperlink" Id="rId87"/>
    <Relationship TargetMode="External" Target="https://www.legis.iowa.gov/docs/iac/rule/441.75.21.pdf" Type="http://schemas.openxmlformats.org/officeDocument/2006/relationships/hyperlink" Id="rId88"/>
    <Relationship TargetMode="External" Target="https://www.legis.iowa.gov/docs/iac/rule/441.75.25.pdf" Type="http://schemas.openxmlformats.org/officeDocument/2006/relationships/hyperlink" Id="rId89"/>
    <Relationship TargetMode="External" Target="https://www.legis.iowa.gov/docs/iac/rule/441.75.5.pdf" Type="http://schemas.openxmlformats.org/officeDocument/2006/relationships/hyperlink" Id="rId90"/>
    <Relationship TargetMode="External" Target="https://www.legis.iowa.gov/docs/iac/rule/441.75.5.pdf" Type="http://schemas.openxmlformats.org/officeDocument/2006/relationships/hyperlink" Id="rId91"/>
    <Relationship TargetMode="External" Target="https://www.legis.iowa.gov/docs/iac/rule/441.76.5.pdf" Type="http://schemas.openxmlformats.org/officeDocument/2006/relationships/hyperlink" Id="rId92"/>
    <Relationship TargetMode="External" Target="https://www.legis.iowa.gov/docs/iac/rule/441.75.20.pdf" Type="http://schemas.openxmlformats.org/officeDocument/2006/relationships/hyperlink" Id="rId93"/>
    <Relationship TargetMode="External" Target="https://www.legis.iowa.gov/docs/iac/rule/441.75.1.pdf" Type="http://schemas.openxmlformats.org/officeDocument/2006/relationships/hyperlink" Id="rId94"/>
    <Relationship TargetMode="External" Target="https://www.legis.iowa.gov/docs/iac/rule/441.75.1.pdf" Type="http://schemas.openxmlformats.org/officeDocument/2006/relationships/hyperlink" Id="rId95"/>
    <Relationship TargetMode="External" Target="https://www.legis.iowa.gov/docs/iac/rule/441.75.1.pdf" Type="http://schemas.openxmlformats.org/officeDocument/2006/relationships/hyperlink" Id="rId96"/>
    <Relationship TargetMode="External" Target="https://www.legis.iowa.gov/docs/iac/rule/441.75.1.pdf" Type="http://schemas.openxmlformats.org/officeDocument/2006/relationships/hyperlink" Id="rId97"/>
    <Relationship TargetMode="External" Target="https://www.legis.iowa.gov/docs/ico/chapter/627.6.pdf" Type="http://schemas.openxmlformats.org/officeDocument/2006/relationships/hyperlink" Id="rId98"/>
    <Relationship TargetMode="External" Target="https://www.legis.iowa.gov/docs/ico/chapter/249A.3.pdf" Type="http://schemas.openxmlformats.org/officeDocument/2006/relationships/hyperlink" Id="rId99"/>
    <Relationship TargetMode="External" Target="https://www.legis.iowa.gov/docs/ico/chapter/249A.3.pdf" Type="http://schemas.openxmlformats.org/officeDocument/2006/relationships/hyperlink" Id="rId100"/>
    <Relationship TargetMode="External" Target="https://www.legis.iowa.gov/docs/iac/rule/441.76.1.pdf" Type="http://schemas.openxmlformats.org/officeDocument/2006/relationships/hyperlink" Id="rId101"/>
    <Relationship TargetMode="External" Target="https://www.legis.iowa.gov/docs/iac/rule/441.76.1.pdf" Type="http://schemas.openxmlformats.org/officeDocument/2006/relationships/hyperlink" Id="rId102"/>
    <Relationship TargetMode="External" Target="https://www.legis.iowa.gov/docs/iac/rule/441.76.1.pdf" Type="http://schemas.openxmlformats.org/officeDocument/2006/relationships/hyperlink" Id="rId103"/>
    <Relationship TargetMode="External" Target="https://www.legis.iowa.gov/docs/iac/rule/441.76.1.pdf" Type="http://schemas.openxmlformats.org/officeDocument/2006/relationships/hyperlink" Id="rId104"/>
    <Relationship TargetMode="External" Target="https://www.legis.iowa.gov/docs/ico/chapter/234.35.pdf" Type="http://schemas.openxmlformats.org/officeDocument/2006/relationships/hyperlink" Id="rId105"/>
    <Relationship TargetMode="External" Target="https://www.legis.iowa.gov/docs/iac/rule/441.75.57.pdf" Type="http://schemas.openxmlformats.org/officeDocument/2006/relationships/hyperlink" Id="rId106"/>
    <Relationship TargetMode="External" Target="https://www.legis.iowa.gov/docs/iac/rule/441.75.20.pdf" Type="http://schemas.openxmlformats.org/officeDocument/2006/relationships/hyperlink" Id="rId107"/>
    <Relationship TargetMode="External" Target="https://www.legis.iowa.gov/docs/iac/rule/441.75.13.pdf" Type="http://schemas.openxmlformats.org/officeDocument/2006/relationships/hyperlink" Id="rId108"/>
    <Relationship TargetMode="External" Target="https://www.legis.iowa.gov/docs/iac/rule/441.76.1.pdf" Type="http://schemas.openxmlformats.org/officeDocument/2006/relationships/hyperlink" Id="rId109"/>
    <Relationship TargetMode="External" Target="https://www.legis.iowa.gov/docs/iac/rule/441.75.11.pdf" Type="http://schemas.openxmlformats.org/officeDocument/2006/relationships/hyperlink" Id="rId110"/>
    <Relationship TargetMode="External" Target="https://www.legis.iowa.gov/docs/ico/chapter/249A.3.pdf" Type="http://schemas.openxmlformats.org/officeDocument/2006/relationships/hyperlink" Id="rId111"/>
    <Relationship TargetMode="External" Target="https://www.legis.iowa.gov/docs/ico/chapter/249A.4.pdf" Type="http://schemas.openxmlformats.org/officeDocument/2006/relationships/hyperlink" Id="rId112"/>
    <Relationship TargetMode="External" Target="https://www.legis.iowa.gov/docs/ico/chapter/249A.6.pdf" Type="http://schemas.openxmlformats.org/officeDocument/2006/relationships/hyperlink" Id="rId113"/>
    <Relationship TargetMode="External" Target="https://www.legis.iowa.gov/docs/iac/rule/441.75.25.pdf" Type="http://schemas.openxmlformats.org/officeDocument/2006/relationships/hyperlink" Id="rId114"/>
    <Relationship TargetMode="External" Target="https://www.legis.iowa.gov/docs/iac/rule/441.76.1.pdf" Type="http://schemas.openxmlformats.org/officeDocument/2006/relationships/hyperlink" Id="rId115"/>
    <Relationship TargetMode="External" Target="https://www.legis.iowa.gov/docs/iac/rule/441.75.2.pdf" Type="http://schemas.openxmlformats.org/officeDocument/2006/relationships/hyperlink" Id="rId116"/>
    <Relationship TargetMode="External" Target="https://www.legis.iowa.gov/docs/iac/rule/441.75.2.pdf" Type="http://schemas.openxmlformats.org/officeDocument/2006/relationships/hyperlink" Id="rId117"/>
    <Relationship TargetMode="External" Target="https://www.legis.iowa.gov/docs/ico/chapter/249A.4.pdf" Type="http://schemas.openxmlformats.org/officeDocument/2006/relationships/hyperlink" Id="rId118"/>
    <Relationship TargetMode="External" Target="https://www.legis.iowa.gov/docs/ico/chapter/249A.5.pdf" Type="http://schemas.openxmlformats.org/officeDocument/2006/relationships/hyperlink" Id="rId119"/>
    <Relationship TargetMode="External" Target="https://www.legis.iowa.gov/docs/ico/chapter/249A.6.pdf" Type="http://schemas.openxmlformats.org/officeDocument/2006/relationships/hyperlink" Id="rId120"/>
    <Relationship TargetMode="External" Target="https://www.legis.iowa.gov/docs/iac/rule/441.75.1.pdf" Type="http://schemas.openxmlformats.org/officeDocument/2006/relationships/hyperlink" Id="rId121"/>
    <Relationship TargetMode="External" Target="https://www.legis.iowa.gov/docs/ico/chapter/249A.3.pdf" Type="http://schemas.openxmlformats.org/officeDocument/2006/relationships/hyperlink" Id="rId122"/>
    <Relationship TargetMode="External" Target="https://www.legis.iowa.gov/docs/ico/chapter/249A.4.pdf" Type="http://schemas.openxmlformats.org/officeDocument/2006/relationships/hyperlink" Id="rId123"/>
    <Relationship TargetMode="External" Target="https://www.legis.iowa.gov/docs/iac/rule/441.75.4.pdf" Type="http://schemas.openxmlformats.org/officeDocument/2006/relationships/hyperlink" Id="rId124"/>
    <Relationship TargetMode="External" Target="https://www.legis.iowa.gov/docs/ico/chapter/249A.6.pdf" Type="http://schemas.openxmlformats.org/officeDocument/2006/relationships/hyperlink" Id="rId125"/>
    <Relationship TargetMode="External" Target="https://www.legis.iowa.gov/docs/ico/chapter/249A.4.pdf" Type="http://schemas.openxmlformats.org/officeDocument/2006/relationships/hyperlink" Id="rId126"/>
    <Relationship TargetMode="External" Target="https://www.legis.iowa.gov/docs/ico/chapter/249A.5.pdf" Type="http://schemas.openxmlformats.org/officeDocument/2006/relationships/hyperlink" Id="rId127"/>
    <Relationship TargetMode="External" Target="https://www.legis.iowa.gov/docs/ico/chapter/249A.6.pdf" Type="http://schemas.openxmlformats.org/officeDocument/2006/relationships/hyperlink" Id="rId128"/>
    <Relationship TargetMode="External" Target="https://www.legis.iowa.gov/docs/iac/rule/441.75.1.pdf" Type="http://schemas.openxmlformats.org/officeDocument/2006/relationships/hyperlink" Id="rId129"/>
    <Relationship TargetMode="External" Target="https://www.legis.iowa.gov/docs/iac/rule/441.75.1.pdf" Type="http://schemas.openxmlformats.org/officeDocument/2006/relationships/hyperlink" Id="rId130"/>
    <Relationship TargetMode="External" Target="https://www.legis.iowa.gov/docs/iac/rule/441.75.1.pdf" Type="http://schemas.openxmlformats.org/officeDocument/2006/relationships/hyperlink" Id="rId131"/>
    <Relationship TargetMode="External" Target="https://www.legis.iowa.gov/docs/iac/rule/441.75.1.pdf" Type="http://schemas.openxmlformats.org/officeDocument/2006/relationships/hyperlink" Id="rId132"/>
    <Relationship TargetMode="External" Target="https://www.legis.iowa.gov/docs/iac/rule/441.41.22.pdf" Type="http://schemas.openxmlformats.org/officeDocument/2006/relationships/hyperlink" Id="rId133"/>
    <Relationship TargetMode="External" Target="https://www.legis.iowa.gov/docs/iac/chapter/441.7.pdf" Type="http://schemas.openxmlformats.org/officeDocument/2006/relationships/hyperlink" Id="rId134"/>
    <Relationship TargetMode="External" Target="https://www.legis.iowa.gov/docs/iac/rule/441.75.16.pdf" Type="http://schemas.openxmlformats.org/officeDocument/2006/relationships/hyperlink" Id="rId135"/>
    <Relationship TargetMode="External" Target="https://www.legis.iowa.gov/docs/ico/chapter/450.pdf" Type="http://schemas.openxmlformats.org/officeDocument/2006/relationships/hyperlink" Id="rId136"/>
    <Relationship TargetMode="External" Target="https://www.legis.iowa.gov/docs/iac/rule/441.75.5.pdf" Type="http://schemas.openxmlformats.org/officeDocument/2006/relationships/hyperlink" Id="rId137"/>
    <Relationship TargetMode="External" Target="https://www.legis.iowa.gov/docs/iac/rule/441.75.5.pdf" Type="http://schemas.openxmlformats.org/officeDocument/2006/relationships/hyperlink" Id="rId138"/>
    <Relationship TargetMode="External" Target="https://www.legis.iowa.gov/docs/iac/chapter/191.39.pdf" Type="http://schemas.openxmlformats.org/officeDocument/2006/relationships/hyperlink" Id="rId139"/>
    <Relationship TargetMode="External" Target="https://www.legis.iowa.gov/docs/iac/chapter/191.39.pdf" Type="http://schemas.openxmlformats.org/officeDocument/2006/relationships/hyperlink" Id="rId140"/>
    <Relationship TargetMode="External" Target="https://www.legis.iowa.gov/docs/iac/rule/441.75.1.pdf" Type="http://schemas.openxmlformats.org/officeDocument/2006/relationships/hyperlink" Id="rId141"/>
    <Relationship TargetMode="External" Target="https://www.legis.iowa.gov/docs/iac/rule/441.75.1.pdf" Type="http://schemas.openxmlformats.org/officeDocument/2006/relationships/hyperlink" Id="rId142"/>
    <Relationship TargetMode="External" Target="https://www.legis.iowa.gov/docs/iac/rule/441.75.1.pdf" Type="http://schemas.openxmlformats.org/officeDocument/2006/relationships/hyperlink" Id="rId143"/>
    <Relationship TargetMode="External" Target="https://www.legis.iowa.gov/docs/ico/chapter/249A.3.pdf" Type="http://schemas.openxmlformats.org/officeDocument/2006/relationships/hyperlink" Id="rId144"/>
    <Relationship TargetMode="External" Target="https://www.legis.iowa.gov/docs/ico/chapter/249A.4.pdf" Type="http://schemas.openxmlformats.org/officeDocument/2006/relationships/hyperlink" Id="rId145"/>
    <Relationship TargetMode="External" Target="https://www.legis.iowa.gov/docs/ico/chapter/249A.35.pdf" Type="http://schemas.openxmlformats.org/officeDocument/2006/relationships/hyperlink" Id="rId146"/>
    <Relationship TargetMode="External" Target="https://www.legis.iowa.gov/docs/ico/chapter/514H.pdf" Type="http://schemas.openxmlformats.org/officeDocument/2006/relationships/hyperlink" Id="rId147"/>
    <Relationship TargetMode="External" Target="https://www.legis.iowa.gov/docs/ico/chapter/249A.4.pdf" Type="http://schemas.openxmlformats.org/officeDocument/2006/relationships/hyperlink" Id="rId148"/>
    <Relationship TargetMode="External" Target="https://www.legis.iowa.gov/docs/iac/rule/441.75.7.pdf" Type="http://schemas.openxmlformats.org/officeDocument/2006/relationships/hyperlink" Id="rId149"/>
    <Relationship TargetMode="External" Target="https://www.legis.iowa.gov/docs/iac/rule/441.75.7.pdf" Type="http://schemas.openxmlformats.org/officeDocument/2006/relationships/hyperlink" Id="rId150"/>
    <Relationship TargetMode="External" Target="https://www.legis.iowa.gov/docs/iac/rule/441.75.1.pdf" Type="http://schemas.openxmlformats.org/officeDocument/2006/relationships/hyperlink" Id="rId151"/>
    <Relationship TargetMode="External" Target="https://www.legis.iowa.gov/docs/iac/chapter/441.78.pdf" Type="http://schemas.openxmlformats.org/officeDocument/2006/relationships/hyperlink" Id="rId152"/>
    <Relationship TargetMode="External" Target="https://www.legis.iowa.gov/docs/iac/chapter/441.80.pdf" Type="http://schemas.openxmlformats.org/officeDocument/2006/relationships/hyperlink" Id="rId153"/>
    <Relationship TargetMode="External" Target="https://www.legis.iowa.gov/docs/iac/chapter/441.7.pdf" Type="http://schemas.openxmlformats.org/officeDocument/2006/relationships/hyperlink" Id="rId154"/>
    <Relationship TargetMode="External" Target="https://www.legis.iowa.gov/docs/ico/chapter/249A.4.pdf" Type="http://schemas.openxmlformats.org/officeDocument/2006/relationships/hyperlink" Id="rId155"/>
    <Relationship TargetMode="External" Target="https://www.legis.iowa.gov/docs/ico/chapter/249A.4.pdf" Type="http://schemas.openxmlformats.org/officeDocument/2006/relationships/hyperlink" Id="rId156"/>
    <Relationship TargetMode="External" Target="https://www.legis.iowa.gov/docs/iac/rule/441.50.1.pdf" Type="http://schemas.openxmlformats.org/officeDocument/2006/relationships/hyperlink" Id="rId157"/>
    <Relationship TargetMode="External" Target="https://www.legis.iowa.gov/docs/iac/rule/441.54.8.pdf" Type="http://schemas.openxmlformats.org/officeDocument/2006/relationships/hyperlink" Id="rId158"/>
    <Relationship TargetMode="External" Target="https://www.legis.iowa.gov/docs/iac/rule/441.81.23.pdf" Type="http://schemas.openxmlformats.org/officeDocument/2006/relationships/hyperlink" Id="rId159"/>
    <Relationship TargetMode="External" Target="https://www.legis.iowa.gov/docs/iac/rule/441.82.19.pdf" Type="http://schemas.openxmlformats.org/officeDocument/2006/relationships/hyperlink" Id="rId160"/>
    <Relationship TargetMode="External" Target="https://www.legis.iowa.gov/docs/iac/rule/441.85.47.pdf" Type="http://schemas.openxmlformats.org/officeDocument/2006/relationships/hyperlink" Id="rId161"/>
    <Relationship TargetMode="External" Target="https://www.legis.iowa.gov/docs/iac/rule/441.177.1.pdf" Type="http://schemas.openxmlformats.org/officeDocument/2006/relationships/hyperlink" Id="rId162"/>
    <Relationship TargetMode="External" Target="https://www.legis.iowa.gov/docs/iac/rule/441.177.11.pdf" Type="http://schemas.openxmlformats.org/officeDocument/2006/relationships/hyperlink" Id="rId163"/>
    <Relationship TargetMode="External" Target="https://www.legis.iowa.gov/docs/iac/rule/441.75.10.pdf" Type="http://schemas.openxmlformats.org/officeDocument/2006/relationships/hyperlink" Id="rId164"/>
    <Relationship TargetMode="External" Target="https://www.legis.iowa.gov/docs/iac/rule/441.75.10.pdf" Type="http://schemas.openxmlformats.org/officeDocument/2006/relationships/hyperlink" Id="rId165"/>
    <Relationship TargetMode="External" Target="https://www.legis.iowa.gov/docs/iac/rule/441.75.10.pdf" Type="http://schemas.openxmlformats.org/officeDocument/2006/relationships/hyperlink" Id="rId166"/>
    <Relationship TargetMode="External" Target="https://www.legis.iowa.gov/docs/iac/rule/441.75.10.pdf" Type="http://schemas.openxmlformats.org/officeDocument/2006/relationships/hyperlink" Id="rId167"/>
    <Relationship TargetMode="External" Target="https://www.legis.iowa.gov/docs/ico/chapter/249A.3.pdf" Type="http://schemas.openxmlformats.org/officeDocument/2006/relationships/hyperlink" Id="rId168"/>
    <Relationship TargetMode="External" Target="https://www.legis.iowa.gov/docs/iac/rule/441.75.11.pdf" Type="http://schemas.openxmlformats.org/officeDocument/2006/relationships/hyperlink" Id="rId169"/>
    <Relationship TargetMode="External" Target="https://www.legis.iowa.gov/docs/iac/rule/441.76.1.pdf" Type="http://schemas.openxmlformats.org/officeDocument/2006/relationships/hyperlink" Id="rId170"/>
    <Relationship TargetMode="External" Target="https://www.legis.iowa.gov/docs/iac/rule/441.75.11.pdf" Type="http://schemas.openxmlformats.org/officeDocument/2006/relationships/hyperlink" Id="rId171"/>
    <Relationship TargetMode="External" Target="https://www.legis.iowa.gov/docs/iac/rule/441.75.1.pdf" Type="http://schemas.openxmlformats.org/officeDocument/2006/relationships/hyperlink" Id="rId172"/>
    <Relationship TargetMode="External" Target="https://www.legis.iowa.gov/docs/iac/rule/441.75.11.pdf" Type="http://schemas.openxmlformats.org/officeDocument/2006/relationships/hyperlink" Id="rId173"/>
    <Relationship TargetMode="External" Target="https://www.legis.iowa.gov/docs/iac/rule/441.75.11.pdf" Type="http://schemas.openxmlformats.org/officeDocument/2006/relationships/hyperlink" Id="rId174"/>
    <Relationship TargetMode="External" Target="https://www.legis.iowa.gov/docs/iac/rule/441.75.13.pdf" Type="http://schemas.openxmlformats.org/officeDocument/2006/relationships/hyperlink" Id="rId175"/>
    <Relationship TargetMode="External" Target="https://www.legis.iowa.gov/docs/iac/rule/441.75.57.pdf" Type="http://schemas.openxmlformats.org/officeDocument/2006/relationships/hyperlink" Id="rId176"/>
    <Relationship TargetMode="External" Target="https://www.legis.iowa.gov/docs/iac/rule/441.416.1204.pdf" Type="http://schemas.openxmlformats.org/officeDocument/2006/relationships/hyperlink" Id="rId177"/>
    <Relationship TargetMode="External" Target="https://www.legis.iowa.gov/docs/iac/rule/441.75.11.pdf" Type="http://schemas.openxmlformats.org/officeDocument/2006/relationships/hyperlink" Id="rId178"/>
    <Relationship TargetMode="External" Target="https://www.legis.iowa.gov/docs/iac/rule/441.75.11.pdf" Type="http://schemas.openxmlformats.org/officeDocument/2006/relationships/hyperlink" Id="rId179"/>
    <Relationship TargetMode="External" Target="https://www.legis.iowa.gov/docs/iac/rule/441.75.11.pdf" Type="http://schemas.openxmlformats.org/officeDocument/2006/relationships/hyperlink" Id="rId180"/>
    <Relationship TargetMode="External" Target="https://www.legis.iowa.gov/docs/iac/rule/441.75.10.pdf" Type="http://schemas.openxmlformats.org/officeDocument/2006/relationships/hyperlink" Id="rId181"/>
    <Relationship TargetMode="External" Target="https://www.legis.iowa.gov/docs/iac/rule/441.75.53.pdf" Type="http://schemas.openxmlformats.org/officeDocument/2006/relationships/hyperlink" Id="rId182"/>
    <Relationship TargetMode="External" Target="https://www.legis.iowa.gov/docs/iac/rule/441.75.7.pdf" Type="http://schemas.openxmlformats.org/officeDocument/2006/relationships/hyperlink" Id="rId183"/>
    <Relationship TargetMode="External" Target="https://www.legis.iowa.gov/docs/iac/rule/441.75.11.pdf" Type="http://schemas.openxmlformats.org/officeDocument/2006/relationships/hyperlink" Id="rId184"/>
    <Relationship TargetMode="External" Target="https://www.legis.iowa.gov/docs/iac/rule/441.75.11.pdf" Type="http://schemas.openxmlformats.org/officeDocument/2006/relationships/hyperlink" Id="rId185"/>
    <Relationship TargetMode="External" Target="https://www.legis.iowa.gov/docs/ico/chapter/249A.3.pdf" Type="http://schemas.openxmlformats.org/officeDocument/2006/relationships/hyperlink" Id="rId186"/>
    <Relationship TargetMode="External" Target="https://www.legis.iowa.gov/docs/ico/chapter/249A.3.pdf" Type="http://schemas.openxmlformats.org/officeDocument/2006/relationships/hyperlink" Id="rId187"/>
    <Relationship TargetMode="External" Target="https://www.legis.iowa.gov/docs/iac/rule/441.75.1.pdf" Type="http://schemas.openxmlformats.org/officeDocument/2006/relationships/hyperlink" Id="rId188"/>
    <Relationship TargetMode="External" Target="https://www.legis.iowa.gov/docs/iac/chapter/441.75.pdf" Type="http://schemas.openxmlformats.org/officeDocument/2006/relationships/hyperlink" Id="rId189"/>
    <Relationship TargetMode="External" Target="https://www.legis.iowa.gov/docs/iac/chapter/441.76.pdf" Type="http://schemas.openxmlformats.org/officeDocument/2006/relationships/hyperlink" Id="rId190"/>
    <Relationship TargetMode="External" Target="https://www.legis.iowa.gov/docs/iac/rule/441.416.2227.pdf" Type="http://schemas.openxmlformats.org/officeDocument/2006/relationships/hyperlink" Id="rId191"/>
    <Relationship TargetMode="External" Target="https://www.legis.iowa.gov/docs/iac/rule/441.75.24.pdf" Type="http://schemas.openxmlformats.org/officeDocument/2006/relationships/hyperlink" Id="rId192"/>
    <Relationship TargetMode="External" Target="https://www.legis.iowa.gov/docs/iac/rule/441.416.1245.pdf" Type="http://schemas.openxmlformats.org/officeDocument/2006/relationships/hyperlink" Id="rId193"/>
    <Relationship TargetMode="External" Target="https://www.legis.iowa.gov/docs/iac/rule/441.75.1.pdf" Type="http://schemas.openxmlformats.org/officeDocument/2006/relationships/hyperlink" Id="rId194"/>
    <Relationship TargetMode="External" Target="https://www.legis.iowa.gov/docs/iac/rule/441.75.1.pdf" Type="http://schemas.openxmlformats.org/officeDocument/2006/relationships/hyperlink" Id="rId195"/>
    <Relationship TargetMode="External" Target="https://www.legis.iowa.gov/docs/iac/rule/441.75.1.pdf" Type="http://schemas.openxmlformats.org/officeDocument/2006/relationships/hyperlink" Id="rId196"/>
    <Relationship TargetMode="External" Target="https://www.legis.iowa.gov/docs/iac/rule/441.75.1.pdf" Type="http://schemas.openxmlformats.org/officeDocument/2006/relationships/hyperlink" Id="rId197"/>
    <Relationship TargetMode="External" Target="https://www.legis.iowa.gov/docs/iac/rule/441.75.1.pdf" Type="http://schemas.openxmlformats.org/officeDocument/2006/relationships/hyperlink" Id="rId198"/>
    <Relationship TargetMode="External" Target="https://www.legis.iowa.gov/docs/iac/rule/441.75.1.pdf" Type="http://schemas.openxmlformats.org/officeDocument/2006/relationships/hyperlink" Id="rId199"/>
    <Relationship TargetMode="External" Target="https://www.legis.iowa.gov/docs/iac/rule/441.75.1.pdf" Type="http://schemas.openxmlformats.org/officeDocument/2006/relationships/hyperlink" Id="rId200"/>
    <Relationship TargetMode="External" Target="https://www.legis.iowa.gov/docs/iac/rule/441.75.1.pdf" Type="http://schemas.openxmlformats.org/officeDocument/2006/relationships/hyperlink" Id="rId201"/>
    <Relationship TargetMode="External" Target="https://www.legis.iowa.gov/docs/iac/rule/441.75.1.pdf" Type="http://schemas.openxmlformats.org/officeDocument/2006/relationships/hyperlink" Id="rId202"/>
    <Relationship TargetMode="External" Target="https://www.legis.iowa.gov/docs/iac/rule/441.75.1.pdf" Type="http://schemas.openxmlformats.org/officeDocument/2006/relationships/hyperlink" Id="rId203"/>
    <Relationship TargetMode="External" Target="https://www.legis.iowa.gov/docs/iac/rule/441.75.1.pdf" Type="http://schemas.openxmlformats.org/officeDocument/2006/relationships/hyperlink" Id="rId204"/>
    <Relationship TargetMode="External" Target="https://www.legis.iowa.gov/docs/iac/rule/441.75.1.pdf" Type="http://schemas.openxmlformats.org/officeDocument/2006/relationships/hyperlink" Id="rId205"/>
    <Relationship TargetMode="External" Target="https://www.legis.iowa.gov/docs/iac/rule/441.75.1.pdf" Type="http://schemas.openxmlformats.org/officeDocument/2006/relationships/hyperlink" Id="rId206"/>
    <Relationship TargetMode="External" Target="https://www.legis.iowa.gov/docs/iac/rule/441.75.1.pdf" Type="http://schemas.openxmlformats.org/officeDocument/2006/relationships/hyperlink" Id="rId207"/>
    <Relationship TargetMode="External" Target="https://www.legis.iowa.gov/docs/iac/rule/441.75.1.pdf" Type="http://schemas.openxmlformats.org/officeDocument/2006/relationships/hyperlink" Id="rId208"/>
    <Relationship TargetMode="External" Target="https://www.legis.iowa.gov/docs/ico/chapter/249A.3.pdf" Type="http://schemas.openxmlformats.org/officeDocument/2006/relationships/hyperlink" Id="rId209"/>
    <Relationship TargetMode="External" Target="https://www.legis.iowa.gov/docs/iac/rule/441.75.14.pdf" Type="http://schemas.openxmlformats.org/officeDocument/2006/relationships/hyperlink" Id="rId210"/>
    <Relationship TargetMode="External" Target="https://www.legis.iowa.gov/docs/iac/rule/441.75.14.pdf" Type="http://schemas.openxmlformats.org/officeDocument/2006/relationships/hyperlink" Id="rId211"/>
    <Relationship TargetMode="External" Target="https://www.legis.iowa.gov/docs/iac/rule/441.75.14.pdf" Type="http://schemas.openxmlformats.org/officeDocument/2006/relationships/hyperlink" Id="rId212"/>
    <Relationship TargetMode="External" Target="https://www.legis.iowa.gov/docs/iac/rule/441.75.1.pdf" Type="http://schemas.openxmlformats.org/officeDocument/2006/relationships/hyperlink" Id="rId213"/>
    <Relationship TargetMode="External" Target="https://www.legis.iowa.gov/docs/iac/rule/441.75.1.pdf" Type="http://schemas.openxmlformats.org/officeDocument/2006/relationships/hyperlink" Id="rId214"/>
    <Relationship TargetMode="External" Target="https://www.legis.iowa.gov/docs/iac/rule/441.75.1.pdf" Type="http://schemas.openxmlformats.org/officeDocument/2006/relationships/hyperlink" Id="rId215"/>
    <Relationship TargetMode="External" Target="https://www.legis.iowa.gov/docs/iac/rule/441.75.1.pdf" Type="http://schemas.openxmlformats.org/officeDocument/2006/relationships/hyperlink" Id="rId216"/>
    <Relationship TargetMode="External" Target="https://www.legis.iowa.gov/docs/iac/rule/441.75.1.pdf" Type="http://schemas.openxmlformats.org/officeDocument/2006/relationships/hyperlink" Id="rId217"/>
    <Relationship TargetMode="External" Target="https://www.legis.iowa.gov/docs/iac/rule/441.75.14.pdf" Type="http://schemas.openxmlformats.org/officeDocument/2006/relationships/hyperlink" Id="rId218"/>
    <Relationship TargetMode="External" Target="https://www.legis.iowa.gov/docs/iac/rule/441.75.1.pdf" Type="http://schemas.openxmlformats.org/officeDocument/2006/relationships/hyperlink" Id="rId219"/>
    <Relationship TargetMode="External" Target="https://www.legis.iowa.gov/docs/iac/rule/441.75.1.pdf" Type="http://schemas.openxmlformats.org/officeDocument/2006/relationships/hyperlink" Id="rId220"/>
    <Relationship TargetMode="External" Target="https://www.legis.iowa.gov/docs/iac/rule/441.75.14.pdf" Type="http://schemas.openxmlformats.org/officeDocument/2006/relationships/hyperlink" Id="rId221"/>
    <Relationship TargetMode="External" Target="https://www.legis.iowa.gov/docs/iac/rule/441.75.14.pdf" Type="http://schemas.openxmlformats.org/officeDocument/2006/relationships/hyperlink" Id="rId222"/>
    <Relationship TargetMode="External" Target="https://www.legis.iowa.gov/docs/ico/chapter/249A.3.pdf" Type="http://schemas.openxmlformats.org/officeDocument/2006/relationships/hyperlink" Id="rId223"/>
    <Relationship TargetMode="External" Target="https://www.legis.iowa.gov/docs/ico/chapter/249A.4.pdf" Type="http://schemas.openxmlformats.org/officeDocument/2006/relationships/hyperlink" Id="rId224"/>
    <Relationship TargetMode="External" Target="https://www.legis.iowa.gov/docs/iac/rule/441.75.15.pdf" Type="http://schemas.openxmlformats.org/officeDocument/2006/relationships/hyperlink" Id="rId225"/>
    <Relationship TargetMode="External" Target="https://www.legis.iowa.gov/docs/ico/chapter/249A.4.pdf" Type="http://schemas.openxmlformats.org/officeDocument/2006/relationships/hyperlink" Id="rId226"/>
    <Relationship TargetMode="External" Target="https://www.legis.iowa.gov/docs/iac/rule/441.81.23.pdf" Type="http://schemas.openxmlformats.org/officeDocument/2006/relationships/hyperlink" Id="rId227"/>
    <Relationship TargetMode="External" Target="https://www.legis.iowa.gov/docs/iac/rule/441.82.19.pdf" Type="http://schemas.openxmlformats.org/officeDocument/2006/relationships/hyperlink" Id="rId228"/>
    <Relationship TargetMode="External" Target="https://www.legis.iowa.gov/docs/iac/rule/441.85.47.pdf" Type="http://schemas.openxmlformats.org/officeDocument/2006/relationships/hyperlink" Id="rId229"/>
    <Relationship TargetMode="External" Target="https://www.legis.iowa.gov/docs/iac/rule/441.75.23.pdf" Type="http://schemas.openxmlformats.org/officeDocument/2006/relationships/hyperlink" Id="rId230"/>
    <Relationship TargetMode="External" Target="https://www.legis.iowa.gov/docs/ico/chapter/249A.3.pdf" Type="http://schemas.openxmlformats.org/officeDocument/2006/relationships/hyperlink" Id="rId231"/>
    <Relationship TargetMode="External" Target="https://www.legis.iowa.gov/docs/ico/chapter/249A.4.pdf" Type="http://schemas.openxmlformats.org/officeDocument/2006/relationships/hyperlink" Id="rId232"/>
    <Relationship TargetMode="External" Target="https://www.legis.iowa.gov/docs/ico/chapter/249A.3.pdf" Type="http://schemas.openxmlformats.org/officeDocument/2006/relationships/hyperlink" Id="rId233"/>
    <Relationship TargetMode="External" Target="https://www.legis.iowa.gov/docs/iac/rule/441.75.1.pdf" Type="http://schemas.openxmlformats.org/officeDocument/2006/relationships/hyperlink" Id="rId234"/>
    <Relationship TargetMode="External" Target="https://www.legis.iowa.gov/docs/ico/chapter/249A.3.pdf" Type="http://schemas.openxmlformats.org/officeDocument/2006/relationships/hyperlink" Id="rId235"/>
    <Relationship TargetMode="External" Target="https://www.legis.iowa.gov/docs/iac/rule/441.75.1.pdf" Type="http://schemas.openxmlformats.org/officeDocument/2006/relationships/hyperlink" Id="rId236"/>
    <Relationship TargetMode="External" Target="https://www.legis.iowa.gov/docs/iac/rule/441.75.1.pdf" Type="http://schemas.openxmlformats.org/officeDocument/2006/relationships/hyperlink" Id="rId237"/>
    <Relationship TargetMode="External" Target="https://www.legis.iowa.gov/docs/iac/rule/441.75.11.pdf" Type="http://schemas.openxmlformats.org/officeDocument/2006/relationships/hyperlink" Id="rId238"/>
    <Relationship TargetMode="External" Target="https://www.legis.iowa.gov/docs/ico/chapter/249A.3.pdf" Type="http://schemas.openxmlformats.org/officeDocument/2006/relationships/hyperlink" Id="rId239"/>
    <Relationship TargetMode="External" Target="https://www.legis.iowa.gov/docs/iac/rule/441.75.20.pdf" Type="http://schemas.openxmlformats.org/officeDocument/2006/relationships/hyperlink" Id="rId240"/>
    <Relationship TargetMode="External" Target="https://www.legis.iowa.gov/docs/ico/chapter/249A.4.pdf" Type="http://schemas.openxmlformats.org/officeDocument/2006/relationships/hyperlink" Id="rId241"/>
    <Relationship TargetMode="External" Target="https://www.legis.iowa.gov/docs/iac/rule/441.76.9.pdf" Type="http://schemas.openxmlformats.org/officeDocument/2006/relationships/hyperlink" Id="rId242"/>
    <Relationship TargetMode="External" Target="https://www.legis.iowa.gov/docs/iac/rule/441.76.9.pdf" Type="http://schemas.openxmlformats.org/officeDocument/2006/relationships/hyperlink" Id="rId243"/>
    <Relationship TargetMode="External" Target="https://www.legis.iowa.gov/docs/iac/rule/441.75.21.pdf" Type="http://schemas.openxmlformats.org/officeDocument/2006/relationships/hyperlink" Id="rId244"/>
    <Relationship TargetMode="External" Target="https://www.legis.iowa.gov/docs/iac/rule/441.75.1.pdf" Type="http://schemas.openxmlformats.org/officeDocument/2006/relationships/hyperlink" Id="rId245"/>
    <Relationship TargetMode="External" Target="https://www.legis.iowa.gov/docs/ico/chapter/514E.pdf" Type="http://schemas.openxmlformats.org/officeDocument/2006/relationships/hyperlink" Id="rId246"/>
    <Relationship TargetMode="External" Target="https://www.legis.iowa.gov/docs/iac/rule/441.75.1.pdf" Type="http://schemas.openxmlformats.org/officeDocument/2006/relationships/hyperlink" Id="rId247"/>
    <Relationship TargetMode="External" Target="https://www.legis.iowa.gov/docs/iac/chapter/441.79.pdf" Type="http://schemas.openxmlformats.org/officeDocument/2006/relationships/hyperlink" Id="rId248"/>
    <Relationship TargetMode="External" Target="https://www.legis.iowa.gov/docs/iac/chapter/441.80.pdf" Type="http://schemas.openxmlformats.org/officeDocument/2006/relationships/hyperlink" Id="rId249"/>
    <Relationship TargetMode="External" Target="https://www.legis.iowa.gov/docs/iac/rule/441.75.21.pdf" Type="http://schemas.openxmlformats.org/officeDocument/2006/relationships/hyperlink" Id="rId250"/>
    <Relationship TargetMode="External" Target="https://www.legis.iowa.gov/docs/iac/rule/441.75.21.pdf" Type="http://schemas.openxmlformats.org/officeDocument/2006/relationships/hyperlink" Id="rId251"/>
    <Relationship TargetMode="External" Target="https://www.legis.iowa.gov/docs/iac/rule/441.16.3.pdf" Type="http://schemas.openxmlformats.org/officeDocument/2006/relationships/hyperlink" Id="rId252"/>
    <Relationship TargetMode="External" Target="https://www.legis.iowa.gov/docs/iac/rule/441.75.21.pdf" Type="http://schemas.openxmlformats.org/officeDocument/2006/relationships/hyperlink" Id="rId253"/>
    <Relationship TargetMode="External" Target="https://www.legis.iowa.gov/docs/iac/rule/441.75.21.pdf" Type="http://schemas.openxmlformats.org/officeDocument/2006/relationships/hyperlink" Id="rId254"/>
    <Relationship TargetMode="External" Target="https://www.legis.iowa.gov/docs/iac/chapter/441.11.pdf" Type="http://schemas.openxmlformats.org/officeDocument/2006/relationships/hyperlink" Id="rId255"/>
    <Relationship TargetMode="External" Target="https://www.legis.iowa.gov/docs/ico/chapter/249A.3.pdf" Type="http://schemas.openxmlformats.org/officeDocument/2006/relationships/hyperlink" Id="rId256"/>
    <Relationship TargetMode="External" Target="https://www.legis.iowa.gov/docs/ico/chapter/141A.1.pdf" Type="http://schemas.openxmlformats.org/officeDocument/2006/relationships/hyperlink" Id="rId257"/>
    <Relationship TargetMode="External" Target="https://www.legis.iowa.gov/docs/iac/rule/441.75.10.pdf" Type="http://schemas.openxmlformats.org/officeDocument/2006/relationships/hyperlink" Id="rId258"/>
    <Relationship TargetMode="External" Target="https://www.legis.iowa.gov/docs/iac/rule/441.75.1.pdf" Type="http://schemas.openxmlformats.org/officeDocument/2006/relationships/hyperlink" Id="rId259"/>
    <Relationship TargetMode="External" Target="https://www.legis.iowa.gov/docs/iac/rule/441.75.21.pdf" Type="http://schemas.openxmlformats.org/officeDocument/2006/relationships/hyperlink" Id="rId260"/>
    <Relationship TargetMode="External" Target="https://www.legis.iowa.gov/docs/iac/rule/441.75.21.pdf" Type="http://schemas.openxmlformats.org/officeDocument/2006/relationships/hyperlink" Id="rId261"/>
    <Relationship TargetMode="External" Target="https://www.legis.iowa.gov/docs/iac/rule/441.75.21.pdf" Type="http://schemas.openxmlformats.org/officeDocument/2006/relationships/hyperlink" Id="rId262"/>
    <Relationship TargetMode="External" Target="https://www.legis.iowa.gov/docs/iac/rule/441.16.3.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16.3.pdf" Type="http://schemas.openxmlformats.org/officeDocument/2006/relationships/hyperlink" Id="rId265"/>
    <Relationship TargetMode="External" Target="https://www.legis.iowa.gov/docs/ico/chapter/141A.9.pdf" Type="http://schemas.openxmlformats.org/officeDocument/2006/relationships/hyperlink" Id="rId266"/>
    <Relationship TargetMode="External" Target="https://www.legis.iowa.gov/docs/ico/chapter/249A.4.pdf" Type="http://schemas.openxmlformats.org/officeDocument/2006/relationships/hyperlink" Id="rId267"/>
    <Relationship TargetMode="External" Target="https://www.legis.iowa.gov/docs/iac/chapter/441.75.pdf" Type="http://schemas.openxmlformats.org/officeDocument/2006/relationships/hyperlink" Id="rId268"/>
    <Relationship TargetMode="External" Target="https://www.legis.iowa.gov/docs/iac/chapter/441.83.pdf" Type="http://schemas.openxmlformats.org/officeDocument/2006/relationships/hyperlink" Id="rId269"/>
    <Relationship TargetMode="External" Target="https://www.legis.iowa.gov/docs/iac/rule/441.75.23.pdf" Type="http://schemas.openxmlformats.org/officeDocument/2006/relationships/hyperlink" Id="rId270"/>
    <Relationship TargetMode="External" Target="https://www.legis.iowa.gov/docs/iac/rule/441.75.23.pdf" Type="http://schemas.openxmlformats.org/officeDocument/2006/relationships/hyperlink" Id="rId271"/>
    <Relationship TargetMode="External" Target="https://www.legis.iowa.gov/docs/iac/rule/441.75.23.pdf" Type="http://schemas.openxmlformats.org/officeDocument/2006/relationships/hyperlink" Id="rId272"/>
    <Relationship TargetMode="External" Target="https://www.legis.iowa.gov/docs/iac/rule/441.75.23.pdf" Type="http://schemas.openxmlformats.org/officeDocument/2006/relationships/hyperlink" Id="rId273"/>
    <Relationship TargetMode="External" Target="https://www.legis.iowa.gov/docs/iac/rule/441.75.16.pdf" Type="http://schemas.openxmlformats.org/officeDocument/2006/relationships/hyperlink" Id="rId274"/>
    <Relationship TargetMode="External" Target="https://www.legis.iowa.gov/docs/iac/rule/441.75.23.pdf" Type="http://schemas.openxmlformats.org/officeDocument/2006/relationships/hyperlink" Id="rId275"/>
    <Relationship TargetMode="External" Target="https://www.legis.iowa.gov/docs/iac/rule/441.75.24.pdf" Type="http://schemas.openxmlformats.org/officeDocument/2006/relationships/hyperlink" Id="rId276"/>
    <Relationship TargetMode="External" Target="https://www.legis.iowa.gov/docs/ico/chapter/633.704.pdf" Type="http://schemas.openxmlformats.org/officeDocument/2006/relationships/hyperlink" Id="rId277"/>
    <Relationship TargetMode="External" Target="https://www.legis.iowa.gov/docs/ico/chapter/249A.3.pdf" Type="http://schemas.openxmlformats.org/officeDocument/2006/relationships/hyperlink" Id="rId278"/>
    <Relationship TargetMode="External" Target="https://www.legis.iowa.gov/docs/ico/chapter/249A.3.pdf" Type="http://schemas.openxmlformats.org/officeDocument/2006/relationships/hyperlink" Id="rId279"/>
    <Relationship TargetMode="External" Target="https://www.legis.iowa.gov/docs/iac/rule/441.75.23.pdf" Type="http://schemas.openxmlformats.org/officeDocument/2006/relationships/hyperlink" Id="rId280"/>
    <Relationship TargetMode="External" Target="https://www.legis.iowa.gov/docs/iac/rule/441.75.23.pdf" Type="http://schemas.openxmlformats.org/officeDocument/2006/relationships/hyperlink" Id="rId281"/>
    <Relationship TargetMode="External" Target="https://www.legis.iowa.gov/docs/iac/rule/441.75.23.pdf" Type="http://schemas.openxmlformats.org/officeDocument/2006/relationships/hyperlink" Id="rId282"/>
    <Relationship TargetMode="External" Target="https://www.legis.iowa.gov/docs/iac/rule/441.75.23.pdf" Type="http://schemas.openxmlformats.org/officeDocument/2006/relationships/hyperlink" Id="rId283"/>
    <Relationship TargetMode="External" Target="https://www.legis.iowa.gov/docs/iac/rule/441.75.23.pdf" Type="http://schemas.openxmlformats.org/officeDocument/2006/relationships/hyperlink" Id="rId284"/>
    <Relationship TargetMode="External" Target="https://www.legis.iowa.gov/docs/iac/rule/441.75.23.pdf" Type="http://schemas.openxmlformats.org/officeDocument/2006/relationships/hyperlink" Id="rId285"/>
    <Relationship TargetMode="External" Target="https://www.legis.iowa.gov/docs/ico/chapter/249A.3.pdf" Type="http://schemas.openxmlformats.org/officeDocument/2006/relationships/hyperlink" Id="rId286"/>
    <Relationship TargetMode="External" Target="https://www.legis.iowa.gov/docs/ico/chapter/249A.4.pdf" Type="http://schemas.openxmlformats.org/officeDocument/2006/relationships/hyperlink" Id="rId287"/>
    <Relationship TargetMode="External" Target="https://www.legis.iowa.gov/docs/iac/rule/441.75.24.pdf" Type="http://schemas.openxmlformats.org/officeDocument/2006/relationships/hyperlink" Id="rId288"/>
    <Relationship TargetMode="External" Target="https://www.legis.iowa.gov/docs/iac/rule/441.75.24.pdf" Type="http://schemas.openxmlformats.org/officeDocument/2006/relationships/hyperlink" Id="rId289"/>
    <Relationship TargetMode="External" Target="https://www.legis.iowa.gov/docs/iac/rule/441.75.23.pdf" Type="http://schemas.openxmlformats.org/officeDocument/2006/relationships/hyperlink" Id="rId290"/>
    <Relationship TargetMode="External" Target="https://www.legis.iowa.gov/docs/iac/chapter/441.89.pdf" Type="http://schemas.openxmlformats.org/officeDocument/2006/relationships/hyperlink" Id="rId291"/>
    <Relationship TargetMode="External" Target="https://www.legis.iowa.gov/docs/iac/rule/441.75.23.pdf" Type="http://schemas.openxmlformats.org/officeDocument/2006/relationships/hyperlink" Id="rId292"/>
    <Relationship TargetMode="External" Target="https://www.legis.iowa.gov/docs/iac/chapter/441.89.pdf" Type="http://schemas.openxmlformats.org/officeDocument/2006/relationships/hyperlink" Id="rId293"/>
    <Relationship TargetMode="External" Target="https://www.legis.iowa.gov/docs/iac/rule/441.75.23.pdf" Type="http://schemas.openxmlformats.org/officeDocument/2006/relationships/hyperlink" Id="rId294"/>
    <Relationship TargetMode="External" Target="https://www.legis.iowa.gov/docs/iac/chapter/441.89.pdf" Type="http://schemas.openxmlformats.org/officeDocument/2006/relationships/hyperlink" Id="rId295"/>
    <Relationship TargetMode="External" Target="https://www.legis.iowa.gov/docs/ico/chapter/633C.1-5.pdf" Type="http://schemas.openxmlformats.org/officeDocument/2006/relationships/hyperlink" Id="rId296"/>
    <Relationship TargetMode="External" Target="https://www.legis.iowa.gov/docs/ico/chapter/249A.4.pdf" Type="http://schemas.openxmlformats.org/officeDocument/2006/relationships/hyperlink" Id="rId297"/>
    <Relationship TargetMode="External" Target="https://www.legis.iowa.gov/docs/iac/rule/441.75.5.pdf" Type="http://schemas.openxmlformats.org/officeDocument/2006/relationships/hyperlink" Id="rId298"/>
    <Relationship TargetMode="External" Target="https://www.legis.iowa.gov/docs/iac/rule/441.75.16.pdf" Type="http://schemas.openxmlformats.org/officeDocument/2006/relationships/hyperlink" Id="rId299"/>
    <Relationship TargetMode="External" Target="https://www.legis.iowa.gov/docs/iac/rule/441.76.10.pdf" Type="http://schemas.openxmlformats.org/officeDocument/2006/relationships/hyperlink" Id="rId300"/>
    <Relationship TargetMode="External" Target="https://www.legis.iowa.gov/docs/iac/rule/441.75.1.pdf" Type="http://schemas.openxmlformats.org/officeDocument/2006/relationships/hyperlink" Id="rId301"/>
    <Relationship TargetMode="External" Target="https://www.legis.iowa.gov/docs/iac/rule/441.75.5.pdf" Type="http://schemas.openxmlformats.org/officeDocument/2006/relationships/hyperlink" Id="rId302"/>
    <Relationship TargetMode="External" Target="https://www.legis.iowa.gov/docs/iac/rule/441.75.5.pdf" Type="http://schemas.openxmlformats.org/officeDocument/2006/relationships/hyperlink" Id="rId303"/>
    <Relationship TargetMode="External" Target="https://www.legis.iowa.gov/docs/iac/rule/441.75.16.pdf" Type="http://schemas.openxmlformats.org/officeDocument/2006/relationships/hyperlink" Id="rId304"/>
    <Relationship TargetMode="External" Target="https://www.legis.iowa.gov/docs/iac/rule/441.76.10.pdf" Type="http://schemas.openxmlformats.org/officeDocument/2006/relationships/hyperlink" Id="rId305"/>
    <Relationship TargetMode="External" Target="https://www.legis.iowa.gov/docs/iac/rule/441.75.58.pdf" Type="http://schemas.openxmlformats.org/officeDocument/2006/relationships/hyperlink" Id="rId306"/>
    <Relationship TargetMode="External" Target="https://www.legis.iowa.gov/docs/iac/rule/441.75.1.pdf" Type="http://schemas.openxmlformats.org/officeDocument/2006/relationships/hyperlink" Id="rId307"/>
    <Relationship TargetMode="External" Target="https://www.legis.iowa.gov/docs/iac/rule/441.75.23.pdf" Type="http://schemas.openxmlformats.org/officeDocument/2006/relationships/hyperlink" Id="rId308"/>
    <Relationship TargetMode="External" Target="https://www.legis.iowa.gov/docs/ico/chapter/633.33.pdf" Type="http://schemas.openxmlformats.org/officeDocument/2006/relationships/hyperlink" Id="rId309"/>
    <Relationship TargetMode="External" Target="https://www.legis.iowa.gov/docs/ico/chapter/633.3.pdf" Type="http://schemas.openxmlformats.org/officeDocument/2006/relationships/hyperlink" Id="rId310"/>
    <Relationship TargetMode="External" Target="https://www.legis.iowa.gov/docs/iac/rule/441.75.23.pdf" Type="http://schemas.openxmlformats.org/officeDocument/2006/relationships/hyperlink" Id="rId311"/>
    <Relationship TargetMode="External" Target="https://www.legis.iowa.gov/docs/ico/chapter/249A.3.pdf" Type="http://schemas.openxmlformats.org/officeDocument/2006/relationships/hyperlink" Id="rId312"/>
    <Relationship TargetMode="External" Target="https://www.legis.iowa.gov/docs/ico/chapter/249A.4.pdf" Type="http://schemas.openxmlformats.org/officeDocument/2006/relationships/hyperlink" Id="rId313"/>
    <Relationship TargetMode="External" Target="https://www.legis.iowa.gov/docs/iac/rule/441.75.27.pdf" Type="http://schemas.openxmlformats.org/officeDocument/2006/relationships/hyperlink" Id="rId314"/>
    <Relationship TargetMode="External" Target="https://www.legis.iowa.gov/docs/ico/chapter/249A.3.pdf" Type="http://schemas.openxmlformats.org/officeDocument/2006/relationships/hyperlink" Id="rId315"/>
    <Relationship TargetMode="External" Target="https://www.legis.iowa.gov/docs/ico/chapter/249A.4.pdf" Type="http://schemas.openxmlformats.org/officeDocument/2006/relationships/hyperlink" Id="rId316"/>
    <Relationship TargetMode="External" Target="https://www.legis.iowa.gov/docs/iac/rule/441.76.15.pdf" Type="http://schemas.openxmlformats.org/officeDocument/2006/relationships/hyperlink" Id="rId317"/>
    <Relationship TargetMode="External" Target="https://www.legis.iowa.gov/docs/iac/chapter/441.7.pdf" Type="http://schemas.openxmlformats.org/officeDocument/2006/relationships/hyperlink" Id="rId318"/>
    <Relationship TargetMode="External" Target="https://www.legis.iowa.gov/docs/ico/chapter/249A.53.pdf" Type="http://schemas.openxmlformats.org/officeDocument/2006/relationships/hyperlink" Id="rId319"/>
    <Relationship TargetMode="External" Target="https://www.legis.iowa.gov/docs/ico/chapter/633.425.pdf" Type="http://schemas.openxmlformats.org/officeDocument/2006/relationships/hyperlink" Id="rId320"/>
    <Relationship TargetMode="External" Target="https://www.legis.iowa.gov/docs/ico/chapter/514B.1.pdf" Type="http://schemas.openxmlformats.org/officeDocument/2006/relationships/hyperlink" Id="rId321"/>
    <Relationship TargetMode="External" Target="https://www.legis.iowa.gov/docs/iac/chapter/441.7.pdf" Type="http://schemas.openxmlformats.org/officeDocument/2006/relationships/hyperlink" Id="rId322"/>
    <Relationship TargetMode="External" Target="https://www.legis.iowa.gov/docs/ico/chapter/249A.53.pdf" Type="http://schemas.openxmlformats.org/officeDocument/2006/relationships/hyperlink" Id="rId323"/>
    <Relationship TargetMode="External" Target="https://www.legis.iowa.gov/docs/iac/chapter/441.7.pdf" Type="http://schemas.openxmlformats.org/officeDocument/2006/relationships/hyperlink" Id="rId324"/>
    <Relationship TargetMode="External" Target="https://www.legis.iowa.gov/docs/iac/rule/441.75.28.pdf" Type="http://schemas.openxmlformats.org/officeDocument/2006/relationships/hyperlink" Id="rId325"/>
    <Relationship TargetMode="External" Target="https://www.legis.iowa.gov/docs/iac/rule/441.75.5.pdf" Type="http://schemas.openxmlformats.org/officeDocument/2006/relationships/hyperlink" Id="rId326"/>
    <Relationship TargetMode="External" Target="https://www.legis.iowa.gov/docs/ico/chapter/535.3.pdf" Type="http://schemas.openxmlformats.org/officeDocument/2006/relationships/hyperlink" Id="rId327"/>
    <Relationship TargetMode="External" Target="https://www.legis.iowa.gov/docs/ico/chapter/633C.pdf" Type="http://schemas.openxmlformats.org/officeDocument/2006/relationships/hyperlink" Id="rId328"/>
    <Relationship TargetMode="External" Target="https://www.legis.iowa.gov/docs/iac/chapter/481.72.pdf" Type="http://schemas.openxmlformats.org/officeDocument/2006/relationships/hyperlink" Id="rId329"/>
    <Relationship TargetMode="External" Target="https://www.legis.iowa.gov/docs/iac/rule/441.75.25.pdf" Type="http://schemas.openxmlformats.org/officeDocument/2006/relationships/hyperlink" Id="rId330"/>
    <Relationship TargetMode="External" Target="https://www.legis.iowa.gov/docs/iac/rule/441.75.55.pdf" Type="http://schemas.openxmlformats.org/officeDocument/2006/relationships/hyperlink" Id="rId331"/>
    <Relationship TargetMode="External" Target="https://www.legis.iowa.gov/docs/iac/rule/441.75.1.pdf" Type="http://schemas.openxmlformats.org/officeDocument/2006/relationships/hyperlink" Id="rId332"/>
    <Relationship TargetMode="External" Target="https://www.legis.iowa.gov/docs/iac/rule/441.75.55.pdf" Type="http://schemas.openxmlformats.org/officeDocument/2006/relationships/hyperlink" Id="rId333"/>
    <Relationship TargetMode="External" Target="https://www.legis.iowa.gov/docs/iac/rule/441.75.58.pdf" Type="http://schemas.openxmlformats.org/officeDocument/2006/relationships/hyperlink" Id="rId334"/>
    <Relationship TargetMode="External" Target="https://www.legis.iowa.gov/docs/iac/rule/441.75.52.pdf" Type="http://schemas.openxmlformats.org/officeDocument/2006/relationships/hyperlink" Id="rId335"/>
    <Relationship TargetMode="External" Target="https://www.legis.iowa.gov/docs/iac/rule/441.75.50.pdf" Type="http://schemas.openxmlformats.org/officeDocument/2006/relationships/hyperlink" Id="rId336"/>
    <Relationship TargetMode="External" Target="https://www.legis.iowa.gov/docs/iac/rule/441.75.52.pdf" Type="http://schemas.openxmlformats.org/officeDocument/2006/relationships/hyperlink" Id="rId337"/>
    <Relationship TargetMode="External" Target="https://www.legis.iowa.gov/docs/iac/rule/441.75.57.pdf" Type="http://schemas.openxmlformats.org/officeDocument/2006/relationships/hyperlink" Id="rId338"/>
    <Relationship TargetMode="External" Target="https://www.legis.iowa.gov/docs/iac/rule/441.75.57.pdf" Type="http://schemas.openxmlformats.org/officeDocument/2006/relationships/hyperlink" Id="rId339"/>
    <Relationship TargetMode="External" Target="https://www.legis.iowa.gov/docs/iac/rule/441.75.57.pdf" Type="http://schemas.openxmlformats.org/officeDocument/2006/relationships/hyperlink" Id="rId340"/>
    <Relationship TargetMode="External" Target="https://www.legis.iowa.gov/docs/iac/rule/441.75.1.pdf" Type="http://schemas.openxmlformats.org/officeDocument/2006/relationships/hyperlink" Id="rId341"/>
    <Relationship TargetMode="External" Target="https://www.legis.iowa.gov/docs/iac/rule/441.75.52.pdf" Type="http://schemas.openxmlformats.org/officeDocument/2006/relationships/hyperlink" Id="rId342"/>
    <Relationship TargetMode="External" Target="https://www.legis.iowa.gov/docs/iac/rule/441.75.52.pdf" Type="http://schemas.openxmlformats.org/officeDocument/2006/relationships/hyperlink" Id="rId343"/>
    <Relationship TargetMode="External" Target="https://www.legis.iowa.gov/docs/iac/rule/441.75.52.pdf" Type="http://schemas.openxmlformats.org/officeDocument/2006/relationships/hyperlink" Id="rId344"/>
    <Relationship TargetMode="External" Target="https://www.legis.iowa.gov/docs/iac/rule/441.75.52.pdf" Type="http://schemas.openxmlformats.org/officeDocument/2006/relationships/hyperlink" Id="rId345"/>
    <Relationship TargetMode="External" Target="https://www.legis.iowa.gov/docs/iac/rule/441.16.3.pdf" Type="http://schemas.openxmlformats.org/officeDocument/2006/relationships/hyperlink" Id="rId346"/>
    <Relationship TargetMode="External" Target="https://www.legis.iowa.gov/docs/iac/rule/441.76.11.pdf" Type="http://schemas.openxmlformats.org/officeDocument/2006/relationships/hyperlink" Id="rId347"/>
    <Relationship TargetMode="External" Target="https://www.legis.iowa.gov/docs/iac/rule/441.16.3.pdf" Type="http://schemas.openxmlformats.org/officeDocument/2006/relationships/hyperlink" Id="rId348"/>
    <Relationship TargetMode="External" Target="https://www.legis.iowa.gov/docs/iac/rule/441.75.10.pdf" Type="http://schemas.openxmlformats.org/officeDocument/2006/relationships/hyperlink" Id="rId349"/>
    <Relationship TargetMode="External" Target="https://www.legis.iowa.gov/docs/iac/rule/441.75.54.pdf" Type="http://schemas.openxmlformats.org/officeDocument/2006/relationships/hyperlink" Id="rId350"/>
    <Relationship TargetMode="External" Target="https://www.legis.iowa.gov/docs/iac/rule/441.75.53.pdf" Type="http://schemas.openxmlformats.org/officeDocument/2006/relationships/hyperlink" Id="rId351"/>
    <Relationship TargetMode="External" Target="https://www.legis.iowa.gov/docs/iac/rule/441.75.1.pdf" Type="http://schemas.openxmlformats.org/officeDocument/2006/relationships/hyperlink" Id="rId352"/>
    <Relationship TargetMode="External" Target="https://www.legis.iowa.gov/docs/iac/rule/441.75.55.pdf" Type="http://schemas.openxmlformats.org/officeDocument/2006/relationships/hyperlink" Id="rId353"/>
    <Relationship TargetMode="External" Target="https://www.legis.iowa.gov/docs/iac/rule/441.75.14.pdf" Type="http://schemas.openxmlformats.org/officeDocument/2006/relationships/hyperlink" Id="rId354"/>
    <Relationship TargetMode="External" Target="https://www.legis.iowa.gov/docs/iac/rule/441.75.56.pdf" Type="http://schemas.openxmlformats.org/officeDocument/2006/relationships/hyperlink" Id="rId355"/>
    <Relationship TargetMode="External" Target="https://www.legis.iowa.gov/docs/iac/rule/441.75.56.pdf" Type="http://schemas.openxmlformats.org/officeDocument/2006/relationships/hyperlink" Id="rId356"/>
    <Relationship TargetMode="External" Target="https://www.legis.iowa.gov/docs/iac/rule/441.75.56.pdf" Type="http://schemas.openxmlformats.org/officeDocument/2006/relationships/hyperlink" Id="rId357"/>
    <Relationship TargetMode="External" Target="https://www.legis.iowa.gov/docs/iac/rule/441.75.56.pdf" Type="http://schemas.openxmlformats.org/officeDocument/2006/relationships/hyperlink" Id="rId358"/>
    <Relationship TargetMode="External" Target="https://www.legis.iowa.gov/docs/iac/rule/441.75.56.pdf" Type="http://schemas.openxmlformats.org/officeDocument/2006/relationships/hyperlink" Id="rId359"/>
    <Relationship TargetMode="External" Target="https://www.legis.iowa.gov/docs/iac/rule/441.75.57.pdf" Type="http://schemas.openxmlformats.org/officeDocument/2006/relationships/hyperlink" Id="rId360"/>
    <Relationship TargetMode="External" Target="https://www.legis.iowa.gov/docs/iac/rule/441.75.57.pdf" Type="http://schemas.openxmlformats.org/officeDocument/2006/relationships/hyperlink" Id="rId361"/>
    <Relationship TargetMode="External" Target="https://www.legis.iowa.gov/docs/iac/rule/441.75.56.pdf" Type="http://schemas.openxmlformats.org/officeDocument/2006/relationships/hyperlink" Id="rId362"/>
    <Relationship TargetMode="External" Target="https://www.legis.iowa.gov/docs/iac/rule/441.75.57.pdf" Type="http://schemas.openxmlformats.org/officeDocument/2006/relationships/hyperlink" Id="rId363"/>
    <Relationship TargetMode="External" Target="https://www.legis.iowa.gov/docs/iac/rule/441.75.57.pdf" Type="http://schemas.openxmlformats.org/officeDocument/2006/relationships/hyperlink" Id="rId364"/>
    <Relationship TargetMode="External" Target="https://www.legis.iowa.gov/docs/iac/rule/441.75.24.pdf" Type="http://schemas.openxmlformats.org/officeDocument/2006/relationships/hyperlink" Id="rId365"/>
    <Relationship TargetMode="External" Target="https://www.legis.iowa.gov/docs/iac/rule/441.75.24.pdf" Type="http://schemas.openxmlformats.org/officeDocument/2006/relationships/hyperlink" Id="rId366"/>
    <Relationship TargetMode="External" Target="https://www.legis.iowa.gov/docs/iac/rule/441.75.1.pdf" Type="http://schemas.openxmlformats.org/officeDocument/2006/relationships/hyperlink" Id="rId367"/>
    <Relationship TargetMode="External" Target="https://www.legis.iowa.gov/docs/iac/rule/441.75.58.pdf" Type="http://schemas.openxmlformats.org/officeDocument/2006/relationships/hyperlink" Id="rId368"/>
    <Relationship TargetMode="External" Target="https://www.legis.iowa.gov/docs/iac/rule/441.75.58.pdf" Type="http://schemas.openxmlformats.org/officeDocument/2006/relationships/hyperlink" Id="rId369"/>
    <Relationship TargetMode="External" Target="https://www.legis.iowa.gov/docs/iac/rule/441.75.58.pdf" Type="http://schemas.openxmlformats.org/officeDocument/2006/relationships/hyperlink" Id="rId370"/>
    <Relationship TargetMode="External" Target="https://www.legis.iowa.gov/docs/iac/rule/441.75.58.pdf" Type="http://schemas.openxmlformats.org/officeDocument/2006/relationships/hyperlink" Id="rId371"/>
    <Relationship TargetMode="External" Target="https://www.legis.iowa.gov/docs/iac/rule/441.75.58.pdf" Type="http://schemas.openxmlformats.org/officeDocument/2006/relationships/hyperlink" Id="rId372"/>
    <Relationship TargetMode="External" Target="https://www.legis.iowa.gov/docs/iac/rule/441.41.22.pdf" Type="http://schemas.openxmlformats.org/officeDocument/2006/relationships/hyperlink" Id="rId373"/>
    <Relationship TargetMode="External" Target="https://www.legis.iowa.gov/docs/iac/rule/441.75.57.pdf" Type="http://schemas.openxmlformats.org/officeDocument/2006/relationships/hyperlink" Id="rId374"/>
    <Relationship TargetMode="External" Target="https://www.legis.iowa.gov/docs/iac/rule/441.75.57.pdf" Type="http://schemas.openxmlformats.org/officeDocument/2006/relationships/hyperlink" Id="rId375"/>
    <Relationship TargetMode="External" Target="https://www.legis.iowa.gov/docs/iac/rule/441.75.56.pdf" Type="http://schemas.openxmlformats.org/officeDocument/2006/relationships/hyperlink" Id="rId376"/>
    <Relationship TargetMode="External" Target="https://www.legis.iowa.gov/docs/iac/rule/441.76.11.pdf" Type="http://schemas.openxmlformats.org/officeDocument/2006/relationships/hyperlink" Id="rId377"/>
    <Relationship TargetMode="External" Target="https://www.legis.iowa.gov/docs/iac/rule/441.75.1.pdf" Type="http://schemas.openxmlformats.org/officeDocument/2006/relationships/hyperlink" Id="rId378"/>
    <Relationship TargetMode="External" Target="https://www.legis.iowa.gov/docs/iac/rule/441.75.1.pdf" Type="http://schemas.openxmlformats.org/officeDocument/2006/relationships/hyperlink" Id="rId379"/>
    <Relationship TargetMode="External" Target="https://www.legis.iowa.gov/docs/iac/rule/441.75.50.pdf" Type="http://schemas.openxmlformats.org/officeDocument/2006/relationships/hyperlink" Id="rId380"/>
    <Relationship TargetMode="External" Target="https://www.legis.iowa.gov/docs/iac/rule/441.75.57.pdf" Type="http://schemas.openxmlformats.org/officeDocument/2006/relationships/hyperlink" Id="rId381"/>
    <Relationship TargetMode="External" Target="https://www.legis.iowa.gov/docs/iac/rule/441.75.57.pdf" Type="http://schemas.openxmlformats.org/officeDocument/2006/relationships/hyperlink" Id="rId382"/>
    <Relationship TargetMode="External" Target="https://www.legis.iowa.gov/docs/iac/rule/441.75.57.pdf" Type="http://schemas.openxmlformats.org/officeDocument/2006/relationships/hyperlink" Id="rId383"/>
    <Relationship TargetMode="External" Target="https://www.legis.iowa.gov/docs/iac/rule/441.75.57.pdf" Type="http://schemas.openxmlformats.org/officeDocument/2006/relationships/hyperlink" Id="rId384"/>
    <Relationship TargetMode="External" Target="https://www.legis.iowa.gov/docs/iac/rule/441.75.57.pdf" Type="http://schemas.openxmlformats.org/officeDocument/2006/relationships/hyperlink" Id="rId385"/>
    <Relationship TargetMode="External" Target="https://www.legis.iowa.gov/docs/iac/rule/441.75.57.pdf" Type="http://schemas.openxmlformats.org/officeDocument/2006/relationships/hyperlink" Id="rId386"/>
    <Relationship TargetMode="External" Target="https://www.legis.iowa.gov/docs/iac/rule/441.75.57.pdf" Type="http://schemas.openxmlformats.org/officeDocument/2006/relationships/hyperlink" Id="rId387"/>
    <Relationship TargetMode="External" Target="https://www.legis.iowa.gov/docs/iac/rule/441.75.2.pdf" Type="http://schemas.openxmlformats.org/officeDocument/2006/relationships/hyperlink" Id="rId388"/>
    <Relationship TargetMode="External" Target="https://www.legis.iowa.gov/docs/iac/rule/441.75.3.pdf" Type="http://schemas.openxmlformats.org/officeDocument/2006/relationships/hyperlink" Id="rId389"/>
    <Relationship TargetMode="External" Target="https://www.legis.iowa.gov/docs/iac/rule/441.75.21.pdf" Type="http://schemas.openxmlformats.org/officeDocument/2006/relationships/hyperlink" Id="rId390"/>
    <Relationship TargetMode="External" Target="https://www.legis.iowa.gov/docs/iac/rule/441.75.58.pdf" Type="http://schemas.openxmlformats.org/officeDocument/2006/relationships/hyperlink" Id="rId391"/>
    <Relationship TargetMode="External" Target="https://www.legis.iowa.gov/docs/iac/rule/441.75.58.pdf" Type="http://schemas.openxmlformats.org/officeDocument/2006/relationships/hyperlink" Id="rId392"/>
    <Relationship TargetMode="External" Target="https://www.legis.iowa.gov/docs/iac/rule/441.75.57.pdf" Type="http://schemas.openxmlformats.org/officeDocument/2006/relationships/hyperlink" Id="rId393"/>
    <Relationship TargetMode="External" Target="https://www.legis.iowa.gov/docs/iac/rule/441.75.50.pdf" Type="http://schemas.openxmlformats.org/officeDocument/2006/relationships/hyperlink" Id="rId394"/>
    <Relationship TargetMode="External" Target="https://www.legis.iowa.gov/docs/iac/rule/441.75.54.pdf" Type="http://schemas.openxmlformats.org/officeDocument/2006/relationships/hyperlink" Id="rId395"/>
    <Relationship TargetMode="External" Target="https://www.legis.iowa.gov/docs/iac/rule/441.75.57.pdf" Type="http://schemas.openxmlformats.org/officeDocument/2006/relationships/hyperlink" Id="rId396"/>
    <Relationship TargetMode="External" Target="https://www.legis.iowa.gov/docs/iac/rule/441.75.57.pdf" Type="http://schemas.openxmlformats.org/officeDocument/2006/relationships/hyperlink" Id="rId397"/>
    <Relationship TargetMode="External" Target="https://www.legis.iowa.gov/docs/iac/rule/441.75.55.pdf" Type="http://schemas.openxmlformats.org/officeDocument/2006/relationships/hyperlink" Id="rId398"/>
    <Relationship TargetMode="External" Target="https://www.legis.iowa.gov/docs/iac/rule/441.75.58.pdf" Type="http://schemas.openxmlformats.org/officeDocument/2006/relationships/hyperlink" Id="rId399"/>
    <Relationship TargetMode="External" Target="https://www.legis.iowa.gov/docs/iac/rule/441.75.55.pdf" Type="http://schemas.openxmlformats.org/officeDocument/2006/relationships/hyperlink" Id="rId400"/>
    <Relationship TargetMode="External" Target="https://www.legis.iowa.gov/docs/iac/rule/441.75.54.pdf" Type="http://schemas.openxmlformats.org/officeDocument/2006/relationships/hyperlink" Id="rId401"/>
    <Relationship TargetMode="External" Target="https://www.legis.iowa.gov/docs/iac/rule/441.75.57.pdf" Type="http://schemas.openxmlformats.org/officeDocument/2006/relationships/hyperlink" Id="rId402"/>
    <Relationship TargetMode="External" Target="https://www.legis.iowa.gov/docs/iac/rule/441.75.24.pdf" Type="http://schemas.openxmlformats.org/officeDocument/2006/relationships/hyperlink" Id="rId403"/>
    <Relationship TargetMode="External" Target="https://www.legis.iowa.gov/docs/iac/rule/441.76.10.pdf" Type="http://schemas.openxmlformats.org/officeDocument/2006/relationships/hyperlink" Id="rId404"/>
    <Relationship TargetMode="External" Target="https://www.legis.iowa.gov/docs/iac/rule/441.75.57.pdf" Type="http://schemas.openxmlformats.org/officeDocument/2006/relationships/hyperlink" Id="rId405"/>
    <Relationship TargetMode="External" Target="https://www.legis.iowa.gov/docs/iac/rule/441.75.56.pdf" Type="http://schemas.openxmlformats.org/officeDocument/2006/relationships/hyperlink" Id="rId406"/>
    <Relationship TargetMode="External" Target="https://www.legis.iowa.gov/docs/iac/rule/441.75.57.pdf" Type="http://schemas.openxmlformats.org/officeDocument/2006/relationships/hyperlink" Id="rId407"/>
    <Relationship TargetMode="External" Target="https://www.legis.iowa.gov/docs/iac/chapter/441.187.pdf" Type="http://schemas.openxmlformats.org/officeDocument/2006/relationships/hyperlink" Id="rId408"/>
    <Relationship TargetMode="External" Target="https://www.legis.iowa.gov/docs/iac/rule/441.75.57.pdf" Type="http://schemas.openxmlformats.org/officeDocument/2006/relationships/hyperlink" Id="rId409"/>
    <Relationship TargetMode="External" Target="https://www.legis.iowa.gov/docs/iac/rule/441.75.57.pdf" Type="http://schemas.openxmlformats.org/officeDocument/2006/relationships/hyperlink" Id="rId410"/>
    <Relationship TargetMode="External" Target="https://www.legis.iowa.gov/docs/iac/rule/441.75.57.pdf" Type="http://schemas.openxmlformats.org/officeDocument/2006/relationships/hyperlink" Id="rId411"/>
    <Relationship TargetMode="External" Target="https://www.legis.iowa.gov/docs/iac/rule/441.75.57.pdf" Type="http://schemas.openxmlformats.org/officeDocument/2006/relationships/hyperlink" Id="rId412"/>
    <Relationship TargetMode="External" Target="https://www.legis.iowa.gov/docs/iac/rule/441.75.58.pdf" Type="http://schemas.openxmlformats.org/officeDocument/2006/relationships/hyperlink" Id="rId413"/>
    <Relationship TargetMode="External" Target="https://www.legis.iowa.gov/docs/iac/rule/441.75.57.pdf" Type="http://schemas.openxmlformats.org/officeDocument/2006/relationships/hyperlink" Id="rId414"/>
    <Relationship TargetMode="External" Target="https://www.legis.iowa.gov/docs/iac/rule/441.75.57.pdf" Type="http://schemas.openxmlformats.org/officeDocument/2006/relationships/hyperlink" Id="rId415"/>
    <Relationship TargetMode="External" Target="https://www.legis.iowa.gov/docs/iac/rule/441.75.56.pdf" Type="http://schemas.openxmlformats.org/officeDocument/2006/relationships/hyperlink" Id="rId416"/>
    <Relationship TargetMode="External" Target="https://www.legis.iowa.gov/docs/iac/rule/441.75.57.pdf" Type="http://schemas.openxmlformats.org/officeDocument/2006/relationships/hyperlink" Id="rId417"/>
    <Relationship TargetMode="External" Target="https://www.legis.iowa.gov/docs/iac/rule/441.75.59.pdf" Type="http://schemas.openxmlformats.org/officeDocument/2006/relationships/hyperlink" Id="rId418"/>
    <Relationship TargetMode="External" Target="https://www.legis.iowa.gov/docs/iac/rule/441.75.57.pdf" Type="http://schemas.openxmlformats.org/officeDocument/2006/relationships/hyperlink" Id="rId419"/>
    <Relationship TargetMode="External" Target="https://www.legis.iowa.gov/docs/iac/rule/441.75.57.pdf" Type="http://schemas.openxmlformats.org/officeDocument/2006/relationships/hyperlink" Id="rId420"/>
    <Relationship TargetMode="External" Target="https://www.legis.iowa.gov/docs/iac/rule/441.75.57.pdf" Type="http://schemas.openxmlformats.org/officeDocument/2006/relationships/hyperlink" Id="rId421"/>
    <Relationship TargetMode="External" Target="https://www.legis.iowa.gov/docs/iac/rule/441.75.57.pdf" Type="http://schemas.openxmlformats.org/officeDocument/2006/relationships/hyperlink" Id="rId422"/>
    <Relationship TargetMode="External" Target="https://www.legis.iowa.gov/docs/iac/rule/441.75.59.pdf" Type="http://schemas.openxmlformats.org/officeDocument/2006/relationships/hyperlink" Id="rId423"/>
    <Relationship TargetMode="External" Target="https://www.legis.iowa.gov/docs/iac/rule/441.75.57.pdf" Type="http://schemas.openxmlformats.org/officeDocument/2006/relationships/hyperlink" Id="rId424"/>
    <Relationship TargetMode="External" Target="https://www.legis.iowa.gov/docs/iac/rule/441.75.57.pdf" Type="http://schemas.openxmlformats.org/officeDocument/2006/relationships/hyperlink" Id="rId425"/>
    <Relationship TargetMode="External" Target="https://www.legis.iowa.gov/docs/iac/rule/441.75.57.pdf" Type="http://schemas.openxmlformats.org/officeDocument/2006/relationships/hyperlink" Id="rId426"/>
    <Relationship TargetMode="External" Target="https://www.legis.iowa.gov/docs/iac/rule/441.75.57.pdf" Type="http://schemas.openxmlformats.org/officeDocument/2006/relationships/hyperlink" Id="rId427"/>
    <Relationship TargetMode="External" Target="https://www.legis.iowa.gov/docs/iac/rule/441.75.58.pdf" Type="http://schemas.openxmlformats.org/officeDocument/2006/relationships/hyperlink" Id="rId428"/>
    <Relationship TargetMode="External" Target="https://www.legis.iowa.gov/docs/iac/rule/441.75.57.pdf" Type="http://schemas.openxmlformats.org/officeDocument/2006/relationships/hyperlink" Id="rId429"/>
    <Relationship TargetMode="External" Target="https://www.legis.iowa.gov/docs/iac/rule/441.75.57.pdf" Type="http://schemas.openxmlformats.org/officeDocument/2006/relationships/hyperlink" Id="rId430"/>
    <Relationship TargetMode="External" Target="https://www.legis.iowa.gov/docs/iac/rule/441.75.57.pdf" Type="http://schemas.openxmlformats.org/officeDocument/2006/relationships/hyperlink" Id="rId431"/>
    <Relationship TargetMode="External" Target="https://www.legis.iowa.gov/docs/iac/rule/441.75.52.pdf" Type="http://schemas.openxmlformats.org/officeDocument/2006/relationships/hyperlink" Id="rId432"/>
    <Relationship TargetMode="External" Target="https://www.legis.iowa.gov/docs/iac/rule/441.75.52.pdf" Type="http://schemas.openxmlformats.org/officeDocument/2006/relationships/hyperlink" Id="rId433"/>
    <Relationship TargetMode="External" Target="https://www.legis.iowa.gov/docs/iac/rule/441.75.52.pdf" Type="http://schemas.openxmlformats.org/officeDocument/2006/relationships/hyperlink" Id="rId434"/>
    <Relationship TargetMode="External" Target="https://www.legis.iowa.gov/docs/iac/rule/441.75.57.pdf" Type="http://schemas.openxmlformats.org/officeDocument/2006/relationships/hyperlink" Id="rId435"/>
    <Relationship TargetMode="External" Target="https://www.legis.iowa.gov/docs/iac/rule/441.75.56.pdf" Type="http://schemas.openxmlformats.org/officeDocument/2006/relationships/hyperlink" Id="rId436"/>
    <Relationship TargetMode="External" Target="https://www.legis.iowa.gov/docs/iac/rule/441.75.56.pdf" Type="http://schemas.openxmlformats.org/officeDocument/2006/relationships/hyperlink" Id="rId437"/>
    <Relationship TargetMode="External" Target="https://www.legis.iowa.gov/docs/iac/rule/441.75.57.pdf" Type="http://schemas.openxmlformats.org/officeDocument/2006/relationships/hyperlink" Id="rId438"/>
    <Relationship TargetMode="External" Target="https://www.legis.iowa.gov/docs/iac/rule/441.75.57.pdf" Type="http://schemas.openxmlformats.org/officeDocument/2006/relationships/hyperlink" Id="rId439"/>
    <Relationship TargetMode="External" Target="https://www.legis.iowa.gov/docs/iac/rule/441.75.58.pdf" Type="http://schemas.openxmlformats.org/officeDocument/2006/relationships/hyperlink" Id="rId440"/>
    <Relationship TargetMode="External" Target="https://www.legis.iowa.gov/docs/iac/rule/441.75.58.pdf" Type="http://schemas.openxmlformats.org/officeDocument/2006/relationships/hyperlink" Id="rId441"/>
    <Relationship TargetMode="External" Target="https://www.legis.iowa.gov/docs/iac/rule/441.75.56.pdf" Type="http://schemas.openxmlformats.org/officeDocument/2006/relationships/hyperlink" Id="rId442"/>
    <Relationship TargetMode="External" Target="https://www.legis.iowa.gov/docs/iac/rule/441.75.57.pdf" Type="http://schemas.openxmlformats.org/officeDocument/2006/relationships/hyperlink" Id="rId443"/>
    <Relationship TargetMode="External" Target="https://www.legis.iowa.gov/docs/iac/rule/441.76.4.pdf" Type="http://schemas.openxmlformats.org/officeDocument/2006/relationships/hyperlink" Id="rId444"/>
    <Relationship TargetMode="External" Target="https://www.legis.iowa.gov/docs/iac/rule/441.75.59.pdf" Type="http://schemas.openxmlformats.org/officeDocument/2006/relationships/hyperlink" Id="rId445"/>
    <Relationship TargetMode="External" Target="https://www.legis.iowa.gov/docs/iac/rule/441.75.50.pdf" Type="http://schemas.openxmlformats.org/officeDocument/2006/relationships/hyperlink" Id="rId446"/>
    <Relationship TargetMode="External" Target="https://www.legis.iowa.gov/docs/iac/rule/441.75.57.pdf" Type="http://schemas.openxmlformats.org/officeDocument/2006/relationships/hyperlink" Id="rId447"/>
    <Relationship TargetMode="External" Target="https://www.legis.iowa.gov/docs/iac/rule/441.75.55.pdf" Type="http://schemas.openxmlformats.org/officeDocument/2006/relationships/hyperlink" Id="rId448"/>
    <Relationship TargetMode="External" Target="https://www.legis.iowa.gov/docs/iac/rule/441.75.55.pdf" Type="http://schemas.openxmlformats.org/officeDocument/2006/relationships/hyperlink" Id="rId449"/>
    <Relationship TargetMode="External" Target="https://www.legis.iowa.gov/docs/iac/rule/441.75.59.pdf" Type="http://schemas.openxmlformats.org/officeDocument/2006/relationships/hyperlink" Id="rId450"/>
    <Relationship TargetMode="External" Target="https://www.legis.iowa.gov/docs/iac/rule/441.75.58.pdf" Type="http://schemas.openxmlformats.org/officeDocument/2006/relationships/hyperlink" Id="rId451"/>
    <Relationship TargetMode="External" Target="https://www.legis.iowa.gov/docs/iac/rule/441.75.1.pdf" Type="http://schemas.openxmlformats.org/officeDocument/2006/relationships/hyperlink" Id="rId452"/>
    <Relationship TargetMode="External" Target="https://www.legis.iowa.gov/docs/iac/rule/441.75.1.pdf" Type="http://schemas.openxmlformats.org/officeDocument/2006/relationships/hyperlink" Id="rId453"/>
    <Relationship TargetMode="External" Target="https://www.legis.iowa.gov/docs/iac/rule/441.75.1.pdf" Type="http://schemas.openxmlformats.org/officeDocument/2006/relationships/hyperlink" Id="rId454"/>
    <Relationship TargetMode="External" Target="https://www.legis.iowa.gov/docs/iac/rule/441.75.1.pdf" Type="http://schemas.openxmlformats.org/officeDocument/2006/relationships/hyperlink" Id="rId455"/>
    <Relationship TargetMode="External" Target="https://www.legis.iowa.gov/docs/iac/rule/441.75.1.pdf" Type="http://schemas.openxmlformats.org/officeDocument/2006/relationships/hyperlink" Id="rId456"/>
    <Relationship TargetMode="External" Target="https://www.legis.iowa.gov/docs/ico/chapter/249A.4.pdf" Type="http://schemas.openxmlformats.org/officeDocument/2006/relationships/hyperlink" Id="rId4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