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61</w:t>
      </w:r>
    </w:p>
    <w:p>
      <w:pPr>
        <w:spacing w:before="0" w:after="0"/>
        <w:ind w:left="120"/>
        <w:jc w:val="center"/>
      </w:pPr>
      <w:r>
        <w:rPr>
          <w:rFonts w:ascii="Times New Roman" w:hAnsi="Times New Roman"/>
          <w:b w:val="false"/>
          <w:i w:val="false"/>
          <w:color w:val="000000"/>
          <w:sz w:val="21"/>
        </w:rPr>
        <w:t>REFUGEE SERVICES PROGRAM</w:t>
      </w:r>
    </w:p>
    <w:p>
      <w:pPr>
        <w:spacing w:before="0" w:after="0"/>
        <w:ind w:left="120"/>
        <w:jc w:val="center"/>
      </w:pPr>
      <w:r>
        <w:rPr>
          <w:rFonts w:ascii="Times New Roman" w:hAnsi="Times New Roman"/>
          <w:b w:val="false"/>
          <w:i w:val="false"/>
          <w:color w:val="000000"/>
          <w:sz w:val="14"/>
        </w:rPr>
        <w:t>[Prior to 9/24/86 IAC Supp., see Refugee Service Center 715—Chapters 1 to 8]</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7/1/30</w:t>
      </w:r>
    </w:p>
    <w:p>
      <w:pPr>
        <w:spacing w:before="0" w:after="0"/>
        <w:ind w:left="120"/>
        <w:jc w:val="both"/>
      </w:pPr>
      <w:r>
        <w:rPr>
          <w:rFonts w:ascii="Times New Roman" w:hAnsi="Times New Roman"/>
          <w:b/>
          <w:i w:val="false"/>
          <w:color w:val="000000"/>
          <w:sz w:val="22"/>
        </w:rPr>
        <w:t>441—61.1</w:t>
      </w:r>
      <w:r>
        <w:rPr>
          <w:rFonts w:ascii="Times New Roman" w:hAnsi="Times New Roman"/>
          <w:b/>
          <w:i w:val="false"/>
          <w:color w:val="000000"/>
          <w:sz w:val="22"/>
        </w:rPr>
        <w:t xml:space="preserve">(217)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“Cash assistance” </w:t>
      </w:r>
      <w:r>
        <w:rPr>
          <w:rFonts w:ascii="Times New Roman" w:hAnsi="Times New Roman"/>
          <w:b w:val="false"/>
          <w:i w:val="false"/>
          <w:color w:val="000000"/>
          <w:sz w:val="22"/>
        </w:rPr>
        <w:t>means the same as defined in 45 CFR 400 (June 7, 2022).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“Client” </w:t>
      </w:r>
      <w:r>
        <w:rPr>
          <w:rFonts w:ascii="Times New Roman" w:hAnsi="Times New Roman"/>
          <w:b w:val="false"/>
          <w:i w:val="false"/>
          <w:color w:val="000000"/>
          <w:sz w:val="22"/>
        </w:rPr>
        <w:t>means refugees or others determined eligible for services funded under the refugee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self-sufficiency plan” </w:t>
      </w:r>
      <w:r>
        <w:rPr>
          <w:rFonts w:ascii="Times New Roman" w:hAnsi="Times New Roman"/>
          <w:b w:val="false"/>
          <w:i w:val="false"/>
          <w:color w:val="000000"/>
          <w:sz w:val="22"/>
        </w:rPr>
        <w:t>means a plan that addresses the employment-related service needs of the employable members in a family for the purpose of enabling the family to become self-supporting through the employment of one or more family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“Individual employability plan” </w:t>
      </w:r>
      <w:r>
        <w:rPr>
          <w:rFonts w:ascii="Times New Roman" w:hAnsi="Times New Roman"/>
          <w:b w:val="false"/>
          <w:i w:val="false"/>
          <w:color w:val="000000"/>
          <w:sz w:val="22"/>
        </w:rPr>
        <w:t>means a written plan outlining an individual’s vocational goal and the services to be provided to reach the goal.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state refugee program plan” </w:t>
      </w:r>
      <w:r>
        <w:rPr>
          <w:rFonts w:ascii="Times New Roman" w:hAnsi="Times New Roman"/>
          <w:b w:val="false"/>
          <w:i w:val="false"/>
          <w:color w:val="000000"/>
          <w:sz w:val="22"/>
        </w:rPr>
        <w:t>means the report that describes the state of Iowa’s refugee program plan to meet the standards, goals, and priorities required under the Immigration and Nationality Act and developed by the department on the basis of a consultative process for the successful resettlement of refugees.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“Office of refugee resettlement” </w:t>
      </w:r>
      <w:r>
        <w:rPr>
          <w:rFonts w:ascii="Times New Roman" w:hAnsi="Times New Roman"/>
          <w:b w:val="false"/>
          <w:i w:val="false"/>
          <w:color w:val="000000"/>
          <w:sz w:val="22"/>
        </w:rPr>
        <w:t xml:space="preserve">means the same as established in </w:t>
      </w:r>
      <w:r>
        <w:rPr>
          <w:rFonts w:ascii="Times New Roman" w:hAnsi="Times New Roman"/>
          <w:b w:val="false"/>
          <w:i w:val="false"/>
          <w:color w:val="000000"/>
          <w:sz w:val="22"/>
        </w:rPr>
        <w:t>8 U.S.C.</w:t>
      </w:r>
      <w:r>
        <w:rPr>
          <w:rFonts w:ascii="Times New Roman" w:hAnsi="Times New Roman"/>
          <w:b w:val="false"/>
          <w:i w:val="false"/>
          <w:color w:val="000000"/>
          <w:sz w:val="22"/>
        </w:rPr>
        <w:t>A. §1521 (April 30, 1994).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“Refugee” </w:t>
      </w:r>
      <w:r>
        <w:rPr>
          <w:rFonts w:ascii="Times New Roman" w:hAnsi="Times New Roman"/>
          <w:b w:val="false"/>
          <w:i w:val="false"/>
          <w:color w:val="000000"/>
          <w:sz w:val="22"/>
        </w:rPr>
        <w:t xml:space="preserve">means the same as defined in </w:t>
      </w:r>
      <w:r>
        <w:rPr>
          <w:rFonts w:ascii="Times New Roman" w:hAnsi="Times New Roman"/>
          <w:b w:val="false"/>
          <w:i w:val="false"/>
          <w:color w:val="000000"/>
          <w:sz w:val="22"/>
        </w:rPr>
        <w:t>8 U.S.C. §1101(a)</w:t>
      </w:r>
      <w:r>
        <w:rPr>
          <w:rFonts w:ascii="Times New Roman" w:hAnsi="Times New Roman"/>
          <w:b w:val="false"/>
          <w:i w:val="false"/>
          <w:color w:val="000000"/>
          <w:sz w:val="22"/>
        </w:rPr>
        <w:t xml:space="preserve"> INA 101 (a)(42) (January 5,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“Refugee unit” </w:t>
      </w:r>
      <w:r>
        <w:rPr>
          <w:rFonts w:ascii="Times New Roman" w:hAnsi="Times New Roman"/>
          <w:b w:val="false"/>
          <w:i w:val="false"/>
          <w:color w:val="000000"/>
          <w:sz w:val="22"/>
        </w:rPr>
        <w:t>means either an individual refugee or two or more refugees representing an identifiable group,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“Resettlement agency” </w:t>
      </w:r>
      <w:r>
        <w:rPr>
          <w:rFonts w:ascii="Times New Roman" w:hAnsi="Times New Roman"/>
          <w:b w:val="false"/>
          <w:i w:val="false"/>
          <w:color w:val="000000"/>
          <w:sz w:val="22"/>
        </w:rPr>
        <w:t>means any business, organization or group of related persons having a current contract with the United States Department of State’s Bureau of Population, Refugees, and Migration for the resettlement of refugees within the United States of America.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“Unaccompanied refugee minor” </w:t>
      </w:r>
      <w:r>
        <w:rPr>
          <w:rFonts w:ascii="Times New Roman" w:hAnsi="Times New Roman"/>
          <w:b w:val="false"/>
          <w:i w:val="false"/>
          <w:color w:val="000000"/>
          <w:sz w:val="22"/>
        </w:rPr>
        <w:t xml:space="preserve">means the same as defined in </w:t>
      </w:r>
      <w:r>
        <w:rPr>
          <w:rFonts w:ascii="Times New Roman" w:hAnsi="Times New Roman"/>
          <w:b w:val="false"/>
          <w:i w:val="false"/>
          <w:color w:val="000000"/>
          <w:sz w:val="22"/>
        </w:rPr>
        <w:t>6 U.S.C.</w:t>
      </w:r>
      <w:r>
        <w:rPr>
          <w:rFonts w:ascii="Times New Roman" w:hAnsi="Times New Roman"/>
          <w:b w:val="false"/>
          <w:i w:val="false"/>
          <w:color w:val="000000"/>
          <w:sz w:val="22"/>
        </w:rPr>
        <w:t>A. §279 (December 23, 2008).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9148C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441—61.2</w:t>
      </w:r>
      <w:r>
        <w:rPr>
          <w:rFonts w:ascii="Times New Roman" w:hAnsi="Times New Roman"/>
          <w:b/>
          <w:i w:val="false"/>
          <w:color w:val="000000"/>
          <w:sz w:val="22"/>
        </w:rPr>
        <w:t xml:space="preserve">(217) </w:t>
      </w:r>
      <w:r>
        <w:rPr>
          <w:rFonts w:ascii="Times New Roman" w:hAnsi="Times New Roman"/>
          <w:b/>
          <w:i w:val="false"/>
          <w:color w:val="000000"/>
          <w:sz w:val="22"/>
        </w:rPr>
        <w:t xml:space="preserve">Authority. </w:t>
      </w:r>
      <w:r>
        <w:rPr>
          <w:rFonts w:ascii="Times New Roman" w:hAnsi="Times New Roman"/>
          <w:b w:val="false"/>
          <w:i w:val="false"/>
          <w:color w:val="000000"/>
          <w:sz w:val="22"/>
        </w:rPr>
        <w:t>The department has been given authority to administer the refugee program by Executive Order Number 21, signed by the governor December 24, 1985. United States Department of State and United States Department of Health and Human Services rules govern various program operations.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9148C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441—61.3</w:t>
      </w:r>
      <w:r>
        <w:rPr>
          <w:rFonts w:ascii="Times New Roman" w:hAnsi="Times New Roman"/>
          <w:b/>
          <w:i w:val="false"/>
          <w:color w:val="000000"/>
          <w:sz w:val="22"/>
        </w:rPr>
        <w:t xml:space="preserve">(217) </w:t>
      </w:r>
      <w:r>
        <w:rPr>
          <w:rFonts w:ascii="Times New Roman" w:hAnsi="Times New Roman"/>
          <w:b/>
          <w:i w:val="false"/>
          <w:color w:val="000000"/>
          <w:sz w:val="22"/>
        </w:rPr>
        <w:t xml:space="preserve">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61.3(1)</w:t>
      </w:r>
      <w:r>
        <w:rPr>
          <w:rFonts w:ascii="Times New Roman" w:hAnsi="Times New Roman"/>
          <w:b w:val="false"/>
          <w:i w:val="false"/>
          <w:color w:val="000000"/>
          <w:sz w:val="22"/>
        </w:rPr>
        <w:t> </w:t>
      </w:r>
      <w:r>
        <w:rPr>
          <w:rFonts w:ascii="Times New Roman" w:hAnsi="Times New Roman"/>
          <w:b w:val="false"/>
          <w:i/>
          <w:color w:val="000000"/>
          <w:sz w:val="22"/>
        </w:rPr>
        <w:t xml:space="preserve">Eligible immigration status. </w:t>
      </w:r>
      <w:r>
        <w:rPr>
          <w:rFonts w:ascii="Times New Roman" w:hAnsi="Times New Roman"/>
          <w:b w:val="false"/>
          <w:i w:val="false"/>
          <w:color w:val="000000"/>
          <w:sz w:val="22"/>
        </w:rPr>
        <w:t xml:space="preserve">Refugees eligible for services are those who have a status listed under </w:t>
      </w:r>
      <w:r>
        <w:rPr>
          <w:rFonts w:ascii="Times New Roman" w:hAnsi="Times New Roman"/>
          <w:b w:val="false"/>
          <w:i w:val="false"/>
          <w:color w:val="000000"/>
          <w:sz w:val="22"/>
        </w:rPr>
        <w:t>45 CFR §400.43</w:t>
      </w:r>
      <w:r>
        <w:rPr>
          <w:rFonts w:ascii="Times New Roman" w:hAnsi="Times New Roman"/>
          <w:b w:val="false"/>
          <w:i w:val="false"/>
          <w:color w:val="000000"/>
          <w:sz w:val="22"/>
        </w:rPr>
        <w:t xml:space="preserve"> (June 7, 2022) or one of the following statuses: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Iraqi and Afghan Special Immigrants pursuant to Section 1244(g) of Div. A of PL 110-181 (August 1, 2024) (</w:t>
      </w:r>
      <w:r>
        <w:rPr>
          <w:rFonts w:ascii="Times New Roman" w:hAnsi="Times New Roman"/>
          <w:b w:val="false"/>
          <w:i w:val="false"/>
          <w:color w:val="000000"/>
          <w:sz w:val="22"/>
        </w:rPr>
        <w:t>8 U.S.C. §1157</w:t>
      </w:r>
      <w:r>
        <w:rPr>
          <w:rFonts w:ascii="Times New Roman" w:hAnsi="Times New Roman"/>
          <w:b w:val="false"/>
          <w:i w:val="false"/>
          <w:color w:val="000000"/>
          <w:sz w:val="22"/>
        </w:rPr>
        <w:t xml:space="preserve"> note) and Section 602(b)(8) of Div. F of PL 111-8 (August 1, 2024) (</w:t>
      </w:r>
      <w:r>
        <w:rPr>
          <w:rFonts w:ascii="Times New Roman" w:hAnsi="Times New Roman"/>
          <w:b w:val="false"/>
          <w:i w:val="false"/>
          <w:color w:val="000000"/>
          <w:sz w:val="22"/>
        </w:rPr>
        <w:t>8 U.S.C. §1101</w:t>
      </w:r>
      <w:r>
        <w:rPr>
          <w:rFonts w:ascii="Times New Roman" w:hAnsi="Times New Roman"/>
          <w:b w:val="false"/>
          <w:i w:val="false"/>
          <w:color w:val="000000"/>
          <w:sz w:val="22"/>
        </w:rPr>
        <w:t xml:space="preserve"> note).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Victims of a severe form of trafficking in persons per the Victims of Trafficking and Violence Protection Act of 2000, PL 106-386 (August 1, 2024) and </w:t>
      </w:r>
      <w:r>
        <w:rPr>
          <w:rFonts w:ascii="Times New Roman" w:hAnsi="Times New Roman"/>
          <w:b w:val="false"/>
          <w:i w:val="false"/>
          <w:color w:val="000000"/>
          <w:sz w:val="22"/>
        </w:rPr>
        <w:t>22 U.S.C. §7105(b)</w:t>
      </w:r>
      <w:r>
        <w:rPr>
          <w:rFonts w:ascii="Times New Roman" w:hAnsi="Times New Roman"/>
          <w:b w:val="false"/>
          <w:i w:val="false"/>
          <w:color w:val="000000"/>
          <w:sz w:val="22"/>
        </w:rPr>
        <w:t xml:space="preserve"> (1) (A) and (C)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61.3(2)</w:t>
      </w:r>
      <w:r>
        <w:rPr>
          <w:rFonts w:ascii="Times New Roman" w:hAnsi="Times New Roman"/>
          <w:b w:val="false"/>
          <w:i w:val="false"/>
          <w:color w:val="000000"/>
          <w:sz w:val="22"/>
        </w:rPr>
        <w:t> </w:t>
      </w:r>
      <w:r>
        <w:rPr>
          <w:rFonts w:ascii="Times New Roman" w:hAnsi="Times New Roman"/>
          <w:b w:val="false"/>
          <w:i/>
          <w:color w:val="000000"/>
          <w:sz w:val="22"/>
        </w:rPr>
        <w:t xml:space="preserve">Unaccompanied minors. </w:t>
      </w:r>
      <w:r>
        <w:rPr>
          <w:rFonts w:ascii="Times New Roman" w:hAnsi="Times New Roman"/>
          <w:b w:val="false"/>
          <w:i w:val="false"/>
          <w:color w:val="000000"/>
          <w:sz w:val="22"/>
        </w:rPr>
        <w:t xml:space="preserve">In addition to the unaccompanied minors in the categories listed under subrule </w:t>
      </w:r>
      <w:r>
        <w:rPr>
          <w:rFonts w:ascii="Times New Roman" w:hAnsi="Times New Roman"/>
          <w:b w:val="false"/>
          <w:i w:val="false"/>
          <w:color w:val="000000"/>
          <w:sz w:val="22"/>
        </w:rPr>
        <w:t>61.3(1)</w:t>
      </w:r>
      <w:r>
        <w:rPr>
          <w:rFonts w:ascii="Times New Roman" w:hAnsi="Times New Roman"/>
          <w:b w:val="false"/>
          <w:i w:val="false"/>
          <w:color w:val="000000"/>
          <w:sz w:val="22"/>
        </w:rPr>
        <w:t>, the following are eligible for the Office of Refugee Resettlement (ORR) Unaccompanied Refugee Minors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Unaccompanied minor with special immigrant juvenile status under </w:t>
      </w:r>
      <w:r>
        <w:rPr>
          <w:rFonts w:ascii="Times New Roman" w:hAnsi="Times New Roman"/>
          <w:b w:val="false"/>
          <w:i w:val="false"/>
          <w:color w:val="000000"/>
          <w:sz w:val="22"/>
        </w:rPr>
        <w:t>8 U.S.C. §1101(a)(27)(J)</w:t>
      </w:r>
      <w:r>
        <w:rPr>
          <w:rFonts w:ascii="Times New Roman" w:hAnsi="Times New Roman"/>
          <w:b w:val="false"/>
          <w:i w:val="false"/>
          <w:color w:val="000000"/>
          <w:sz w:val="22"/>
        </w:rPr>
        <w:t xml:space="preserve"> (August 1, 2024) who was in the custody of the secretary of health and human services at the time the dependency order was granted for such child or was receiving services pursuant to Section 501(a) of the Refugee Education Assistance Act of 1980 (</w:t>
      </w:r>
      <w:r>
        <w:rPr>
          <w:rFonts w:ascii="Times New Roman" w:hAnsi="Times New Roman"/>
          <w:b w:val="false"/>
          <w:i w:val="false"/>
          <w:color w:val="000000"/>
          <w:sz w:val="22"/>
        </w:rPr>
        <w:t>8 U.S.C. §1522</w:t>
      </w:r>
      <w:r>
        <w:rPr>
          <w:rFonts w:ascii="Times New Roman" w:hAnsi="Times New Roman"/>
          <w:b w:val="false"/>
          <w:i w:val="false"/>
          <w:color w:val="000000"/>
          <w:sz w:val="22"/>
        </w:rPr>
        <w:t xml:space="preserve"> note (August 1, 2024)) at the time such dependency order was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Unaccompanied minor who has been granted U status pursuant to Section 101(a)(15)(U) of the Immigration and Nationality Act (</w:t>
      </w:r>
      <w:r>
        <w:rPr>
          <w:rFonts w:ascii="Times New Roman" w:hAnsi="Times New Roman"/>
          <w:b w:val="false"/>
          <w:i w:val="false"/>
          <w:color w:val="000000"/>
          <w:sz w:val="22"/>
        </w:rPr>
        <w:t>8 U.S.C. §1101(a)(15)(U)</w:t>
      </w:r>
      <w:r>
        <w:rPr>
          <w:rFonts w:ascii="Times New Roman" w:hAnsi="Times New Roman"/>
          <w:b w:val="false"/>
          <w:i w:val="false"/>
          <w:color w:val="000000"/>
          <w:sz w:val="22"/>
        </w:rPr>
        <w:t xml:space="preserve"> (August 1, 2024)).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9148C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441—61.4</w:t>
      </w:r>
      <w:r>
        <w:rPr>
          <w:rFonts w:ascii="Times New Roman" w:hAnsi="Times New Roman"/>
          <w:b/>
          <w:i w:val="false"/>
          <w:color w:val="000000"/>
          <w:sz w:val="22"/>
        </w:rPr>
        <w:t xml:space="preserve">(217) </w:t>
      </w:r>
      <w:r>
        <w:rPr>
          <w:rFonts w:ascii="Times New Roman" w:hAnsi="Times New Roman"/>
          <w:b/>
          <w:i w:val="false"/>
          <w:color w:val="000000"/>
          <w:sz w:val="22"/>
        </w:rPr>
        <w:t xml:space="preserve">Planning and coordinating the placement of refugees. </w:t>
      </w:r>
      <w:r>
        <w:rPr>
          <w:rFonts w:ascii="Times New Roman" w:hAnsi="Times New Roman"/>
          <w:b w:val="false"/>
          <w:i w:val="false"/>
          <w:color w:val="000000"/>
          <w:sz w:val="22"/>
        </w:rPr>
        <w:t>Planning and coordinating the placement of refugees will be established in the bureau of refugee services state plan as required by the United States Department of State and United States Department of Health and Human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9148C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441—61.5</w:t>
      </w:r>
      <w:r>
        <w:rPr>
          <w:rFonts w:ascii="Times New Roman" w:hAnsi="Times New Roman"/>
          <w:b/>
          <w:i w:val="false"/>
          <w:color w:val="000000"/>
          <w:sz w:val="22"/>
        </w:rPr>
        <w:t xml:space="preserve">(217) </w:t>
      </w:r>
      <w:r>
        <w:rPr>
          <w:rFonts w:ascii="Times New Roman" w:hAnsi="Times New Roman"/>
          <w:b/>
          <w:i w:val="false"/>
          <w:color w:val="000000"/>
          <w:sz w:val="22"/>
        </w:rPr>
        <w:t xml:space="preserve">Services of the department available for refugees. </w:t>
      </w:r>
      <w:r>
        <w:rPr>
          <w:rFonts w:ascii="Times New Roman" w:hAnsi="Times New Roman"/>
          <w:b w:val="false"/>
          <w:i w:val="false"/>
          <w:color w:val="000000"/>
          <w:sz w:val="22"/>
        </w:rPr>
        <w:t>All services provided to the refugee and family have self-sufficiency as the goal. Direct and contracted services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w:t>
      </w:r>
      <w:r>
        <w:rPr>
          <w:rFonts w:ascii="Times New Roman" w:hAnsi="Times New Roman"/>
          <w:b w:val="false"/>
          <w:i w:val="false"/>
          <w:color w:val="000000"/>
          <w:sz w:val="22"/>
        </w:rPr>
        <w:t> </w:t>
      </w:r>
      <w:r>
        <w:rPr>
          <w:rFonts w:ascii="Times New Roman" w:hAnsi="Times New Roman"/>
          <w:b w:val="false"/>
          <w:i/>
          <w:color w:val="000000"/>
          <w:sz w:val="22"/>
        </w:rPr>
        <w:t xml:space="preserve">Job development. </w:t>
      </w:r>
      <w:r>
        <w:rPr>
          <w:rFonts w:ascii="Times New Roman" w:hAnsi="Times New Roman"/>
          <w:b w:val="false"/>
          <w:i w:val="false"/>
          <w:color w:val="000000"/>
          <w:sz w:val="22"/>
        </w:rPr>
        <w:t>These services involve working with employers in job development, placement, training, retention, and upgrading.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w:t>
      </w:r>
      <w:r>
        <w:rPr>
          <w:rFonts w:ascii="Times New Roman" w:hAnsi="Times New Roman"/>
          <w:b w:val="false"/>
          <w:i w:val="false"/>
          <w:color w:val="000000"/>
          <w:sz w:val="22"/>
        </w:rPr>
        <w:t> </w:t>
      </w:r>
      <w:r>
        <w:rPr>
          <w:rFonts w:ascii="Times New Roman" w:hAnsi="Times New Roman"/>
          <w:b w:val="false"/>
          <w:i/>
          <w:color w:val="000000"/>
          <w:sz w:val="22"/>
        </w:rPr>
        <w:t xml:space="preserve">Social adjustment. </w:t>
      </w:r>
      <w:r>
        <w:rPr>
          <w:rFonts w:ascii="Times New Roman" w:hAnsi="Times New Roman"/>
          <w:b w:val="false"/>
          <w:i w:val="false"/>
          <w:color w:val="000000"/>
          <w:sz w:val="22"/>
        </w:rPr>
        <w:t>These services include assessment and short-term counseling to persons or families in a perceived crisis, referral to appropriate resources, the making of arrangements for necessary services, home management services, transportation, translation and interpretation services, and case management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61.5(3)</w:t>
      </w:r>
      <w:r>
        <w:rPr>
          <w:rFonts w:ascii="Times New Roman" w:hAnsi="Times New Roman"/>
          <w:b w:val="false"/>
          <w:i w:val="false"/>
          <w:color w:val="000000"/>
          <w:sz w:val="22"/>
        </w:rPr>
        <w:t> </w:t>
      </w:r>
      <w:r>
        <w:rPr>
          <w:rFonts w:ascii="Times New Roman" w:hAnsi="Times New Roman"/>
          <w:b w:val="false"/>
          <w:i/>
          <w:color w:val="000000"/>
          <w:sz w:val="22"/>
        </w:rPr>
        <w:t xml:space="preserve">Health-related services. </w:t>
      </w:r>
      <w:r>
        <w:rPr>
          <w:rFonts w:ascii="Times New Roman" w:hAnsi="Times New Roman"/>
          <w:b w:val="false"/>
          <w:i w:val="false"/>
          <w:color w:val="000000"/>
          <w:sz w:val="22"/>
        </w:rPr>
        <w:t>These services include information, referral to appropriate resources, assistance in scheduling appointments and obtaining services, and counseling to individuals or families to help them understand and identify their physical and mental health needs and maintain or improve their physical and mental 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61.5(4)</w:t>
      </w:r>
      <w:r>
        <w:rPr>
          <w:rFonts w:ascii="Times New Roman" w:hAnsi="Times New Roman"/>
          <w:b w:val="false"/>
          <w:i w:val="false"/>
          <w:color w:val="000000"/>
          <w:sz w:val="22"/>
        </w:rPr>
        <w:t> </w:t>
      </w:r>
      <w:r>
        <w:rPr>
          <w:rFonts w:ascii="Times New Roman" w:hAnsi="Times New Roman"/>
          <w:b w:val="false"/>
          <w:i/>
          <w:color w:val="000000"/>
          <w:sz w:val="22"/>
        </w:rPr>
        <w:t xml:space="preserve">Resettlement services. </w:t>
      </w:r>
      <w:r>
        <w:rPr>
          <w:rFonts w:ascii="Times New Roman" w:hAnsi="Times New Roman"/>
          <w:b w:val="false"/>
          <w:i w:val="false"/>
          <w:color w:val="000000"/>
          <w:sz w:val="22"/>
        </w:rPr>
        <w:t>These services involve securing and training sponsors, arranging for refugees to resettle in Iowa and providing case management, employment services, and social adjustment services.</w:t>
      </w:r>
    </w:p>
    <w:p>
      <w:pPr>
        <w:spacing w:before="0" w:after="0"/>
        <w:ind w:left="120"/>
        <w:jc w:val="both"/>
      </w:pPr>
      <w:r>
        <w:rPr>
          <w:rFonts w:ascii="Times New Roman" w:hAnsi="Times New Roman"/>
          <w:b w:val="false"/>
          <w:i w:val="false"/>
          <w:color w:val="000000"/>
          <w:sz w:val="22"/>
        </w:rPr>
        <w:t>As required under the resettlement contract with the United States Department of State, the department provides case management, employment services, and social adjustment services to the refugees it resettles during their first 90 days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61.5(5)</w:t>
      </w:r>
      <w:r>
        <w:rPr>
          <w:rFonts w:ascii="Times New Roman" w:hAnsi="Times New Roman"/>
          <w:b w:val="false"/>
          <w:i w:val="false"/>
          <w:color w:val="000000"/>
          <w:sz w:val="22"/>
        </w:rPr>
        <w:t> </w:t>
      </w:r>
      <w:r>
        <w:rPr>
          <w:rFonts w:ascii="Times New Roman" w:hAnsi="Times New Roman"/>
          <w:b w:val="false"/>
          <w:i/>
          <w:color w:val="000000"/>
          <w:sz w:val="22"/>
        </w:rPr>
        <w:t xml:space="preserve">Any additional service. </w:t>
      </w:r>
      <w:r>
        <w:rPr>
          <w:rFonts w:ascii="Times New Roman" w:hAnsi="Times New Roman"/>
          <w:b w:val="false"/>
          <w:i w:val="false"/>
          <w:color w:val="000000"/>
          <w:sz w:val="22"/>
        </w:rPr>
        <w:t>These services, upon submission to and approval of the director of the office of refugee resettlement, include any additional service aimed at strengthening and supporting the ability of a refugee individual, family, or refugee community to achieve and maintain economic self-sufficiency, family stability, or community integration that has been demonstrated as effective and is not available from any other 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61.5(6)</w:t>
      </w:r>
      <w:r>
        <w:rPr>
          <w:rFonts w:ascii="Times New Roman" w:hAnsi="Times New Roman"/>
          <w:b w:val="false"/>
          <w:i w:val="false"/>
          <w:color w:val="000000"/>
          <w:sz w:val="22"/>
        </w:rPr>
        <w:t> </w:t>
      </w:r>
      <w:r>
        <w:rPr>
          <w:rFonts w:ascii="Times New Roman" w:hAnsi="Times New Roman"/>
          <w:b w:val="false"/>
          <w:i/>
          <w:color w:val="000000"/>
          <w:sz w:val="22"/>
        </w:rPr>
        <w:t xml:space="preserve">Translation and interpretation services. </w:t>
      </w:r>
      <w:r>
        <w:rPr>
          <w:rFonts w:ascii="Times New Roman" w:hAnsi="Times New Roman"/>
          <w:b w:val="false"/>
          <w:i w:val="false"/>
          <w:color w:val="000000"/>
          <w:sz w:val="22"/>
        </w:rPr>
        <w:t>These services provide interpreter service from English into the refugee languages or vice versa and assistance in translating written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61.5(7)</w:t>
      </w:r>
      <w:r>
        <w:rPr>
          <w:rFonts w:ascii="Times New Roman" w:hAnsi="Times New Roman"/>
          <w:b w:val="false"/>
          <w:i w:val="false"/>
          <w:color w:val="000000"/>
          <w:sz w:val="22"/>
        </w:rPr>
        <w:t> </w:t>
      </w:r>
      <w:r>
        <w:rPr>
          <w:rFonts w:ascii="Times New Roman" w:hAnsi="Times New Roman"/>
          <w:b w:val="false"/>
          <w:i/>
          <w:color w:val="000000"/>
          <w:sz w:val="22"/>
        </w:rPr>
        <w:t xml:space="preserve">Immigration services. </w:t>
      </w:r>
      <w:r>
        <w:rPr>
          <w:rFonts w:ascii="Times New Roman" w:hAnsi="Times New Roman"/>
          <w:b w:val="false"/>
          <w:i w:val="false"/>
          <w:color w:val="000000"/>
          <w:sz w:val="22"/>
        </w:rPr>
        <w:t>These services provide information and assistance to refugees in securing permanent resident alien status and family reunification.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61.5(8)</w:t>
      </w:r>
      <w:r>
        <w:rPr>
          <w:rFonts w:ascii="Times New Roman" w:hAnsi="Times New Roman"/>
          <w:b w:val="false"/>
          <w:i w:val="false"/>
          <w:color w:val="000000"/>
          <w:sz w:val="22"/>
        </w:rPr>
        <w:t> </w:t>
      </w:r>
      <w:r>
        <w:rPr>
          <w:rFonts w:ascii="Times New Roman" w:hAnsi="Times New Roman"/>
          <w:b w:val="false"/>
          <w:i/>
          <w:color w:val="000000"/>
          <w:sz w:val="22"/>
        </w:rPr>
        <w:t xml:space="preserve">Adjustment of status. </w:t>
      </w:r>
      <w:r>
        <w:rPr>
          <w:rFonts w:ascii="Times New Roman" w:hAnsi="Times New Roman"/>
          <w:b w:val="false"/>
          <w:i w:val="false"/>
          <w:color w:val="000000"/>
          <w:sz w:val="22"/>
        </w:rPr>
        <w:t>These services provide guidance in obtaining permanent alien status and citizenship.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61.5(9)</w:t>
      </w:r>
      <w:r>
        <w:rPr>
          <w:rFonts w:ascii="Times New Roman" w:hAnsi="Times New Roman"/>
          <w:b w:val="false"/>
          <w:i w:val="false"/>
          <w:color w:val="000000"/>
          <w:sz w:val="22"/>
        </w:rPr>
        <w:t> </w:t>
      </w:r>
      <w:r>
        <w:rPr>
          <w:rFonts w:ascii="Times New Roman" w:hAnsi="Times New Roman"/>
          <w:b w:val="false"/>
          <w:i/>
          <w:color w:val="000000"/>
          <w:sz w:val="22"/>
        </w:rPr>
        <w:t xml:space="preserve">Employability services. </w:t>
      </w:r>
      <w:r>
        <w:rPr>
          <w:rFonts w:ascii="Times New Roman" w:hAnsi="Times New Roman"/>
          <w:b w:val="false"/>
          <w:i w:val="false"/>
          <w:color w:val="000000"/>
          <w:sz w:val="22"/>
        </w:rPr>
        <w:t>A family self-sufficiency plan will be developed for anyone who receives employment-related services from the department. These services are specifically designed to assist refugees to obtain employment and to improve the employability of work skills of the individual and include job referral to, and job placement with, private employers. Specific employability services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Employment services, which include such activities as the development of a family self-sufficiency plan, individual employability plan, world-of-work and job orientation, job clubs, job workshops, job development, referral to job opportunities, job search, and job placement and follow-up.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Employability assessment services, which include such activities as aptitude and skills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English language instruction, which includes referrals to programs that offer a curriculum that places an emphasis on English as it relates to obtaining and retaining a job and to programs that are provided in a concurrent, rather than sequential, time period with employment or with other employment-related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On-the-job training, which includes referrals to training that is provided at the employment site and is expected to result in full-time, permanent, unsubsidized employment with the employer who is providing the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Vocational training, which includes referrals to driver education and training when provided as part of an individual employability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Skills recertification, which includes referrals to training that meets the criteria for appropriate training. If an individual is a professional in need of professional refresher training and other recertification services in order to qualify to practice the individual’s profession in the United States, the training may consist of full-time attendance in a college or professional training program, provided that such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approved as part of the individual’s employability plan by the state agency, or its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Does not exceed one year’s duration (including any time enrolled in such program in the United States prior to the refugee’s application for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specifically intended to assist the professional in becoming relicensed in the professional’s profession;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completed, can realistically be expected to result in such relicensing. This training may only be made available to individuals who are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Child care, which includes referrals to child care necessary for participation in an employability service or for the acceptance or retention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Transportation when necessary for participation in an employability service or for the acceptance or retention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Translation and interpretation services when necessary in connection with employment or participation in an employability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Case management services for refugees who are considered employable and for recipients of public assistance who are considered employable, provided that the services are directed toward a refugee’s attainment of employment as soon as possible after arrival in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Assistance in obtaining employment authorization documentations.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Referral to Iowa workforce development for provision of any or all of the above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61.5(10)</w:t>
      </w:r>
      <w:r>
        <w:rPr>
          <w:rFonts w:ascii="Times New Roman" w:hAnsi="Times New Roman"/>
          <w:b w:val="false"/>
          <w:i w:val="false"/>
          <w:color w:val="000000"/>
          <w:sz w:val="22"/>
        </w:rPr>
        <w:t> </w:t>
      </w:r>
      <w:r>
        <w:rPr>
          <w:rFonts w:ascii="Times New Roman" w:hAnsi="Times New Roman"/>
          <w:b w:val="false"/>
          <w:i/>
          <w:color w:val="000000"/>
          <w:sz w:val="22"/>
        </w:rPr>
        <w:t xml:space="preserve">Outreach services. </w:t>
      </w:r>
      <w:r>
        <w:rPr>
          <w:rFonts w:ascii="Times New Roman" w:hAnsi="Times New Roman"/>
          <w:b w:val="false"/>
          <w:i w:val="false"/>
          <w:color w:val="000000"/>
          <w:sz w:val="22"/>
        </w:rPr>
        <w:t>These services include activities designed to familiarize refugees with available services, to explain the purpose of these services, and to facilitate access to these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61.5(11)</w:t>
      </w:r>
      <w:r>
        <w:rPr>
          <w:rFonts w:ascii="Times New Roman" w:hAnsi="Times New Roman"/>
          <w:b w:val="false"/>
          <w:i w:val="false"/>
          <w:color w:val="000000"/>
          <w:sz w:val="22"/>
        </w:rPr>
        <w:t> </w:t>
      </w:r>
      <w:r>
        <w:rPr>
          <w:rFonts w:ascii="Times New Roman" w:hAnsi="Times New Roman"/>
          <w:b w:val="false"/>
          <w:i/>
          <w:color w:val="000000"/>
          <w:sz w:val="22"/>
        </w:rPr>
        <w:t xml:space="preserve">Referral. </w:t>
      </w:r>
      <w:r>
        <w:rPr>
          <w:rFonts w:ascii="Times New Roman" w:hAnsi="Times New Roman"/>
          <w:b w:val="false"/>
          <w:i w:val="false"/>
          <w:color w:val="000000"/>
          <w:sz w:val="22"/>
        </w:rPr>
        <w:t>These services enable referral of refugee clients to mainstream service systems.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9148C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441—61.6</w:t>
      </w:r>
      <w:r>
        <w:rPr>
          <w:rFonts w:ascii="Times New Roman" w:hAnsi="Times New Roman"/>
          <w:b/>
          <w:i w:val="false"/>
          <w:color w:val="000000"/>
          <w:sz w:val="22"/>
        </w:rPr>
        <w:t xml:space="preserve">(217) </w:t>
      </w:r>
      <w:r>
        <w:rPr>
          <w:rFonts w:ascii="Times New Roman" w:hAnsi="Times New Roman"/>
          <w:b/>
          <w:i w:val="false"/>
          <w:color w:val="000000"/>
          <w:sz w:val="22"/>
        </w:rPr>
        <w:t xml:space="preserve">Provision of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w:t>
      </w:r>
      <w:r>
        <w:rPr>
          <w:rFonts w:ascii="Times New Roman" w:hAnsi="Times New Roman"/>
          <w:b w:val="false"/>
          <w:i w:val="false"/>
          <w:color w:val="000000"/>
          <w:sz w:val="22"/>
        </w:rPr>
        <w:t> </w:t>
      </w:r>
      <w:r>
        <w:rPr>
          <w:rFonts w:ascii="Times New Roman" w:hAnsi="Times New Roman"/>
          <w:b w:val="false"/>
          <w:i/>
          <w:color w:val="000000"/>
          <w:sz w:val="22"/>
        </w:rPr>
        <w:t xml:space="preserve">Priority of services. </w:t>
      </w:r>
      <w:r>
        <w:rPr>
          <w:rFonts w:ascii="Times New Roman" w:hAnsi="Times New Roman"/>
          <w:b w:val="false"/>
          <w:i w:val="false"/>
          <w:color w:val="000000"/>
          <w:sz w:val="22"/>
        </w:rPr>
        <w:t>Services are provided to refugees in the following order of priority, except in certain individual extreme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Refugees who are receiving cash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Unemployed refugees who are not receiving cash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Employed refugees in need of services to retain employment or to attain economic independence.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newly arriving refugees in the United States who apply for services during the five-year period from their date of arrival.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61.6(2)</w:t>
      </w:r>
      <w:r>
        <w:rPr>
          <w:rFonts w:ascii="Times New Roman" w:hAnsi="Times New Roman"/>
          <w:b w:val="false"/>
          <w:i w:val="false"/>
          <w:color w:val="000000"/>
          <w:sz w:val="22"/>
        </w:rPr>
        <w:t> </w:t>
      </w:r>
      <w:r>
        <w:rPr>
          <w:rFonts w:ascii="Times New Roman" w:hAnsi="Times New Roman"/>
          <w:b w:val="false"/>
          <w:i/>
          <w:color w:val="000000"/>
          <w:sz w:val="22"/>
        </w:rPr>
        <w:t xml:space="preserve">Limitations on eligibility. </w:t>
      </w:r>
      <w:r>
        <w:rPr>
          <w:rFonts w:ascii="Times New Roman" w:hAnsi="Times New Roman"/>
          <w:b w:val="false"/>
          <w:i w:val="false"/>
          <w:color w:val="000000"/>
          <w:sz w:val="22"/>
        </w:rPr>
        <w:t xml:space="preserve">Services as described in rule </w:t>
      </w:r>
      <w:hyperlink r:id="rId5">
        <w:r>
          <w:rPr>
            <w:rStyle w:val="Hyperlink"/>
            <w:rFonts w:ascii="Times New Roman" w:hAnsi="Times New Roman"/>
            <w:b w:val="false"/>
            <w:i w:val="false"/>
            <w:color w:val="000000"/>
            <w:sz w:val="22"/>
          </w:rPr>
          <w:t>441—61.5</w:t>
        </w:r>
      </w:hyperlink>
      <w:r>
        <w:rPr>
          <w:rFonts w:ascii="Times New Roman" w:hAnsi="Times New Roman"/>
          <w:b w:val="false"/>
          <w:i w:val="false"/>
          <w:color w:val="000000"/>
          <w:sz w:val="22"/>
        </w:rPr>
        <w:t xml:space="preserve">(217) may be provided in the first 60 months of resettlement unless the Office of Refugee Resettlement grants an exception to the 60-month limit. Referral, interpretation, citizenship, and naturalization services may be provided to the extent feasible past 60 months of resettlement for refugees, except that refugees who are receiving employability services, as defined in subrule </w:t>
      </w:r>
      <w:hyperlink r:id="rId6">
        <w:r>
          <w:rPr>
            <w:rStyle w:val="Hyperlink"/>
            <w:rFonts w:ascii="Times New Roman" w:hAnsi="Times New Roman"/>
            <w:b w:val="false"/>
            <w:i w:val="false"/>
            <w:color w:val="000000"/>
            <w:sz w:val="22"/>
          </w:rPr>
          <w:t>61.5(11)</w:t>
        </w:r>
      </w:hyperlink>
      <w:r>
        <w:rPr>
          <w:rFonts w:ascii="Times New Roman" w:hAnsi="Times New Roman"/>
          <w:b w:val="false"/>
          <w:i w:val="false"/>
          <w:color w:val="000000"/>
          <w:sz w:val="22"/>
        </w:rPr>
        <w:t>, as part of an employability plan, as of September 30, 1995, may continue to receive those services through September 30, 1996, or until the services are completed, whichever occurs first, regardless of their length of residence in the United States, pursuant to 45 CFR 400 (June 7, 2022). In any case, services will first be provided for those refugees who are in the first two years of resettlement and who are in need of assistance in securing self-sufficiency.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61.6(3)</w:t>
      </w:r>
      <w:r>
        <w:rPr>
          <w:rFonts w:ascii="Times New Roman" w:hAnsi="Times New Roman"/>
          <w:b w:val="false"/>
          <w:i w:val="false"/>
          <w:color w:val="000000"/>
          <w:sz w:val="22"/>
        </w:rPr>
        <w:t> </w:t>
      </w:r>
      <w:r>
        <w:rPr>
          <w:rFonts w:ascii="Times New Roman" w:hAnsi="Times New Roman"/>
          <w:b w:val="false"/>
          <w:i/>
          <w:color w:val="000000"/>
          <w:sz w:val="22"/>
        </w:rPr>
        <w:t xml:space="preserve">Service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provided will be refugee-specific services that are designed specifically to meet refugee needs, except that vocational or job skills training, on-the-job training, or English language training need not be refugee specific.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Services will be provided, to the maximum extent feasible, in a manner that is culturally and linguistically compatible with a refugee’s language and cultural background.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Services will be provided, to the maximum extent feasible, in a manner that includes the use of bilingual or bicultural women on service agency staffs to ensure adequate service access by refugee women.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will use its social service grants primarily for employability services designed to enable refugees to obtain jobs within one year of becoming enrolled in services in order to achieve economic self-sufficiency as soon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Social services may continue to be provided after a refugee has entered a job to help the refugee retain employment or move to a better job.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Social service grant funds may not be used for long-term training programs such as vocational training that last for more than a year or educational programs that are not intended to lead to employment within a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planning and providing services, the department will take into account those services that a resettlement agency is required to provide for a refugee whom it sponsors in order to ensure the provision of coordinated services to refugees that are not duplicative.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To avoid interference with refugee employment, English language instruction and vocational training must be provided to the fullest extent feasible outside normal working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English language instruction must be provided in a concurrent, rather than sequential, time period with employment or with other employment-related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9148C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441—61.7</w:t>
      </w:r>
      <w:r>
        <w:rPr>
          <w:rFonts w:ascii="Times New Roman" w:hAnsi="Times New Roman"/>
          <w:b/>
          <w:i w:val="false"/>
          <w:color w:val="000000"/>
          <w:sz w:val="22"/>
        </w:rPr>
        <w:t xml:space="preserve">(217) </w:t>
      </w:r>
      <w:r>
        <w:rPr>
          <w:rFonts w:ascii="Times New Roman" w:hAnsi="Times New Roman"/>
          <w:b/>
          <w:i w:val="false"/>
          <w:color w:val="000000"/>
          <w:sz w:val="22"/>
        </w:rPr>
        <w:t xml:space="preserve">Application for services. </w:t>
      </w:r>
      <w:r>
        <w:rPr>
          <w:rFonts w:ascii="Times New Roman" w:hAnsi="Times New Roman"/>
          <w:b w:val="false"/>
          <w:i w:val="false"/>
          <w:color w:val="000000"/>
          <w:sz w:val="22"/>
        </w:rPr>
        <w:t>Any person will have an opportunity to apply for services by contacting the department or any of its affiliated offices either in person, by telephone, by fax, in writing, or by contacting any department staff members. The department will determine the eligibility of each person for services. Applicants for refugee cash assistance will automatically be considered as applicants for services. The department will ensure that refugee women have the same opportunities as refugee men to participate in all services, including job placement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9148C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441—61.8</w:t>
      </w:r>
      <w:r>
        <w:rPr>
          <w:rFonts w:ascii="Times New Roman" w:hAnsi="Times New Roman"/>
          <w:b/>
          <w:i w:val="false"/>
          <w:color w:val="000000"/>
          <w:sz w:val="22"/>
        </w:rPr>
        <w:t xml:space="preserve">(217) </w:t>
      </w:r>
      <w:r>
        <w:rPr>
          <w:rFonts w:ascii="Times New Roman" w:hAnsi="Times New Roman"/>
          <w:b/>
          <w:i w:val="false"/>
          <w:color w:val="000000"/>
          <w:sz w:val="22"/>
        </w:rPr>
        <w:t xml:space="preserve">Adverse service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61.8(1)</w:t>
      </w: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Services will be denied when the department determines any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client is not in need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client is not legally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service is not covered in the state refugee program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is another community resource available to provide the services or a similar service free of charge to the client that will meet the client’s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service for which the client is eligible is currently not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Funding is not available to provide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client refuses to allow documentation of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services requested are those for which other resettlement agencies are contractually responsible.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person requesting service has been in the United States more than 60 months and the services requested do not include referral, interpretation, citizenship, or naturalization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61.8(2)</w:t>
      </w:r>
      <w:r>
        <w:rPr>
          <w:rFonts w:ascii="Times New Roman" w:hAnsi="Times New Roman"/>
          <w:b w:val="false"/>
          <w:i w:val="false"/>
          <w:color w:val="000000"/>
          <w:sz w:val="22"/>
        </w:rPr>
        <w:t> </w:t>
      </w:r>
      <w:r>
        <w:rPr>
          <w:rFonts w:ascii="Times New Roman" w:hAnsi="Times New Roman"/>
          <w:b w:val="false"/>
          <w:i/>
          <w:color w:val="000000"/>
          <w:sz w:val="22"/>
        </w:rPr>
        <w:t xml:space="preserve">Termination. </w:t>
      </w:r>
      <w:r>
        <w:rPr>
          <w:rFonts w:ascii="Times New Roman" w:hAnsi="Times New Roman"/>
          <w:b w:val="false"/>
          <w:i w:val="false"/>
          <w:color w:val="000000"/>
          <w:sz w:val="22"/>
        </w:rPr>
        <w:t>A service may be terminated when the department determines any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need to attain the goals to which the service was directed has been achieved.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repeated assessment, it is evident that the family or individual is unable to achieve or maintain goals set forth in the family self-sufficiency or individual employability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After repeated efforts, it is evident that the client is unwilling to accept further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service is no longer available in the Iowa state refugee program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There is another community resource available to provide the services or a similar service free of charge to the client that will meet the client’s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Funding is not available to provide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person receiving service has been in the United States more than 60 months and the services the person is receiving do not include referral or interpretation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61.8(3)</w:t>
      </w:r>
      <w:r>
        <w:rPr>
          <w:rFonts w:ascii="Times New Roman" w:hAnsi="Times New Roman"/>
          <w:b w:val="false"/>
          <w:i w:val="false"/>
          <w:color w:val="000000"/>
          <w:sz w:val="22"/>
        </w:rPr>
        <w:t> </w:t>
      </w:r>
      <w:r>
        <w:rPr>
          <w:rFonts w:ascii="Times New Roman" w:hAnsi="Times New Roman"/>
          <w:b w:val="false"/>
          <w:i/>
          <w:color w:val="000000"/>
          <w:sz w:val="22"/>
        </w:rPr>
        <w:t xml:space="preserve">Reduction. </w:t>
      </w:r>
      <w:r>
        <w:rPr>
          <w:rFonts w:ascii="Times New Roman" w:hAnsi="Times New Roman"/>
          <w:b w:val="false"/>
          <w:i w:val="false"/>
          <w:color w:val="000000"/>
          <w:sz w:val="22"/>
        </w:rPr>
        <w:t>A service may be reduced when the department determines any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Continued provision of service at its current level is not necessary. The department will determine the level to which the service may be reduced without jeopardizing the client’s continued progress toward achieving or maintaining the goal.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Another community resource is available to provide the same or similar service to the client, at no financial cost to the client, that will meet the client’s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Funding is not available to continue the service at the current level. The client will be reassessed to determine the level of service to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61.8(4)</w:t>
      </w:r>
      <w:r>
        <w:rPr>
          <w:rFonts w:ascii="Times New Roman" w:hAnsi="Times New Roman"/>
          <w:b w:val="false"/>
          <w:i w:val="false"/>
          <w:color w:val="000000"/>
          <w:sz w:val="22"/>
        </w:rPr>
        <w:t> </w:t>
      </w:r>
      <w:r>
        <w:rPr>
          <w:rFonts w:ascii="Times New Roman" w:hAnsi="Times New Roman"/>
          <w:b w:val="false"/>
          <w:i/>
          <w:color w:val="000000"/>
          <w:sz w:val="22"/>
        </w:rPr>
        <w:t xml:space="preserve">Notice of adverse action. </w:t>
      </w:r>
      <w:r>
        <w:rPr>
          <w:rFonts w:ascii="Times New Roman" w:hAnsi="Times New Roman"/>
          <w:b w:val="false"/>
          <w:i w:val="false"/>
          <w:color w:val="000000"/>
          <w:sz w:val="22"/>
        </w:rPr>
        <w:t xml:space="preserve">In case of an action to terminate, reduce, or deny services, the department will give timely or adequate notice to the person or persons affected pursuant to </w:t>
      </w:r>
      <w:hyperlink r:id="rId7">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9148C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441—61.9</w:t>
      </w:r>
      <w:r>
        <w:rPr>
          <w:rFonts w:ascii="Times New Roman" w:hAnsi="Times New Roman"/>
          <w:b/>
          <w:i w:val="false"/>
          <w:color w:val="000000"/>
          <w:sz w:val="22"/>
        </w:rPr>
        <w:t xml:space="preserve">(217) </w:t>
      </w:r>
      <w:r>
        <w:rPr>
          <w:rFonts w:ascii="Times New Roman" w:hAnsi="Times New Roman"/>
          <w:b/>
          <w:i w:val="false"/>
          <w:color w:val="000000"/>
          <w:sz w:val="22"/>
        </w:rPr>
        <w:t xml:space="preserve">Client appeals. </w:t>
      </w:r>
      <w:r>
        <w:rPr>
          <w:rFonts w:ascii="Times New Roman" w:hAnsi="Times New Roman"/>
          <w:b w:val="false"/>
          <w:i w:val="false"/>
          <w:color w:val="000000"/>
          <w:sz w:val="22"/>
        </w:rPr>
        <w:t xml:space="preserve">Decisions made by the department or its designee adversely affecting its clients may be appealed according to </w:t>
      </w:r>
      <w:hyperlink r:id="rId8">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9148C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441—61.10</w:t>
      </w:r>
      <w:r>
        <w:rPr>
          <w:rFonts w:ascii="Times New Roman" w:hAnsi="Times New Roman"/>
          <w:b/>
          <w:i w:val="false"/>
          <w:color w:val="000000"/>
          <w:sz w:val="22"/>
        </w:rPr>
        <w:t xml:space="preserve">(217) </w:t>
      </w:r>
      <w:r>
        <w:rPr>
          <w:rFonts w:ascii="Times New Roman" w:hAnsi="Times New Roman"/>
          <w:b/>
          <w:i w:val="false"/>
          <w:color w:val="000000"/>
          <w:sz w:val="22"/>
        </w:rPr>
        <w:t xml:space="preserve">Refugee resettlement moneys. </w:t>
      </w:r>
      <w:r>
        <w:rPr>
          <w:rFonts w:ascii="Times New Roman" w:hAnsi="Times New Roman"/>
          <w:b w:val="false"/>
          <w:i w:val="false"/>
          <w:color w:val="000000"/>
          <w:sz w:val="22"/>
        </w:rPr>
        <w:t>Money that is made available to the refugee sponsor for financial assistance in resettling the refugee unit must be spent in accordance with financial requirements and approved expenditures of the department, United States Department of State, and the state of Iowa comptroller and must go toward the benefit of the refugee unit.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9148C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441—61.11</w:t>
      </w:r>
      <w:r>
        <w:rPr>
          <w:rFonts w:ascii="Times New Roman" w:hAnsi="Times New Roman"/>
          <w:b/>
          <w:i w:val="false"/>
          <w:color w:val="000000"/>
          <w:sz w:val="22"/>
        </w:rPr>
        <w:t xml:space="preserve">(217) </w:t>
      </w:r>
      <w:r>
        <w:rPr>
          <w:rFonts w:ascii="Times New Roman" w:hAnsi="Times New Roman"/>
          <w:b/>
          <w:i w:val="false"/>
          <w:color w:val="000000"/>
          <w:sz w:val="22"/>
        </w:rPr>
        <w:t xml:space="preserve">Unaccompanied refugee minors program. </w:t>
      </w:r>
      <w:r>
        <w:rPr>
          <w:rFonts w:ascii="Times New Roman" w:hAnsi="Times New Roman"/>
          <w:b w:val="false"/>
          <w:i w:val="false"/>
          <w:color w:val="000000"/>
          <w:sz w:val="22"/>
        </w:rPr>
        <w:t xml:space="preserve">The department administers the unaccompanied refugee minors program under 441—Chapters </w:t>
      </w:r>
      <w:hyperlink r:id="rId9">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112</w:t>
        </w:r>
      </w:hyperlink>
      <w:r>
        <w:rPr>
          <w:rFonts w:ascii="Times New Roman" w:hAnsi="Times New Roman"/>
          <w:b w:val="false"/>
          <w:i w:val="false"/>
          <w:color w:val="000000"/>
          <w:sz w:val="22"/>
        </w:rPr>
        <w:t xml:space="preserve"> through </w:t>
      </w:r>
      <w:hyperlink r:id="rId11">
        <w:r>
          <w:rPr>
            <w:rStyle w:val="Hyperlink"/>
            <w:rFonts w:ascii="Times New Roman" w:hAnsi="Times New Roman"/>
            <w:b w:val="false"/>
            <w:i w:val="false"/>
            <w:color w:val="000000"/>
            <w:sz w:val="22"/>
          </w:rPr>
          <w:t>116</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202</w:t>
        </w:r>
      </w:hyperlink>
      <w:r>
        <w:rPr>
          <w:rFonts w:ascii="Times New Roman" w:hAnsi="Times New Roman"/>
          <w:b w:val="false"/>
          <w:i w:val="false"/>
          <w:color w:val="000000"/>
          <w:sz w:val="22"/>
        </w:rPr>
        <w:t xml:space="preserve"> and by federal guidelines provided by the United States Department of Health and Human Services (August 1, 2024). In consultation with other resettlement agencies, the director of the ORR determines the number of unaccompanied minors to be resettled in Iowa pursuant to 45 CFR 400 (June 7, 2022). Resettlement agencies will not bring unaccompanied minors into Iowa without the authorization of the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9148C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441—61.12</w:t>
      </w:r>
      <w:r>
        <w:rPr>
          <w:rFonts w:ascii="Times New Roman" w:hAnsi="Times New Roman"/>
          <w:b/>
          <w:i w:val="false"/>
          <w:color w:val="000000"/>
          <w:sz w:val="22"/>
        </w:rPr>
        <w:t xml:space="preserve">(217) </w:t>
      </w:r>
      <w:r>
        <w:rPr>
          <w:rFonts w:ascii="Times New Roman" w:hAnsi="Times New Roman"/>
          <w:b/>
          <w:i w:val="false"/>
          <w:color w:val="000000"/>
          <w:sz w:val="22"/>
        </w:rPr>
        <w:t xml:space="preserve">Targeted assistance grants. </w:t>
      </w:r>
      <w:r>
        <w:rPr>
          <w:rFonts w:ascii="Times New Roman" w:hAnsi="Times New Roman"/>
          <w:b w:val="false"/>
          <w:i w:val="false"/>
          <w:color w:val="000000"/>
          <w:sz w:val="22"/>
        </w:rPr>
        <w:t>“Targeted assistance grants” means United States Department of Health and Human Services formula allocation funding granted to the department for assistance to counties where, because of factors such as unusually large refugee populations (including secondary migration), high refugee concentrations, and high use of public assistance by refugees, there exists and can be demonstrated a specific need for supplementation of available resources for services to refugees.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61.12(1)</w:t>
      </w:r>
      <w:r>
        <w:rPr>
          <w:rFonts w:ascii="Times New Roman" w:hAnsi="Times New Roman"/>
          <w:b w:val="false"/>
          <w:i w:val="false"/>
          <w:color w:val="000000"/>
          <w:sz w:val="22"/>
        </w:rPr>
        <w:t> </w:t>
      </w:r>
      <w:r>
        <w:rPr>
          <w:rFonts w:ascii="Times New Roman" w:hAnsi="Times New Roman"/>
          <w:b w:val="false"/>
          <w:i/>
          <w:color w:val="000000"/>
          <w:sz w:val="22"/>
        </w:rPr>
        <w:t xml:space="preserve">Administration of targeted assistance grants. </w:t>
      </w:r>
      <w:r>
        <w:rPr>
          <w:rFonts w:ascii="Times New Roman" w:hAnsi="Times New Roman"/>
          <w:b w:val="false"/>
          <w:i w:val="false"/>
          <w:color w:val="000000"/>
          <w:sz w:val="22"/>
        </w:rPr>
        <w:t>The department will make 95 percent of the total award available to the designated county except when the designated county has agreed to let the department administer the targeted assistance grant in its stead.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61.12(2)</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services under targeted assistance grants. </w:t>
      </w:r>
      <w:r>
        <w:rPr>
          <w:rFonts w:ascii="Times New Roman" w:hAnsi="Times New Roman"/>
          <w:b w:val="false"/>
          <w:i w:val="false"/>
          <w:color w:val="000000"/>
          <w:sz w:val="22"/>
        </w:rPr>
        <w:t>Services funded by targeted assistance grants are limited to refugees who reside in the designated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61.12(3)</w:t>
      </w:r>
      <w:r>
        <w:rPr>
          <w:rFonts w:ascii="Times New Roman" w:hAnsi="Times New Roman"/>
          <w:b w:val="false"/>
          <w:i w:val="false"/>
          <w:color w:val="000000"/>
          <w:sz w:val="22"/>
        </w:rPr>
        <w:t> </w:t>
      </w:r>
      <w:r>
        <w:rPr>
          <w:rFonts w:ascii="Times New Roman" w:hAnsi="Times New Roman"/>
          <w:b w:val="false"/>
          <w:i/>
          <w:color w:val="000000"/>
          <w:sz w:val="22"/>
        </w:rPr>
        <w:t xml:space="preserve">Services and limitations for services funded by targeted assistance grants. </w:t>
      </w:r>
      <w:r>
        <w:rPr>
          <w:rFonts w:ascii="Times New Roman" w:hAnsi="Times New Roman"/>
          <w:b w:val="false"/>
          <w:i w:val="false"/>
          <w:color w:val="000000"/>
          <w:sz w:val="22"/>
        </w:rPr>
        <w:t xml:space="preserve">Rules of </w:t>
      </w:r>
      <w:hyperlink r:id="rId13">
        <w:r>
          <w:rPr>
            <w:rStyle w:val="Hyperlink"/>
            <w:rFonts w:ascii="Times New Roman" w:hAnsi="Times New Roman"/>
            <w:b w:val="false"/>
            <w:i w:val="false"/>
            <w:color w:val="000000"/>
            <w:sz w:val="22"/>
          </w:rPr>
          <w:t>441—Chapter 61</w:t>
        </w:r>
      </w:hyperlink>
      <w:r>
        <w:rPr>
          <w:rFonts w:ascii="Times New Roman" w:hAnsi="Times New Roman"/>
          <w:b w:val="false"/>
          <w:i w:val="false"/>
          <w:color w:val="000000"/>
          <w:sz w:val="22"/>
        </w:rPr>
        <w:t xml:space="preserve"> are applicable to services funded by targeted assistance grants, except for subrules </w:t>
      </w:r>
      <w:hyperlink r:id="rId14">
        <w:r>
          <w:rPr>
            <w:rStyle w:val="Hyperlink"/>
            <w:rFonts w:ascii="Times New Roman" w:hAnsi="Times New Roman"/>
            <w:b w:val="false"/>
            <w:i w:val="false"/>
            <w:color w:val="000000"/>
            <w:sz w:val="22"/>
          </w:rPr>
          <w:t>61.5(5)</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61.6(1)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61.12(4)</w:t>
      </w:r>
      <w:r>
        <w:rPr>
          <w:rFonts w:ascii="Times New Roman" w:hAnsi="Times New Roman"/>
          <w:b w:val="false"/>
          <w:i w:val="false"/>
          <w:color w:val="000000"/>
          <w:sz w:val="22"/>
        </w:rPr>
        <w:t> </w:t>
      </w:r>
      <w:r>
        <w:rPr>
          <w:rFonts w:ascii="Times New Roman" w:hAnsi="Times New Roman"/>
          <w:b w:val="false"/>
          <w:i/>
          <w:color w:val="000000"/>
          <w:sz w:val="22"/>
        </w:rPr>
        <w:t xml:space="preserve">Priority of services. </w:t>
      </w:r>
      <w:r>
        <w:rPr>
          <w:rFonts w:ascii="Times New Roman" w:hAnsi="Times New Roman"/>
          <w:b w:val="false"/>
          <w:i w:val="false"/>
          <w:color w:val="000000"/>
          <w:sz w:val="22"/>
        </w:rPr>
        <w:t>Services funded by targeted assistance grants will be provided in the following order of priority, except in certain individual extreme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Cash assistance recipients, particularly long-term recipients.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Unemployed refugees who are not receiving cash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Employed refugees in need of services to retain employment or to attain economic independence.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9148C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6">
        <w:r>
          <w:rPr>
            <w:rStyle w:val="Hyperlink"/>
            <w:rFonts w:ascii="Times New Roman" w:hAnsi="Times New Roman"/>
            <w:b w:val="false"/>
            <w:i w:val="false"/>
            <w:color w:val="000000"/>
            <w:sz w:val="22"/>
          </w:rPr>
          <w:t>217.6</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217.41</w:t>
        </w:r>
      </w:hyperlink>
      <w:r>
        <w:rPr>
          <w:rFonts w:ascii="Times New Roman" w:hAnsi="Times New Roman"/>
          <w:b w:val="false"/>
          <w:i w:val="false"/>
          <w:color w:val="000000"/>
          <w:sz w:val="22"/>
        </w:rPr>
        <w:t xml:space="preserve"> and chapter </w:t>
      </w:r>
      <w:hyperlink r:id="rId18">
        <w:r>
          <w:rPr>
            <w:rStyle w:val="Hyperlink"/>
            <w:rFonts w:ascii="Times New Roman" w:hAnsi="Times New Roman"/>
            <w:b w:val="false"/>
            <w:i w:val="false"/>
            <w:color w:val="000000"/>
            <w:sz w:val="22"/>
          </w:rPr>
          <w:t>622A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9/5/86, Notice 6/18/86—published 9/24/86, effective 11/1/86]</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7/13/90, Notice 5/30/90—published 8/8/90, effective 10/1/90]</w:t>
      </w:r>
    </w:p>
    <w:p>
      <w:pPr>
        <w:spacing w:before="0" w:after="0"/>
        <w:ind w:left="120"/>
        <w:jc w:val="center"/>
      </w:pPr>
      <w:r>
        <w:rPr>
          <w:rFonts w:ascii="Times New Roman" w:hAnsi="Times New Roman"/>
          <w:b w:val="false"/>
          <w:i w:val="false"/>
          <w:color w:val="000000"/>
          <w:sz w:val="21"/>
        </w:rPr>
        <w:t>[Filed 12/13/90, Notice 10/31/90—published 1/9/91, effective 3/1/91]</w:t>
      </w:r>
    </w:p>
    <w:p>
      <w:pPr>
        <w:spacing w:before="0" w:after="0"/>
        <w:ind w:left="120"/>
        <w:jc w:val="center"/>
      </w:pPr>
      <w:r>
        <w:rPr>
          <w:rFonts w:ascii="Times New Roman" w:hAnsi="Times New Roman"/>
          <w:b w:val="false"/>
          <w:i w:val="false"/>
          <w:color w:val="000000"/>
          <w:sz w:val="21"/>
        </w:rPr>
        <w:t>[Filed 6/14/91, Notice 5/1/91—published 7/10/91, effective 9/1/91]</w:t>
      </w:r>
    </w:p>
    <w:p>
      <w:pPr>
        <w:spacing w:before="0" w:after="0"/>
        <w:ind w:left="120"/>
        <w:jc w:val="center"/>
      </w:pPr>
      <w:r>
        <w:rPr>
          <w:rFonts w:ascii="Times New Roman" w:hAnsi="Times New Roman"/>
          <w:b w:val="false"/>
          <w:i w:val="false"/>
          <w:color w:val="000000"/>
          <w:sz w:val="21"/>
        </w:rPr>
        <w:t>[Filed emergency 9/25/95—published 10/11/95, effective 10/1/95]</w:t>
      </w:r>
    </w:p>
    <w:p>
      <w:pPr>
        <w:spacing w:before="0" w:after="0"/>
        <w:ind w:left="120"/>
        <w:jc w:val="center"/>
      </w:pPr>
      <w:r>
        <w:rPr>
          <w:rFonts w:ascii="Times New Roman" w:hAnsi="Times New Roman"/>
          <w:b w:val="false"/>
          <w:i w:val="false"/>
          <w:color w:val="000000"/>
          <w:sz w:val="21"/>
        </w:rPr>
        <w:t>[Filed 11/16/95, Notice 10/11/95—published 12/6/95, effective 2/1/96]</w:t>
      </w:r>
    </w:p>
    <w:p>
      <w:pPr>
        <w:spacing w:before="0" w:after="0"/>
        <w:ind w:left="120"/>
        <w:jc w:val="center"/>
      </w:pPr>
      <w:r>
        <w:rPr>
          <w:rFonts w:ascii="Times New Roman" w:hAnsi="Times New Roman"/>
          <w:b w:val="false"/>
          <w:i w:val="false"/>
          <w:color w:val="000000"/>
          <w:sz w:val="21"/>
        </w:rPr>
        <w:t>[Filed 2/14/96, Notice 12/20/95—published 3/13/96, effective 5/1/96]</w:t>
      </w:r>
    </w:p>
    <w:p>
      <w:pPr>
        <w:spacing w:before="0" w:after="0"/>
        <w:ind w:left="120"/>
        <w:jc w:val="center"/>
      </w:pPr>
      <w:r>
        <w:rPr>
          <w:rFonts w:ascii="Times New Roman" w:hAnsi="Times New Roman"/>
          <w:b w:val="false"/>
          <w:i w:val="false"/>
          <w:color w:val="000000"/>
          <w:sz w:val="21"/>
        </w:rPr>
        <w:t>[Filed 2/14/01, Notice 12/13/00—published 3/7/01, effective 5/1/01]</w:t>
      </w:r>
    </w:p>
    <w:p>
      <w:pPr>
        <w:spacing w:before="0" w:after="0"/>
        <w:ind w:left="120"/>
        <w:jc w:val="center"/>
      </w:pPr>
      <w:r>
        <w:rPr>
          <w:rFonts w:ascii="Times New Roman" w:hAnsi="Times New Roman"/>
          <w:b w:val="false"/>
          <w:i w:val="false"/>
          <w:color w:val="000000"/>
          <w:sz w:val="21"/>
        </w:rPr>
        <w:t>[Filed emergency 1/9/02—published 2/6/02, effective 1/9/02]</w:t>
      </w:r>
    </w:p>
    <w:p>
      <w:pPr>
        <w:spacing w:before="0" w:after="0"/>
        <w:ind w:left="120"/>
        <w:jc w:val="center"/>
      </w:pPr>
      <w:r>
        <w:rPr>
          <w:rFonts w:ascii="Times New Roman" w:hAnsi="Times New Roman"/>
          <w:b w:val="false"/>
          <w:i w:val="false"/>
          <w:color w:val="000000"/>
          <w:sz w:val="21"/>
        </w:rPr>
        <w:t>[Filed emergency 3/13/02 after Notice 2/6/02—published 4/3/02, effective 4/1/02]</w:t>
      </w:r>
    </w:p>
    <w:p>
      <w:pPr>
        <w:spacing w:before="0" w:after="0"/>
        <w:ind w:left="120"/>
        <w:jc w:val="center"/>
      </w:pPr>
      <w:r>
        <w:rPr>
          <w:rFonts w:ascii="Times New Roman" w:hAnsi="Times New Roman"/>
          <w:b w:val="false"/>
          <w:i w:val="false"/>
          <w:color w:val="000000"/>
          <w:sz w:val="21"/>
        </w:rPr>
        <w:t>[Filed 3/13/02, Notice 2/6/02—published 4/3/02, effective 6/1/02]</w:t>
      </w:r>
    </w:p>
    <w:p>
      <w:pPr>
        <w:spacing w:before="0" w:after="0"/>
        <w:ind w:left="120"/>
        <w:jc w:val="center"/>
      </w:pPr>
      <w:r>
        <w:rPr>
          <w:rFonts w:ascii="Times New Roman" w:hAnsi="Times New Roman"/>
          <w:b w:val="false"/>
          <w:i w:val="false"/>
          <w:color w:val="000000"/>
          <w:sz w:val="21"/>
        </w:rPr>
        <w:t>[Filed emergency 4/10/03 after Notice 2/5/03—published 4/30/03, effective 5/1/03]</w:t>
      </w:r>
    </w:p>
    <w:p>
      <w:pPr>
        <w:spacing w:before="0" w:after="0"/>
        <w:ind w:left="120"/>
        <w:jc w:val="center"/>
      </w:pPr>
      <w:r>
        <w:rPr>
          <w:rFonts w:ascii="Times New Roman" w:hAnsi="Times New Roman"/>
          <w:b w:val="false"/>
          <w:i w:val="false"/>
          <w:color w:val="000000"/>
          <w:sz w:val="21"/>
        </w:rPr>
        <w:t>[Filed emergency 8/12/04—published 9/1/04, effective 8/12/04]</w:t>
      </w:r>
    </w:p>
    <w:p>
      <w:pPr>
        <w:spacing w:before="0" w:after="0"/>
        <w:ind w:left="120"/>
        <w:jc w:val="center"/>
      </w:pPr>
      <w:r>
        <w:rPr>
          <w:rFonts w:ascii="Times New Roman" w:hAnsi="Times New Roman"/>
          <w:b w:val="false"/>
          <w:i w:val="false"/>
          <w:color w:val="000000"/>
          <w:sz w:val="21"/>
        </w:rPr>
        <w:t>[Filed 2/10/05, Notice 9/1/04—published 3/2/05, effective 4/6/05]</w:t>
      </w:r>
    </w:p>
    <w:p>
      <w:pPr>
        <w:spacing w:before="0" w:after="0"/>
        <w:ind w:left="120"/>
        <w:jc w:val="center"/>
      </w:pPr>
      <w:r>
        <w:rPr>
          <w:rFonts w:ascii="Times New Roman" w:hAnsi="Times New Roman"/>
          <w:b w:val="false"/>
          <w:i w:val="false"/>
          <w:color w:val="000000"/>
          <w:sz w:val="21"/>
        </w:rPr>
        <w:t>[Filed ARC 6713C</w:t>
      </w:r>
      <w:r>
        <w:rPr>
          <w:rFonts w:ascii="Times New Roman" w:hAnsi="Times New Roman"/>
          <w:b w:val="false"/>
          <w:i w:val="false"/>
          <w:color w:val="000000"/>
          <w:sz w:val="21"/>
        </w:rPr>
        <w:t xml:space="preserve"> (Notice ARC 6512C, IAB 9/7/22)</w:t>
      </w:r>
      <w:r>
        <w:rPr>
          <w:rFonts w:ascii="Times New Roman" w:hAnsi="Times New Roman"/>
          <w:b w:val="false"/>
          <w:i w:val="false"/>
          <w:color w:val="000000"/>
          <w:sz w:val="21"/>
        </w:rPr>
        <w:t>, IAB 11/30/22, effective 2/1/23]</w:t>
      </w:r>
    </w:p>
    <w:p>
      <w:pPr>
        <w:spacing w:before="0" w:after="0"/>
        <w:ind w:left="120"/>
        <w:jc w:val="center"/>
      </w:pPr>
      <w:r>
        <w:rPr>
          <w:rFonts w:ascii="Times New Roman" w:hAnsi="Times New Roman"/>
          <w:b w:val="false"/>
          <w:i w:val="false"/>
          <w:color w:val="000000"/>
          <w:sz w:val="21"/>
        </w:rPr>
        <w:t>[Filed ARC 9148C</w:t>
      </w:r>
      <w:r>
        <w:rPr>
          <w:rFonts w:ascii="Times New Roman" w:hAnsi="Times New Roman"/>
          <w:b w:val="false"/>
          <w:i w:val="false"/>
          <w:color w:val="000000"/>
          <w:sz w:val="21"/>
        </w:rPr>
        <w:t xml:space="preserve"> (Notice ARC 8546C, IAB 12/25/24)</w:t>
      </w:r>
      <w:r>
        <w:rPr>
          <w:rFonts w:ascii="Times New Roman" w:hAnsi="Times New Roman"/>
          <w:b w:val="false"/>
          <w:i w:val="false"/>
          <w:color w:val="000000"/>
          <w:sz w:val="21"/>
        </w:rPr>
        <w:t>, IAB 4/30/25, effective 7/1/25]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61.5.pdf" Type="http://schemas.openxmlformats.org/officeDocument/2006/relationships/hyperlink" Id="rId5"/>
    <Relationship TargetMode="External" Target="https://www.legis.iowa.gov/docs/iac/rule/441.61.5.pdf" Type="http://schemas.openxmlformats.org/officeDocument/2006/relationships/hyperlink" Id="rId6"/>
    <Relationship TargetMode="External" Target="https://www.legis.iowa.gov/docs/iac/chapter/441.16.pdf" Type="http://schemas.openxmlformats.org/officeDocument/2006/relationships/hyperlink" Id="rId7"/>
    <Relationship TargetMode="External" Target="https://www.legis.iowa.gov/docs/iac/chapter/441.7.pdf" Type="http://schemas.openxmlformats.org/officeDocument/2006/relationships/hyperlink" Id="rId8"/>
    <Relationship TargetMode="External" Target="https://www.legis.iowa.gov/docs/iac/chapter/441.156.pdf" Type="http://schemas.openxmlformats.org/officeDocument/2006/relationships/hyperlink" Id="rId9"/>
    <Relationship TargetMode="External" Target="https://www.legis.iowa.gov/docs/iac/chapter/441.112.pdf" Type="http://schemas.openxmlformats.org/officeDocument/2006/relationships/hyperlink" Id="rId10"/>
    <Relationship TargetMode="External" Target="https://www.legis.iowa.gov/docs/iac/chapter/441.116.pdf" Type="http://schemas.openxmlformats.org/officeDocument/2006/relationships/hyperlink" Id="rId11"/>
    <Relationship TargetMode="External" Target="https://www.legis.iowa.gov/docs/iac/chapter/441.202.pdf" Type="http://schemas.openxmlformats.org/officeDocument/2006/relationships/hyperlink" Id="rId12"/>
    <Relationship TargetMode="External" Target="https://www.legis.iowa.gov/docs/iac/chapter/441.61.pdf" Type="http://schemas.openxmlformats.org/officeDocument/2006/relationships/hyperlink" Id="rId13"/>
    <Relationship TargetMode="External" Target="https://www.legis.iowa.gov/docs/iac/rule/441.61.5.pdf" Type="http://schemas.openxmlformats.org/officeDocument/2006/relationships/hyperlink" Id="rId14"/>
    <Relationship TargetMode="External" Target="https://www.legis.iowa.gov/docs/iac/rule/441.61.6.pdf" Type="http://schemas.openxmlformats.org/officeDocument/2006/relationships/hyperlink" Id="rId15"/>
    <Relationship TargetMode="External" Target="https://www.legis.iowa.gov/docs/ico/chapter/217.6.pdf" Type="http://schemas.openxmlformats.org/officeDocument/2006/relationships/hyperlink" Id="rId16"/>
    <Relationship TargetMode="External" Target="https://www.legis.iowa.gov/docs/ico/chapter/217.41.pdf" Type="http://schemas.openxmlformats.org/officeDocument/2006/relationships/hyperlink" Id="rId17"/>
    <Relationship TargetMode="External" Target="https://www.legis.iowa.gov/docs/ico/chapter/622A.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