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REFUGEE CASH ASSISTANCE</w:t>
      </w:r>
    </w:p>
    <w:p>
      <w:pPr>
        <w:spacing w:before="0" w:after="0"/>
        <w:ind w:left="120"/>
        <w:jc w:val="center"/>
      </w:pPr>
      <w:r>
        <w:rPr>
          <w:rFonts w:ascii="Times New Roman" w:hAnsi="Times New Roman"/>
          <w:b w:val="false"/>
          <w:i w:val="false"/>
          <w:color w:val="000000"/>
          <w:sz w:val="14"/>
        </w:rPr>
        <w:t>[Prior to 9/24/86 IAC Supp., see Refugee Service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441—60.1</w:t>
      </w:r>
      <w:r>
        <w:rPr>
          <w:rFonts w:ascii="Times New Roman" w:hAnsi="Times New Roman"/>
          <w:b/>
          <w:i w:val="false"/>
          <w:color w:val="000000"/>
          <w:sz w:val="22"/>
        </w:rPr>
        <w:t xml:space="preserve">(217) </w:t>
      </w:r>
      <w:r>
        <w:rPr>
          <w:rFonts w:ascii="Times New Roman" w:hAnsi="Times New Roman"/>
          <w:b/>
          <w:i w:val="false"/>
          <w:color w:val="000000"/>
          <w:sz w:val="22"/>
        </w:rPr>
        <w:t xml:space="preserve">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color w:val="000000"/>
          <w:sz w:val="22"/>
        </w:rPr>
        <w:t xml:space="preserve">Immigration status. </w:t>
      </w:r>
      <w:r>
        <w:rPr>
          <w:rFonts w:ascii="Times New Roman" w:hAnsi="Times New Roman"/>
          <w:b w:val="false"/>
          <w:i w:val="false"/>
          <w:color w:val="000000"/>
          <w:sz w:val="22"/>
        </w:rPr>
        <w:t>A refugee is a person whose immigration status is one of the following statuses as issued by the United States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Granted asylum under Section 208 of the Immigration and Nationality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Admitted as a refugee under Section 207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Paroled as a refugee or asylee under Section 212(d)(5)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Cuban and Haitian entrants in accordance with requirements in </w:t>
      </w:r>
      <w:r>
        <w:rPr>
          <w:rFonts w:ascii="Times New Roman" w:hAnsi="Times New Roman"/>
          <w:b w:val="false"/>
          <w:i w:val="false"/>
          <w:color w:val="000000"/>
          <w:sz w:val="22"/>
        </w:rPr>
        <w:t>45 CFR Part 401</w:t>
      </w:r>
      <w:r>
        <w:rPr>
          <w:rFonts w:ascii="Times New Roman" w:hAnsi="Times New Roman"/>
          <w:b w:val="false"/>
          <w:i w:val="false"/>
          <w:color w:val="000000"/>
          <w:sz w:val="22"/>
        </w:rPr>
        <w:t xml:space="preserve">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Certain Amerasians from Vietnam who are admitted to the U.S. as immigrants pursuant to Section 584 of the Foreign Operations, Export Financing, and Related Programs Appropriations Acts, 1988, as contained in Section 101(e) of Public Law 100-202 and amended by the 9th proviso under Migration and Refugee Assistance in Title II of the Foreign Operations, Export Financing, and Related Programs Appropriations Acts, 1989 (Public Law 100-461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Admitted for permanent residence, provided the individual previously held one of the statuses identified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color w:val="000000"/>
          <w:sz w:val="22"/>
        </w:rPr>
        <w:t xml:space="preserve">Nonrefugee child of refugee parents. </w:t>
      </w:r>
      <w:r>
        <w:rPr>
          <w:rFonts w:ascii="Times New Roman" w:hAnsi="Times New Roman"/>
          <w:b w:val="false"/>
          <w:i w:val="false"/>
          <w:color w:val="000000"/>
          <w:sz w:val="22"/>
        </w:rPr>
        <w:t xml:space="preserve">A nonrefugee child of refugee parents, when both parents in the home are refugees as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xml:space="preserve">, meets the alienage requirements. When only one parent is in the home and that parent is a refugee as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the child meets the alienage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w:t>
      </w:r>
      <w:r>
        <w:rPr>
          <w:rFonts w:ascii="Times New Roman" w:hAnsi="Times New Roman"/>
          <w:b w:val="false"/>
          <w:i w:val="false"/>
          <w:color w:val="000000"/>
          <w:sz w:val="22"/>
        </w:rPr>
        <w:t> </w:t>
      </w:r>
      <w:r>
        <w:rPr>
          <w:rFonts w:ascii="Times New Roman" w:hAnsi="Times New Roman"/>
          <w:b w:val="false"/>
          <w:i/>
          <w:color w:val="000000"/>
          <w:sz w:val="22"/>
        </w:rPr>
        <w:t xml:space="preserve">Immigration and Naturalization Service documents. </w:t>
      </w:r>
      <w:r>
        <w:rPr>
          <w:rFonts w:ascii="Times New Roman" w:hAnsi="Times New Roman"/>
          <w:b w:val="false"/>
          <w:i w:val="false"/>
          <w:color w:val="000000"/>
          <w:sz w:val="22"/>
        </w:rPr>
        <w:t xml:space="preserve">Each refugee shall provide Immigration and Naturalization Service documents in the form of either an I-94 card, an I-151 or I-551 card, an I-181 card, or other appropriate documentation to support the immigration status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If the name of the resettlement agency that resettled the refugee is not on the document, the refugee shall provide the name of the resettlement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Application policies are defined in rules </w:t>
      </w:r>
      <w:hyperlink r:id="rId5">
        <w:r>
          <w:rPr>
            <w:rStyle w:val="Hyperlink"/>
            <w:rFonts w:ascii="Times New Roman" w:hAnsi="Times New Roman"/>
            <w:b w:val="false"/>
            <w:i w:val="false"/>
            <w:color w:val="000000"/>
            <w:sz w:val="22"/>
          </w:rPr>
          <w:t>441—40.23</w:t>
        </w:r>
      </w:hyperlink>
      <w:r>
        <w:rPr>
          <w:rFonts w:ascii="Times New Roman" w:hAnsi="Times New Roman"/>
          <w:b w:val="false"/>
          <w:i w:val="false"/>
          <w:color w:val="000000"/>
          <w:sz w:val="22"/>
        </w:rPr>
        <w:t xml:space="preserve">(239B), </w:t>
      </w:r>
      <w:hyperlink r:id="rId6">
        <w:r>
          <w:rPr>
            <w:rStyle w:val="Hyperlink"/>
            <w:rFonts w:ascii="Times New Roman" w:hAnsi="Times New Roman"/>
            <w:b w:val="false"/>
            <w:i w:val="false"/>
            <w:color w:val="000000"/>
            <w:sz w:val="22"/>
          </w:rPr>
          <w:t>441—40.24</w:t>
        </w:r>
      </w:hyperlink>
      <w:r>
        <w:rPr>
          <w:rFonts w:ascii="Times New Roman" w:hAnsi="Times New Roman"/>
          <w:b w:val="false"/>
          <w:i w:val="false"/>
          <w:color w:val="000000"/>
          <w:sz w:val="22"/>
        </w:rPr>
        <w:t xml:space="preserve">(239B), and </w:t>
      </w:r>
      <w:hyperlink r:id="rId7">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441—60.3</w:t>
      </w:r>
      <w:r>
        <w:rPr>
          <w:rFonts w:ascii="Times New Roman" w:hAnsi="Times New Roman"/>
          <w:b/>
          <w:i w:val="false"/>
          <w:color w:val="000000"/>
          <w:sz w:val="22"/>
        </w:rPr>
        <w:t xml:space="preserve">(217) </w:t>
      </w:r>
      <w:r>
        <w:rPr>
          <w:rFonts w:ascii="Times New Roman" w:hAnsi="Times New Roman"/>
          <w:b/>
          <w:i w:val="false"/>
          <w:color w:val="000000"/>
          <w:sz w:val="22"/>
        </w:rPr>
        <w:t xml:space="preserve">Effective date of grant. </w:t>
      </w:r>
      <w:r>
        <w:rPr>
          <w:rFonts w:ascii="Times New Roman" w:hAnsi="Times New Roman"/>
          <w:b w:val="false"/>
          <w:i w:val="false"/>
          <w:color w:val="000000"/>
          <w:sz w:val="22"/>
        </w:rPr>
        <w:t xml:space="preserve">The date of eligibility for a grant is defined in rule </w:t>
      </w:r>
      <w:hyperlink r:id="rId8">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441—60.4</w:t>
      </w:r>
      <w:r>
        <w:rPr>
          <w:rFonts w:ascii="Times New Roman" w:hAnsi="Times New Roman"/>
          <w:b/>
          <w:i w:val="false"/>
          <w:color w:val="000000"/>
          <w:sz w:val="22"/>
        </w:rPr>
        <w:t xml:space="preserve">(217) </w:t>
      </w:r>
      <w:r>
        <w:rPr>
          <w:rFonts w:ascii="Times New Roman" w:hAnsi="Times New Roman"/>
          <w:b/>
          <w:i w:val="false"/>
          <w:color w:val="000000"/>
          <w:sz w:val="22"/>
        </w:rPr>
        <w:t xml:space="preserve">Accepting other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(FIP). </w:t>
      </w:r>
      <w:r>
        <w:rPr>
          <w:rFonts w:ascii="Times New Roman" w:hAnsi="Times New Roman"/>
          <w:b w:val="false"/>
          <w:i w:val="false"/>
          <w:color w:val="000000"/>
          <w:sz w:val="22"/>
        </w:rPr>
        <w:t xml:space="preserve">A refugee applicant or recipient shall accept a FIP grant if eligible under 441—Chapters </w:t>
      </w:r>
      <w:hyperlink r:id="rId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(SSI). </w:t>
      </w:r>
      <w:r>
        <w:rPr>
          <w:rFonts w:ascii="Times New Roman" w:hAnsi="Times New Roman"/>
          <w:b w:val="false"/>
          <w:i w:val="false"/>
          <w:color w:val="000000"/>
          <w:sz w:val="22"/>
        </w:rPr>
        <w:t>Refugees who are 65 or older, blind, or disabled shall apply for and, if eligible, accept SSI.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441—60.5</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factors.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unmarried refugee is considered an adult at age 18, except as defined in </w:t>
      </w:r>
      <w:hyperlink r:id="rId11">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and is eligible to receive refugee cash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Married refugees with or without children as defined in </w:t>
      </w:r>
      <w:hyperlink r:id="rId12">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xml:space="preserve"> are eligible regardless of age if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 xml:space="preserve">Residency requirements are defined in </w:t>
      </w:r>
      <w:hyperlink r:id="rId13">
        <w:r>
          <w:rPr>
            <w:rStyle w:val="Hyperlink"/>
            <w:rFonts w:ascii="Times New Roman" w:hAnsi="Times New Roman"/>
            <w:b w:val="false"/>
            <w:i w:val="false"/>
            <w:color w:val="000000"/>
            <w:sz w:val="22"/>
          </w:rPr>
          <w:t>441—subrule 41.23(1)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numbers. </w:t>
      </w:r>
      <w:r>
        <w:rPr>
          <w:rFonts w:ascii="Times New Roman" w:hAnsi="Times New Roman"/>
          <w:b w:val="false"/>
          <w:i w:val="false"/>
          <w:color w:val="000000"/>
          <w:sz w:val="22"/>
        </w:rPr>
        <w:t xml:space="preserve">Refugees are required to furnish a social security number as defined in </w:t>
      </w:r>
      <w:hyperlink r:id="rId14">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r>
        <w:rPr>
          <w:rFonts w:ascii="Times New Roman" w:hAnsi="Times New Roman"/>
          <w:b w:val="false"/>
          <w:i w:val="false"/>
          <w:color w:val="000000"/>
          <w:sz w:val="22"/>
        </w:rPr>
        <w:t xml:space="preserve">Need will be determined as defined in </w:t>
      </w:r>
      <w:hyperlink r:id="rId15">
        <w:r>
          <w:rPr>
            <w:rStyle w:val="Hyperlink"/>
            <w:rFonts w:ascii="Times New Roman" w:hAnsi="Times New Roman"/>
            <w:b w:val="false"/>
            <w:i w:val="false"/>
            <w:color w:val="000000"/>
            <w:sz w:val="22"/>
          </w:rPr>
          <w:t>441—41.28</w:t>
        </w:r>
      </w:hyperlink>
      <w:r>
        <w:rPr>
          <w:rFonts w:ascii="Times New Roman" w:hAnsi="Times New Roman"/>
          <w:b w:val="false"/>
          <w:i w:val="false"/>
          <w:color w:val="000000"/>
          <w:sz w:val="22"/>
        </w:rPr>
        <w:t>(239B), except as otherwise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Income is defined in rules </w:t>
      </w:r>
      <w:hyperlink r:id="rId16">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and </w:t>
      </w:r>
      <w:hyperlink r:id="rId17">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Resource requirements are defined in rule </w:t>
      </w:r>
      <w:hyperlink r:id="rId18">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441—60.6</w:t>
      </w:r>
      <w:r>
        <w:rPr>
          <w:rFonts w:ascii="Times New Roman" w:hAnsi="Times New Roman"/>
          <w:b/>
          <w:i w:val="false"/>
          <w:color w:val="000000"/>
          <w:sz w:val="22"/>
        </w:rPr>
        <w:t xml:space="preserve">(217) </w:t>
      </w:r>
      <w:r>
        <w:rPr>
          <w:rFonts w:ascii="Times New Roman" w:hAnsi="Times New Roman"/>
          <w:b/>
          <w:i w:val="false"/>
          <w:color w:val="000000"/>
          <w:sz w:val="22"/>
        </w:rPr>
        <w:t xml:space="preserve">Students in institutions of higher education. </w:t>
      </w:r>
      <w:r>
        <w:rPr>
          <w:rFonts w:ascii="Times New Roman" w:hAnsi="Times New Roman"/>
          <w:b w:val="false"/>
          <w:i w:val="false"/>
          <w:color w:val="000000"/>
          <w:sz w:val="22"/>
        </w:rPr>
        <w:t>A refugee who is a full-time student in an institution of higher education (other than a correspondence school) is ineligible for assistance with two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refugee is in a program approved as part of an individual employability plan as defined in subrule </w:t>
      </w:r>
      <w:r>
        <w:rPr>
          <w:rFonts w:ascii="Times New Roman" w:hAnsi="Times New Roman"/>
          <w:b w:val="false"/>
          <w:i w:val="false"/>
          <w:color w:val="000000"/>
          <w:sz w:val="22"/>
        </w:rPr>
        <w:t>60.9(3)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refugee is in a program solely in 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An institution of higher education is defined as an educational institution that provides an education program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or private nonprofit institution of higher education is an educational institution that provides an educational program for which it awards an associate, baccalaureate, graduate, or professional degree; or at least a two-year program that is acceptable for full credit toward a baccalaureate degree; or at least a one-year training program that leads to a certificate or degree and prepares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proprietary institution of higher education is an educational institution that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postsecondary vocational institution is a public or private nonprofit educational institution that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Full-time student. </w:t>
      </w:r>
      <w:r>
        <w:rPr>
          <w:rFonts w:ascii="Times New Roman" w:hAnsi="Times New Roman"/>
          <w:b w:val="false"/>
          <w:i w:val="false"/>
          <w:color w:val="000000"/>
          <w:sz w:val="22"/>
        </w:rPr>
        <w:t>A full-time student is a student who is carrying a full-time academic workload that equals or exceeds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Twelve semester or 12 quarter hours per academic term in those institutions using standard semester, trimester, or quarter-hour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 semester hours or 36 quarter hours per academic year for institutions using credit hours to measure progress, but not using semester, trimester, or quarter systems, or the prorated equivalent for programs of less than one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clock hours per week for institutions using clock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series of courses or seminars that equals 12 semester hours or 12 quarter hours in a maximum of 18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work portion of a cooperative education program in that the amount of work performed is equivalent to the academic workload of a full-time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441—60.7</w:t>
      </w:r>
      <w:r>
        <w:rPr>
          <w:rFonts w:ascii="Times New Roman" w:hAnsi="Times New Roman"/>
          <w:b/>
          <w:i w:val="false"/>
          <w:color w:val="000000"/>
          <w:sz w:val="22"/>
        </w:rPr>
        <w:t xml:space="preserve">(217) </w:t>
      </w:r>
      <w:r>
        <w:rPr>
          <w:rFonts w:ascii="Times New Roman" w:hAnsi="Times New Roman"/>
          <w:b/>
          <w:i w:val="false"/>
          <w:color w:val="000000"/>
          <w:sz w:val="22"/>
        </w:rPr>
        <w:t xml:space="preserve">Time limit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A refugee may receive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prior to October 1, 2021, during the first eight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on or after October 1, 2021, during the first 12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Exception: For asylees, the date of entry is the date asylum is granted. The 8-month or 12-month period of eligibility begins the month asylum is granted. A nonrefugee child in the home with a refugee parent (or refugee parents, if both are in the home) is eligible for assistance until the parent(s) has been in the United States for 8 or 12 months, or until the child reaches 8 or 12 months of age, whichever occurs first. For Afghan special immigrant (SI) parolees and Afghan SI conditional permanent residents (CPRs), the date is the date of “entry into the community,” which is the date the individual departed a safe haven. For Afghan humanitarian parolees, the date is the latter of October 1, 2021, or the date of entry into the community, which is the date the individual departed a safe haven. “Safe haven” is the term the U.S. government and other relevant stakeholders have used for U.S. military bases in the continental United States that housed Afghans evacuated under Operation Allies Refuge/Operation Allies Welcome (OAR/OAW) as Afghans awaited resettlement to their ultimate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resources of refugees excluded because of the 8-month or 12-month limit will be considered in the same manner as though these refugees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eligible refugee group has income, the income will be diverted to meet the needs of the refugees ineligible because of the time limit who would otherwise have been included in the refugee assistance group as defined in subrule </w:t>
      </w:r>
      <w:r>
        <w:rPr>
          <w:rFonts w:ascii="Times New Roman" w:hAnsi="Times New Roman"/>
          <w:b w:val="false"/>
          <w:i w:val="false"/>
          <w:color w:val="000000"/>
          <w:sz w:val="22"/>
        </w:rPr>
        <w:t>60.5(4)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the refugees ineligible because of the time limit who would otherwise have been included in the assistance group as defined in subrule </w:t>
      </w:r>
      <w:r>
        <w:rPr>
          <w:rFonts w:ascii="Times New Roman" w:hAnsi="Times New Roman"/>
          <w:b w:val="false"/>
          <w:i w:val="false"/>
          <w:color w:val="000000"/>
          <w:sz w:val="22"/>
        </w:rPr>
        <w:t>60.5(4)</w:t>
      </w:r>
      <w:r>
        <w:rPr>
          <w:rFonts w:ascii="Times New Roman" w:hAnsi="Times New Roman"/>
          <w:b w:val="false"/>
          <w:i w:val="false"/>
          <w:color w:val="000000"/>
          <w:sz w:val="22"/>
        </w:rPr>
        <w:t>, will be used first to meet the needs of the ineligible group and then applied to the eligible group’s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need for the ineligible group is the difference between the needs of the group including the ineligible refugees and the needs of the group excluding the ineligible refugees. Any excess income will be applied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cash grant received by the applicant under the Department of State or the Department of Justice reception and placement programs will be disregarded as income and as a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441—60.8</w:t>
      </w:r>
      <w:r>
        <w:rPr>
          <w:rFonts w:ascii="Times New Roman" w:hAnsi="Times New Roman"/>
          <w:b/>
          <w:i w:val="false"/>
          <w:color w:val="000000"/>
          <w:sz w:val="22"/>
        </w:rPr>
        <w:t xml:space="preserve">(217) </w:t>
      </w:r>
      <w:r>
        <w:rPr>
          <w:rFonts w:ascii="Times New Roman" w:hAnsi="Times New Roman"/>
          <w:b/>
          <w:i w:val="false"/>
          <w:color w:val="000000"/>
          <w:sz w:val="22"/>
        </w:rPr>
        <w:t xml:space="preserve">Criteria for exemption from registration for employment services, registration, and refusal to register. </w:t>
      </w:r>
      <w:r>
        <w:rPr>
          <w:rFonts w:ascii="Times New Roman" w:hAnsi="Times New Roman"/>
          <w:b w:val="false"/>
          <w:i w:val="false"/>
          <w:color w:val="000000"/>
          <w:sz w:val="22"/>
        </w:rPr>
        <w:t xml:space="preserve">Each refugee applying for or receiving cash assistance shall register for employment unless the department determines the refugee is exempt because of reasons listed in subrule </w:t>
      </w:r>
      <w:r>
        <w:rPr>
          <w:rFonts w:ascii="Times New Roman" w:hAnsi="Times New Roman"/>
          <w:b w:val="false"/>
          <w:i w:val="false"/>
          <w:color w:val="000000"/>
          <w:sz w:val="22"/>
        </w:rPr>
        <w:t>60.8(1)</w:t>
      </w:r>
      <w:r>
        <w:rPr>
          <w:rFonts w:ascii="Times New Roman" w:hAnsi="Times New Roman"/>
          <w:b w:val="false"/>
          <w:i w:val="false"/>
          <w:color w:val="000000"/>
          <w:sz w:val="22"/>
        </w:rPr>
        <w:t>. Inability to communicate in English does not exempt a refugee from registration for employment services, participation in employability service programs and acceptance of appropriate offers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refugees are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who is under the age of 16; or who is aged 16 but under the age of 18 and attending elementary, secondary, or vocational or technical school full-time; or a refugee who is enrolled full-time in training approved by the local office as part of an approved employability plan; or a refugee 18 years of age who is a full-time student in a secondary school, or in the equivalent level of vocational or technical training, and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refugee will be considered as attending school full time when enrolled or accepted full time (as certified by the school or institute attended) in a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refugee also will be considered in regular attendance in months when the refugee is not attending because of an official school or training program, vacation, illness, convalescence, or family emergency. A refugee meets the definition of regular school attendance until the refugee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refugee’s education is temporarily interrupted pending adjustment of the education or training program, assistance will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refugee aged 65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refugee who is caring for another member of the household who has a physical or mental impairment that requires, as determined by a physician or licensed or certified psychologist and verified by the department, care in the home on a substantially continuous basis, and no other appropriate member of the household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woman who is pregnant if it has been medically verified that the child is expected to be born in the month in which registration would otherwise be required or within the next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relative of a child under the age of three who personally provides full-time care for the child with only very brief and infrequent absences from the child. Only one parent or other caretaker relative in a case may be exempt under this paragraph. “Brief and infrequent absence” means short-term absences that do not reoccur on a regular basis. Any involvement by the parent employed less than 129 hours per month or attending school less than full-time, as defined by the school, will be considered brief and infrequent. Recreational activities and vacations by the parent or child that result in the parent being absent from the child will be considered brief and infrequent.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refugee who is working at least 30 hours a week in unsubsidized employment expected to last a minimum of 30 days. This exemption continues to apply if there is a temporary break in full-time employment expected to last no longer than ten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refugee who is ill, when determined by the department on the basis of medical evidence or another sound basis that the illness or injury is serious enough to temporarily prevent entry into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refugee who is incapacitated, when determined by a physician or licensed or certified psychologist and verified by the department, that a physical or mental impairment, by itself or in conjunction with age, prevents the refugee from engaging in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 refugee not exempt under subrule </w:t>
      </w:r>
      <w:r>
        <w:rPr>
          <w:rFonts w:ascii="Times New Roman" w:hAnsi="Times New Roman"/>
          <w:b w:val="false"/>
          <w:i w:val="false"/>
          <w:color w:val="000000"/>
          <w:sz w:val="22"/>
        </w:rPr>
        <w:t>60.8(1)</w:t>
      </w:r>
      <w:r>
        <w:rPr>
          <w:rFonts w:ascii="Times New Roman" w:hAnsi="Times New Roman"/>
          <w:b w:val="false"/>
          <w:i w:val="false"/>
          <w:color w:val="000000"/>
          <w:sz w:val="22"/>
        </w:rPr>
        <w:t xml:space="preserve"> will be considered an employable refugee. An employable refugee shall register with the department of workforce development and, within 30 days of receipt of aid, participate in the employment services provided by the bureau of refugee services. The department does permit, but does not mandate, the voluntary registration for employment services of any applicant or recipient of refugee cash assistance who is exempt under the provisions of this rule. If a voluntary registrant fails or refuses to participate in appropriate employability services, to carry out job search, or to accept an appropriate offer of employment, the bureau of refugee services may de-register the refugee for up to 90 days from the date of determination that failure or refusal has occurred, but the refugee’s cash assistance will not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color w:val="000000"/>
          <w:sz w:val="22"/>
        </w:rPr>
        <w:t xml:space="preserve">Refusal to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applicant refugee who refuses or fails to cooperate in accepting a referral to the department of workforce development or the bureau of refugee services, refuses or fails to appear at the department of workforce development office for registration, or refuses or fails to mail or deliver the registration form to the bureau of refugee services, will be denied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an employable recipient refugee will be terminated when the refugee refuses or fails to register with the department of workforce development or the bureau of refugee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441—60.9</w:t>
      </w:r>
      <w:r>
        <w:rPr>
          <w:rFonts w:ascii="Times New Roman" w:hAnsi="Times New Roman"/>
          <w:b/>
          <w:i w:val="false"/>
          <w:color w:val="000000"/>
          <w:sz w:val="22"/>
        </w:rPr>
        <w:t xml:space="preserve">(217) </w:t>
      </w:r>
      <w:r>
        <w:rPr>
          <w:rFonts w:ascii="Times New Roman" w:hAnsi="Times New Roman"/>
          <w:b/>
          <w:i w:val="false"/>
          <w:color w:val="000000"/>
          <w:sz w:val="22"/>
        </w:rPr>
        <w:t xml:space="preserve">Work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color w:val="000000"/>
          <w:sz w:val="22"/>
        </w:rPr>
        <w:t xml:space="preserve">Standards applicable to both work and training assignments. </w:t>
      </w:r>
      <w:r>
        <w:rPr>
          <w:rFonts w:ascii="Times New Roman" w:hAnsi="Times New Roman"/>
          <w:b w:val="false"/>
          <w:i w:val="false"/>
          <w:color w:val="000000"/>
          <w:sz w:val="22"/>
        </w:rPr>
        <w:t xml:space="preserve">The following standards must be met before an employable refugee can be required to accept a work or training assignment. A job offered, if determined appropriate under subrules </w:t>
      </w:r>
      <w:r>
        <w:rPr>
          <w:rFonts w:ascii="Times New Roman" w:hAnsi="Times New Roman"/>
          <w:b w:val="false"/>
          <w:i w:val="false"/>
          <w:color w:val="000000"/>
          <w:sz w:val="22"/>
        </w:rPr>
        <w:t>60.9(1)</w:t>
      </w:r>
      <w:r>
        <w:rPr>
          <w:rFonts w:ascii="Times New Roman" w:hAnsi="Times New Roman"/>
          <w:b w:val="false"/>
          <w:i w:val="false"/>
          <w:color w:val="000000"/>
          <w:sz w:val="22"/>
        </w:rPr>
        <w:t xml:space="preserve"> and </w:t>
      </w:r>
      <w:r>
        <w:rPr>
          <w:rFonts w:ascii="Times New Roman" w:hAnsi="Times New Roman"/>
          <w:b w:val="false"/>
          <w:i w:val="false"/>
          <w:color w:val="000000"/>
          <w:sz w:val="22"/>
        </w:rPr>
        <w:t>60.9(2)</w:t>
      </w:r>
      <w:r>
        <w:rPr>
          <w:rFonts w:ascii="Times New Roman" w:hAnsi="Times New Roman"/>
          <w:b w:val="false"/>
          <w:i w:val="false"/>
          <w:color w:val="000000"/>
          <w:sz w:val="22"/>
        </w:rPr>
        <w:t>, is required to be accepted by the refugee without regard to whether the job would interrupt a program of services planned or in progress unless the refugee is currently participating in a program in progress of on-the-job training or vocational training approved as part of an individual’s employability plan or the refugee is enrolled full-time in a professional recertification program approved as part of an individual’s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job or training referral must be related to the physical and mental capability of the person to perform the task on a regular basis. Any claim of adverse effect on physical or mental health will be based on adequate medical testimony from a physician or licensed or certified psychologist indicating that participation would impair the person’s physical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daily commuting time to and from home to the work or training site to which the person is referred shall not normally exceed two hours, not including the transporting of a child to and from a child care facility, unless a longer commuting distance and time is generally accepted in the community, in which case the round trip commuting time shall not exceed the generally accepted community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or training site to which the person is referred must not be in violation of applicable federal, state, and local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that are discriminatory in terms of age, sex, race, creed, color, or national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child care is required, the child care must meet state licensing or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Available manpower statistics for a local area must indicate adequate employment potential for persons obtaining the given training. The employment must also meet the other appropriate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work or training assignment must be within the scope of the refugee’s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quality of training must meet local employers’ requirements so that the refugee will be in a competitive position within the local labor market. The training must also be likely to lead to employment that will meet the appropriate work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refugee is a professional in need of professional refresher training and other recertification services in order to qualify to practice the refugee’s profession in the United States, the training may consist of full-time attendance in a college or professional training program, provided that the training is approved by the department as a part of the refugee’s employability plan; it does not exceed one year’s duration (including any time enrolled in the program in the United States prior to the refugee’s application for assistance); it is specifically intended to assist the professional in becoming relicensed in the refugee’s profession; and, if completed, it can realistically be expected to result in relicensing.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color w:val="000000"/>
          <w:sz w:val="22"/>
        </w:rPr>
        <w:t xml:space="preserve">Appropriate work requirements. </w:t>
      </w:r>
      <w:r>
        <w:rPr>
          <w:rFonts w:ascii="Times New Roman" w:hAnsi="Times New Roman"/>
          <w:b w:val="false"/>
          <w:i w:val="false"/>
          <w:color w:val="000000"/>
          <w:sz w:val="22"/>
        </w:rPr>
        <w:t>The local office, in making a determination of appropriate work, shall utilize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work may be temporary, permanent, full-time, part-time, or seasonal work if it meets the other work standards defined in subrule </w:t>
      </w:r>
      <w:r>
        <w:rPr>
          <w:rFonts w:ascii="Times New Roman" w:hAnsi="Times New Roman"/>
          <w:b w:val="false"/>
          <w:i w:val="false"/>
          <w:color w:val="000000"/>
          <w:sz w:val="22"/>
        </w:rPr>
        <w:t>60.9(1)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shall meet or exceed the federal or state minimum wage law, whichever is applicable, or if these laws are not applicable, the wage shall not be less favorable than the wage normally paid for similar work in that labor market but in no event shall it be less than three-fourths of the minimum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daily hours of work and the weekly hours of work shall not exceed those customary to the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be required to accept employment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offered is vacant due to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would be required to work for an employer contrary to the conditions of the person’s existing membership in the union governing that occupation. However, employment not governed by the rules of a union in which the person has membership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color w:val="000000"/>
          <w:sz w:val="22"/>
        </w:rPr>
        <w:t xml:space="preserve">Development of an individual employability plan. </w:t>
      </w:r>
      <w:r>
        <w:rPr>
          <w:rFonts w:ascii="Times New Roman" w:hAnsi="Times New Roman"/>
          <w:b w:val="false"/>
          <w:i w:val="false"/>
          <w:color w:val="000000"/>
          <w:sz w:val="22"/>
        </w:rPr>
        <w:t xml:space="preserve">An individual employability plan will be developed as a part of a family self-sufficiency plan where applicable for each recipient of refugee cash assistance in a filing unit who is not exempt under subrule </w:t>
      </w:r>
      <w:r>
        <w:rPr>
          <w:rFonts w:ascii="Times New Roman" w:hAnsi="Times New Roman"/>
          <w:b w:val="false"/>
          <w:i w:val="false"/>
          <w:color w:val="000000"/>
          <w:sz w:val="22"/>
        </w:rPr>
        <w:t>60.8(1)</w:t>
      </w:r>
      <w:r>
        <w:rPr>
          <w:rFonts w:ascii="Times New Roman" w:hAnsi="Times New Roman"/>
          <w:b w:val="false"/>
          <w:i w:val="false"/>
          <w:color w:val="000000"/>
          <w:sz w:val="22"/>
        </w:rPr>
        <w:t>. The individual employability plan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designed to lead to the earliest possible employment and not be structured in such a way as to discourage or delay employment or job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definite employment goal, attainable in the shortest time period consistent with the employability of the refugee in relation to job openings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color w:val="000000"/>
          <w:sz w:val="22"/>
        </w:rPr>
        <w:t xml:space="preserve">Job search requirements. </w:t>
      </w:r>
      <w:r>
        <w:rPr>
          <w:rFonts w:ascii="Times New Roman" w:hAnsi="Times New Roman"/>
          <w:b w:val="false"/>
          <w:i w:val="false"/>
          <w:color w:val="000000"/>
          <w:sz w:val="22"/>
        </w:rPr>
        <w:t>The department will mandate job search for employable refugees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recipient of refugee cash assistance shall carry out a job search program beginning at any time mandated by the bureau of refugee services. The bureau of refugee services will require the job search program to begin no later than six months after the refugee entered the United States or at the time the refugee is determined eligible for refugee cash assistance, if the refugee has completed at least six months in the United States at the time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job search program shall continue for at least eight consecutive weeks and shall meet requirements that the bureau of refugee services determines appropriate, including the amount of time to be devoted to employer contacts per week or the number of employer contacts mandated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and carry out the procedures it considers necessary to ensure that mandates for participation in job search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color w:val="000000"/>
          <w:sz w:val="22"/>
        </w:rPr>
        <w:t xml:space="preserve">Failure or refusal to accept employability services or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refugee is exempt as described at rule </w:t>
      </w:r>
      <w:hyperlink r:id="rId19">
        <w:r>
          <w:rPr>
            <w:rStyle w:val="Hyperlink"/>
            <w:rFonts w:ascii="Times New Roman" w:hAnsi="Times New Roman"/>
            <w:b w:val="false"/>
            <w:i w:val="false"/>
            <w:color w:val="000000"/>
            <w:sz w:val="22"/>
          </w:rPr>
          <w:t>441—60.8</w:t>
        </w:r>
      </w:hyperlink>
      <w:r>
        <w:rPr>
          <w:rFonts w:ascii="Times New Roman" w:hAnsi="Times New Roman"/>
          <w:b w:val="false"/>
          <w:i w:val="false"/>
          <w:color w:val="000000"/>
          <w:sz w:val="22"/>
        </w:rPr>
        <w:t>(217), the department will terminate assistance when an employable recipient of refugee cash assistance has failed or refused to comply with any of the following requirements without good cause. The refugee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Register for employment with the department of workforce development and, within 30 days of receipt of cash assistance, participate in employment services provided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for or accept an offer of employment meeting the standards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Carry out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 to a job interview arranged by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Participate in an employability service program that is determined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voluntarily quit a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Participate in a social service or targeted assistance program that the department determines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of proposed action to terminate, discontinue, suspend, or reduce assistance, the department will give timely and adequate notice, following the same procedures as those used in the family investment program. The written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 for the action and the consequences of failure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refugee’s right to file an appeal with the department. The department will determine whether a hearing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first refusal or failure the refugee will be sanctioned for three payment months. Subsequent refusals or failures will result in a six-payment month sanction for each refusal or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sanctioned individual is the only member of the filing unit, the assistance will be terminated. If the filing unit includes other members, the department will not take into account the sanctioned individual’s needs in determining the filing unit’s need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conciliation period prior to the imposition of sanctions must be provided for in accordance with the following time limitations. The conciliation effort will begin as soon as possible, but no later than 10 days following the date of failure or refusal to participate, and may continue for a period not to exceed 30 days. Either the department or the recipient may terminate this period sooner when either believes that the dispute cannot be resolved by conciliation.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441—60.10</w:t>
      </w:r>
      <w:r>
        <w:rPr>
          <w:rFonts w:ascii="Times New Roman" w:hAnsi="Times New Roman"/>
          <w:b/>
          <w:i w:val="false"/>
          <w:color w:val="000000"/>
          <w:sz w:val="22"/>
        </w:rPr>
        <w:t xml:space="preserve">(217)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refugee whose needs are included in a refugee cash assistance grant will not concurrently receive a grant under any other public assistance program administered by the department. Neither will a recipient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refugee cash assistance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and children will be ineligible for assistance for any month in which the other spouse or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will be ineligible for assistance for any month in which the person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of a strike and participating in a strike are defined in </w:t>
      </w:r>
      <w:hyperlink r:id="rId20">
        <w:r>
          <w:rPr>
            <w:rStyle w:val="Hyperlink"/>
            <w:rFonts w:ascii="Times New Roman" w:hAnsi="Times New Roman"/>
            <w:b w:val="false"/>
            <w:i w:val="false"/>
            <w:color w:val="000000"/>
            <w:sz w:val="22"/>
          </w:rPr>
          <w:t>441—paragraph 41.25(5)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Restrictions found in </w:t>
      </w:r>
      <w:hyperlink r:id="rId21">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 xml:space="preserve"> apply to benefits issued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441—60.11</w:t>
      </w:r>
      <w:r>
        <w:rPr>
          <w:rFonts w:ascii="Times New Roman" w:hAnsi="Times New Roman"/>
          <w:b/>
          <w:i w:val="false"/>
          <w:color w:val="000000"/>
          <w:sz w:val="22"/>
        </w:rPr>
        <w:t xml:space="preserve">(217) </w:t>
      </w:r>
      <w:r>
        <w:rPr>
          <w:rFonts w:ascii="Times New Roman" w:hAnsi="Times New Roman"/>
          <w:b/>
          <w:i w:val="false"/>
          <w:color w:val="000000"/>
          <w:sz w:val="22"/>
        </w:rPr>
        <w:t xml:space="preserve">Temporary absence from home. </w:t>
      </w:r>
      <w:r>
        <w:rPr>
          <w:rFonts w:ascii="Times New Roman" w:hAnsi="Times New Roman"/>
          <w:b w:val="false"/>
          <w:i w:val="false"/>
          <w:color w:val="000000"/>
          <w:sz w:val="22"/>
        </w:rPr>
        <w:t xml:space="preserve">Temporary absence from home is defined in </w:t>
      </w:r>
      <w:hyperlink r:id="rId22">
        <w:r>
          <w:rPr>
            <w:rStyle w:val="Hyperlink"/>
            <w:rFonts w:ascii="Times New Roman" w:hAnsi="Times New Roman"/>
            <w:b w:val="false"/>
            <w:i w:val="false"/>
            <w:color w:val="000000"/>
            <w:sz w:val="22"/>
          </w:rPr>
          <w:t>441—subrule 41.23(3)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application will be processed as defined in rule </w:t>
      </w:r>
      <w:hyperlink r:id="rId23">
        <w:r>
          <w:rPr>
            <w:rStyle w:val="Hyperlink"/>
            <w:rFonts w:ascii="Times New Roman" w:hAnsi="Times New Roman"/>
            <w:b w:val="false"/>
            <w:i w:val="false"/>
            <w:color w:val="000000"/>
            <w:sz w:val="22"/>
          </w:rPr>
          <w:t>441—40.22</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441—60.13</w:t>
      </w:r>
      <w:r>
        <w:rPr>
          <w:rFonts w:ascii="Times New Roman" w:hAnsi="Times New Roman"/>
          <w:b/>
          <w:i w:val="false"/>
          <w:color w:val="000000"/>
          <w:sz w:val="22"/>
        </w:rPr>
        <w:t xml:space="preserve">(217) </w:t>
      </w:r>
      <w:r>
        <w:rPr>
          <w:rFonts w:ascii="Times New Roman" w:hAnsi="Times New Roman"/>
          <w:b/>
          <w:i w:val="false"/>
          <w:color w:val="000000"/>
          <w:sz w:val="22"/>
        </w:rPr>
        <w:t xml:space="preserve">Continuing eligibility. </w:t>
      </w:r>
      <w:r>
        <w:rPr>
          <w:rFonts w:ascii="Times New Roman" w:hAnsi="Times New Roman"/>
          <w:b w:val="false"/>
          <w:i w:val="false"/>
          <w:color w:val="000000"/>
          <w:sz w:val="22"/>
        </w:rPr>
        <w:t xml:space="preserve">Continuing eligibility will be determined as defined in rule </w:t>
      </w:r>
      <w:hyperlink r:id="rId24">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(239B),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441—60.14</w:t>
      </w:r>
      <w:r>
        <w:rPr>
          <w:rFonts w:ascii="Times New Roman" w:hAnsi="Times New Roman"/>
          <w:b/>
          <w:i w:val="false"/>
          <w:color w:val="000000"/>
          <w:sz w:val="22"/>
        </w:rPr>
        <w:t xml:space="preserve">(217) </w:t>
      </w:r>
      <w:r>
        <w:rPr>
          <w:rFonts w:ascii="Times New Roman" w:hAnsi="Times New Roman"/>
          <w:b/>
          <w:i w:val="false"/>
          <w:color w:val="000000"/>
          <w:sz w:val="22"/>
        </w:rPr>
        <w:t xml:space="preserve">Alternate payees. </w:t>
      </w:r>
      <w:r>
        <w:rPr>
          <w:rFonts w:ascii="Times New Roman" w:hAnsi="Times New Roman"/>
          <w:b w:val="false"/>
          <w:i w:val="false"/>
          <w:color w:val="000000"/>
          <w:sz w:val="22"/>
        </w:rPr>
        <w:t xml:space="preserve">Alternate payees are defined in </w:t>
      </w:r>
      <w:hyperlink r:id="rId25">
        <w:r>
          <w:rPr>
            <w:rStyle w:val="Hyperlink"/>
            <w:rFonts w:ascii="Times New Roman" w:hAnsi="Times New Roman"/>
            <w:b w:val="false"/>
            <w:i w:val="false"/>
            <w:color w:val="000000"/>
            <w:sz w:val="22"/>
          </w:rPr>
          <w:t>441—Chapter 40</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441—60.15</w:t>
      </w:r>
      <w:r>
        <w:rPr>
          <w:rFonts w:ascii="Times New Roman" w:hAnsi="Times New Roman"/>
          <w:b/>
          <w:i w:val="false"/>
          <w:color w:val="000000"/>
          <w:sz w:val="22"/>
        </w:rPr>
        <w:t xml:space="preserve">(217)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Payment will be issued as defined in </w:t>
      </w:r>
      <w:hyperlink r:id="rId26">
        <w:r>
          <w:rPr>
            <w:rStyle w:val="Hyperlink"/>
            <w:rFonts w:ascii="Times New Roman" w:hAnsi="Times New Roman"/>
            <w:b w:val="false"/>
            <w:i w:val="false"/>
            <w:color w:val="000000"/>
            <w:sz w:val="22"/>
          </w:rPr>
          <w:t>441—Chapter 45</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441—60.16</w:t>
      </w:r>
      <w:r>
        <w:rPr>
          <w:rFonts w:ascii="Times New Roman" w:hAnsi="Times New Roman"/>
          <w:b/>
          <w:i w:val="false"/>
          <w:color w:val="000000"/>
          <w:sz w:val="22"/>
        </w:rPr>
        <w:t xml:space="preserve">(217) </w:t>
      </w:r>
      <w:r>
        <w:rPr>
          <w:rFonts w:ascii="Times New Roman" w:hAnsi="Times New Roman"/>
          <w:b/>
          <w:i w:val="false"/>
          <w:color w:val="000000"/>
          <w:sz w:val="22"/>
        </w:rPr>
        <w:t xml:space="preserve">Overpayment recovery. </w:t>
      </w:r>
      <w:r>
        <w:rPr>
          <w:rFonts w:ascii="Times New Roman" w:hAnsi="Times New Roman"/>
          <w:b w:val="false"/>
          <w:i w:val="false"/>
          <w:color w:val="000000"/>
          <w:sz w:val="22"/>
        </w:rPr>
        <w:t xml:space="preserve">Recovery of overpayments will be determined as defined in </w:t>
      </w:r>
      <w:hyperlink r:id="rId27">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5/13/88—published 6/1/88, effective 5/13/88]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2/1/01]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9278C</w:t>
      </w:r>
      <w:r>
        <w:rPr>
          <w:rFonts w:ascii="Times New Roman" w:hAnsi="Times New Roman"/>
          <w:b w:val="false"/>
          <w:i w:val="false"/>
          <w:color w:val="000000"/>
          <w:sz w:val="21"/>
        </w:rPr>
        <w:t xml:space="preserve"> (Notice ARC 8524C, IAB 12/11/24)</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3.pdf" Type="http://schemas.openxmlformats.org/officeDocument/2006/relationships/hyperlink" Id="rId5"/>
    <Relationship TargetMode="External" Target="https://www.legis.iowa.gov/docs/iac/rule/441.40.24.pdf" Type="http://schemas.openxmlformats.org/officeDocument/2006/relationships/hyperlink" Id="rId6"/>
    <Relationship TargetMode="External" Target="https://www.legis.iowa.gov/docs/iac/rule/441.40.25.pdf" Type="http://schemas.openxmlformats.org/officeDocument/2006/relationships/hyperlink" Id="rId7"/>
    <Relationship TargetMode="External" Target="https://www.legis.iowa.gov/docs/iac/rule/441.40.26.pdf" Type="http://schemas.openxmlformats.org/officeDocument/2006/relationships/hyperlink" Id="rId8"/>
    <Relationship TargetMode="External" Target="https://www.legis.iowa.gov/docs/iac/chapter/441.40.pdf" Type="http://schemas.openxmlformats.org/officeDocument/2006/relationships/hyperlink" Id="rId9"/>
    <Relationship TargetMode="External" Target="https://www.legis.iowa.gov/docs/iac/chapter/441.41.pdf" Type="http://schemas.openxmlformats.org/officeDocument/2006/relationships/hyperlink" Id="rId10"/>
    <Relationship TargetMode="External" Target="https://www.legis.iowa.gov/docs/iac/rule/441.41.21.pdf" Type="http://schemas.openxmlformats.org/officeDocument/2006/relationships/hyperlink" Id="rId11"/>
    <Relationship TargetMode="External" Target="https://www.legis.iowa.gov/docs/iac/rule/441.41.21.pdf" Type="http://schemas.openxmlformats.org/officeDocument/2006/relationships/hyperlink" Id="rId12"/>
    <Relationship TargetMode="External" Target="https://www.legis.iowa.gov/docs/iac/rule/441.41.23.pdf" Type="http://schemas.openxmlformats.org/officeDocument/2006/relationships/hyperlink" Id="rId13"/>
    <Relationship TargetMode="External" Target="https://www.legis.iowa.gov/docs/iac/rule/441.41.22.pdf" Type="http://schemas.openxmlformats.org/officeDocument/2006/relationships/hyperlink" Id="rId14"/>
    <Relationship TargetMode="External" Target="https://www.legis.iowa.gov/docs/iac/rule/441.41.28.pdf" Type="http://schemas.openxmlformats.org/officeDocument/2006/relationships/hyperlink" Id="rId15"/>
    <Relationship TargetMode="External" Target="https://www.legis.iowa.gov/docs/iac/rule/441.40.21.pdf" Type="http://schemas.openxmlformats.org/officeDocument/2006/relationships/hyperlink" Id="rId16"/>
    <Relationship TargetMode="External" Target="https://www.legis.iowa.gov/docs/iac/rule/441.41.27.pdf" Type="http://schemas.openxmlformats.org/officeDocument/2006/relationships/hyperlink" Id="rId17"/>
    <Relationship TargetMode="External" Target="https://www.legis.iowa.gov/docs/iac/rule/441.41.26.pdf" Type="http://schemas.openxmlformats.org/officeDocument/2006/relationships/hyperlink" Id="rId18"/>
    <Relationship TargetMode="External" Target="https://www.legis.iowa.gov/docs/iac/rule/441.60.8.pdf" Type="http://schemas.openxmlformats.org/officeDocument/2006/relationships/hyperlink" Id="rId19"/>
    <Relationship TargetMode="External" Target="https://www.legis.iowa.gov/docs/iac/rule/441.41.25.pdf" Type="http://schemas.openxmlformats.org/officeDocument/2006/relationships/hyperlink" Id="rId20"/>
    <Relationship TargetMode="External" Target="https://www.legis.iowa.gov/docs/iac/rule/441.41.25.pdf" Type="http://schemas.openxmlformats.org/officeDocument/2006/relationships/hyperlink" Id="rId21"/>
    <Relationship TargetMode="External" Target="https://www.legis.iowa.gov/docs/iac/rule/441.41.23.pdf" Type="http://schemas.openxmlformats.org/officeDocument/2006/relationships/hyperlink" Id="rId22"/>
    <Relationship TargetMode="External" Target="https://www.legis.iowa.gov/docs/iac/rule/441.40.22.pdf" Type="http://schemas.openxmlformats.org/officeDocument/2006/relationships/hyperlink" Id="rId23"/>
    <Relationship TargetMode="External" Target="https://www.legis.iowa.gov/docs/iac/rule/441.40.27.pdf" Type="http://schemas.openxmlformats.org/officeDocument/2006/relationships/hyperlink" Id="rId24"/>
    <Relationship TargetMode="External" Target="https://www.legis.iowa.gov/docs/iac/chapter/441.40.pdf" Type="http://schemas.openxmlformats.org/officeDocument/2006/relationships/hyperlink" Id="rId25"/>
    <Relationship TargetMode="External" Target="https://www.legis.iowa.gov/docs/iac/chapter/441.45.pdf" Type="http://schemas.openxmlformats.org/officeDocument/2006/relationships/hyperlink" Id="rId26"/>
    <Relationship TargetMode="External" Target="https://www.legis.iowa.gov/docs/iac/chapter/441.46.pdf" Type="http://schemas.openxmlformats.org/officeDocument/2006/relationships/hyperlink" Id="rId27"/>
    <Relationship TargetMode="External" Target="https://www.legis.iowa.gov/docs/ico/chapter/217.6.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