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w:t>
      </w:r>
    </w:p>
    <w:p>
      <w:pPr>
        <w:spacing w:before="0" w:after="0"/>
        <w:ind w:left="120"/>
        <w:jc w:val="center"/>
      </w:pPr>
      <w:r>
        <w:rPr>
          <w:rFonts w:ascii="Times New Roman" w:hAnsi="Times New Roman"/>
          <w:b w:val="false"/>
          <w:i w:val="false"/>
          <w:color w:val="000000"/>
          <w:sz w:val="21"/>
        </w:rPr>
        <w:t>OVERPAYMENT RECOVERY</w:t>
      </w:r>
    </w:p>
    <w:p>
      <w:pPr>
        <w:spacing w:before="0" w:after="0"/>
        <w:ind w:left="120"/>
        <w:jc w:val="center"/>
      </w:pPr>
      <w:r>
        <w:rPr>
          <w:rFonts w:ascii="Times New Roman" w:hAnsi="Times New Roman"/>
          <w:b w:val="false"/>
          <w:i w:val="false"/>
          <w:color w:val="000000"/>
          <w:sz w:val="14"/>
        </w:rPr>
        <w:t>[Prior to 7/1/83, Social Services[770] Ch 46]</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center"/>
      </w:pPr>
      <w:r>
        <w:rPr>
          <w:rFonts w:ascii="Times New Roman" w:hAnsi="Times New Roman"/>
          <w:b w:val="false"/>
          <w:i w:val="false"/>
          <w:color w:val="000000"/>
          <w:sz w:val="14"/>
        </w:rPr>
        <w:t>[Rescinded IAB 2/12/97, effective 3/1/97]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210" w:after="0"/>
        <w:ind w:left="120"/>
        <w:jc w:val="both"/>
      </w:pPr>
      <w:r>
        <w:rPr>
          <w:rFonts w:ascii="Times New Roman" w:hAnsi="Times New Roman"/>
          <w:b/>
          <w:i w:val="false"/>
          <w:color w:val="000000"/>
          <w:sz w:val="22"/>
        </w:rPr>
        <w:t>441—46.1</w:t>
      </w:r>
      <w:r>
        <w:rPr>
          <w:rFonts w:ascii="Times New Roman" w:hAnsi="Times New Roman"/>
          <w:b w:val="false"/>
          <w:i w:val="false"/>
          <w:color w:val="000000"/>
          <w:sz w:val="22"/>
        </w:rPr>
        <w:t xml:space="preserve"> to </w:t>
      </w:r>
      <w:r>
        <w:rPr>
          <w:rFonts w:ascii="Times New Roman" w:hAnsi="Times New Roman"/>
          <w:b/>
          <w:i w:val="false"/>
          <w:color w:val="000000"/>
          <w:sz w:val="22"/>
        </w:rPr>
        <w:t>46.20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441—46.21</w:t>
      </w:r>
      <w:r>
        <w:rPr>
          <w:rFonts w:ascii="Times New Roman" w:hAnsi="Times New Roman"/>
          <w:b/>
          <w:i w:val="false"/>
          <w:color w:val="000000"/>
          <w:sz w:val="22"/>
        </w:rPr>
        <w:t xml:space="preserve">(239B)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error” </w:t>
      </w:r>
      <w:r>
        <w:rPr>
          <w:rFonts w:ascii="Times New Roman" w:hAnsi="Times New Roman"/>
          <w:b w:val="false"/>
          <w:i w:val="false"/>
          <w:color w:val="000000"/>
          <w:sz w:val="22"/>
        </w:rPr>
        <w:t xml:space="preserve">in overpayments means: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same circumstances as described in </w:t>
      </w:r>
      <w:hyperlink r:id="rId5">
        <w:r>
          <w:rPr>
            <w:rStyle w:val="Hyperlink"/>
            <w:rFonts w:ascii="Times New Roman" w:hAnsi="Times New Roman"/>
            <w:b w:val="false"/>
            <w:i w:val="false"/>
            <w:color w:val="000000"/>
            <w:sz w:val="22"/>
          </w:rPr>
          <w:t>441—subrule 45.24(1)</w:t>
        </w:r>
      </w:hyperlink>
      <w:r>
        <w:rPr>
          <w:rFonts w:ascii="Times New Roman" w:hAnsi="Times New Roman"/>
          <w:b w:val="false"/>
          <w:i w:val="false"/>
          <w:color w:val="000000"/>
          <w:sz w:val="22"/>
        </w:rPr>
        <w:t xml:space="preserve"> pertaining to underpayments,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error that is not a client or procedural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current or former applicant or recipient of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error” </w:t>
      </w:r>
      <w:r>
        <w:rPr>
          <w:rFonts w:ascii="Times New Roman" w:hAnsi="Times New Roman"/>
          <w:b w:val="false"/>
          <w:i w:val="false"/>
          <w:color w:val="000000"/>
          <w:sz w:val="22"/>
        </w:rPr>
        <w:t>means and may result from: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False or misleading statements, oral or written, regarding the client’s income, resources, or other circumstances that may affect eligibility or the amount of assistance received;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Failure to timely report changes in income, resources, or other circumstances as required by rule </w:t>
      </w:r>
      <w:hyperlink r:id="rId6">
        <w:r>
          <w:rPr>
            <w:rStyle w:val="Hyperlink"/>
            <w:rFonts w:ascii="Times New Roman" w:hAnsi="Times New Roman"/>
            <w:b w:val="false"/>
            <w:i w:val="false"/>
            <w:color w:val="000000"/>
            <w:sz w:val="22"/>
          </w:rPr>
          <w:t>441—40.27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refund to child support services any nonexempt payment from the absent parent received after the date the decision on eligibility was made;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Access of benefits issued via the electronic access card at a prohibited location pursuant to </w:t>
      </w:r>
      <w:hyperlink r:id="rId7">
        <w:r>
          <w:rPr>
            <w:rStyle w:val="Hyperlink"/>
            <w:rFonts w:ascii="Times New Roman" w:hAnsi="Times New Roman"/>
            <w:b w:val="false"/>
            <w:i w:val="false"/>
            <w:color w:val="000000"/>
            <w:sz w:val="22"/>
          </w:rPr>
          <w:t>441—subrule 41.25(11)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 xml:space="preserve">means any assistance payment received in an amount greater than the amount the eligible group is entitled to receive or the amount of any payment accessed and any associated fees for accessing the benefits at a prohibited location pursuant to </w:t>
      </w:r>
      <w:hyperlink r:id="rId8">
        <w:r>
          <w:rPr>
            <w:rStyle w:val="Hyperlink"/>
            <w:rFonts w:ascii="Times New Roman" w:hAnsi="Times New Roman"/>
            <w:b w:val="false"/>
            <w:i w:val="false"/>
            <w:color w:val="000000"/>
            <w:sz w:val="22"/>
          </w:rPr>
          <w:t>441—subrule 41.25(11)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“Procedural error” </w:t>
      </w:r>
      <w:r>
        <w:rPr>
          <w:rFonts w:ascii="Times New Roman" w:hAnsi="Times New Roman"/>
          <w:b w:val="false"/>
          <w:i w:val="false"/>
          <w:color w:val="000000"/>
          <w:sz w:val="22"/>
        </w:rPr>
        <w:t>means a technical error that does not in and of itself result in an overpayment. Procedural errors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to secure a properly signed application at the time of initial application or reapplication.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Failure to secure a properly signed form prescribed by the department to request FIP beyond 60 months as described in </w:t>
      </w:r>
      <w:hyperlink r:id="rId9">
        <w:r>
          <w:rPr>
            <w:rStyle w:val="Hyperlink"/>
            <w:rFonts w:ascii="Times New Roman" w:hAnsi="Times New Roman"/>
            <w:b w:val="false"/>
            <w:i w:val="false"/>
            <w:color w:val="000000"/>
            <w:sz w:val="22"/>
          </w:rPr>
          <w:t>441—subrule 41.30(3)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Failure of the department to conduct the interviews described in 441—subrules </w:t>
      </w:r>
      <w:hyperlink r:id="rId10">
        <w:r>
          <w:rPr>
            <w:rStyle w:val="Hyperlink"/>
            <w:rFonts w:ascii="Times New Roman" w:hAnsi="Times New Roman"/>
            <w:b w:val="false"/>
            <w:i w:val="false"/>
            <w:color w:val="000000"/>
            <w:sz w:val="22"/>
          </w:rPr>
          <w:t>40.24(2)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40.27(1)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request a review form prescribed by the department at the time of a semiannual or annual review.</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Failure of department staff to cancel the family investment program benefits when the client submits a review form prescribed by the department that is not complete as defined in </w:t>
      </w:r>
      <w:hyperlink r:id="rId12">
        <w:r>
          <w:rPr>
            <w:rStyle w:val="Hyperlink"/>
            <w:rFonts w:ascii="Times New Roman" w:hAnsi="Times New Roman"/>
            <w:b w:val="false"/>
            <w:i w:val="false"/>
            <w:color w:val="000000"/>
            <w:sz w:val="22"/>
          </w:rPr>
          <w:t>441—paragraph 40.27(4)</w:t>
        </w:r>
        <w:r>
          <w:rPr>
            <w:rFonts w:ascii="Times New Roman" w:hAnsi="Times New Roman"/>
            <w:b w:val="false"/>
            <w:i/>
            <w:color w:val="000000"/>
            <w:sz w:val="22"/>
          </w:rPr>
          <w:t>“b.”</w:t>
        </w:r>
      </w:hyperlink>
      <w:r>
        <w:rPr>
          <w:rFonts w:ascii="Times New Roman" w:hAnsi="Times New Roman"/>
          <w:b w:val="false"/>
          <w:i w:val="false"/>
          <w:color w:val="000000"/>
          <w:sz w:val="22"/>
        </w:rPr>
        <w:t xml:space="preserve"> However, overpayments of grants as defined above based on incomplete reports are subject to recoupment.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“Recoup” </w:t>
      </w:r>
      <w:r>
        <w:rPr>
          <w:rFonts w:ascii="Times New Roman" w:hAnsi="Times New Roman"/>
          <w:b w:val="false"/>
          <w:i w:val="false"/>
          <w:color w:val="000000"/>
          <w:sz w:val="22"/>
        </w:rPr>
        <w:t>means reimburse, return, or repay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“Recoupment” </w:t>
      </w:r>
      <w:r>
        <w:rPr>
          <w:rFonts w:ascii="Times New Roman" w:hAnsi="Times New Roman"/>
          <w:b w:val="false"/>
          <w:i w:val="false"/>
          <w:color w:val="000000"/>
          <w:sz w:val="22"/>
        </w:rPr>
        <w:t>means the repayment of an overpayment, either by a payment from the client or an amount withheld from the assistance grant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441—46.22</w:t>
      </w:r>
      <w:r>
        <w:rPr>
          <w:rFonts w:ascii="Times New Roman" w:hAnsi="Times New Roman"/>
          <w:b/>
          <w:i w:val="false"/>
          <w:color w:val="000000"/>
          <w:sz w:val="22"/>
        </w:rPr>
        <w:t xml:space="preserve">(239B) </w:t>
      </w:r>
      <w:r>
        <w:rPr>
          <w:rFonts w:ascii="Times New Roman" w:hAnsi="Times New Roman"/>
          <w:b/>
          <w:i w:val="false"/>
          <w:color w:val="000000"/>
          <w:sz w:val="22"/>
        </w:rPr>
        <w:t xml:space="preserve">Monetary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46.22(1)</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recoupment. </w:t>
      </w:r>
      <w:r>
        <w:rPr>
          <w:rFonts w:ascii="Times New Roman" w:hAnsi="Times New Roman"/>
          <w:b w:val="false"/>
          <w:i w:val="false"/>
          <w:color w:val="000000"/>
          <w:sz w:val="22"/>
        </w:rPr>
        <w:t>All family investment program overpayments will be subject to recoupment.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46.22(2)</w:t>
      </w:r>
      <w:r>
        <w:rPr>
          <w:rFonts w:ascii="Times New Roman" w:hAnsi="Times New Roman"/>
          <w:b w:val="false"/>
          <w:i w:val="false"/>
          <w:color w:val="000000"/>
          <w:sz w:val="22"/>
        </w:rPr>
        <w:t> </w:t>
      </w:r>
      <w:r>
        <w:rPr>
          <w:rFonts w:ascii="Times New Roman" w:hAnsi="Times New Roman"/>
          <w:b w:val="false"/>
          <w:i/>
          <w:color w:val="000000"/>
          <w:sz w:val="22"/>
        </w:rPr>
        <w:t xml:space="preserve">Grant issued. </w:t>
      </w:r>
      <w:r>
        <w:rPr>
          <w:rFonts w:ascii="Times New Roman" w:hAnsi="Times New Roman"/>
          <w:b w:val="false"/>
          <w:i w:val="false"/>
          <w:color w:val="000000"/>
          <w:sz w:val="22"/>
        </w:rPr>
        <w:t>When recoupment is made by withholding from the family investment program grant, the grant issued will be for no less than $10.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441—46.23</w:t>
      </w:r>
      <w:r>
        <w:rPr>
          <w:rFonts w:ascii="Times New Roman" w:hAnsi="Times New Roman"/>
          <w:b/>
          <w:i w:val="false"/>
          <w:color w:val="000000"/>
          <w:sz w:val="22"/>
        </w:rPr>
        <w:t xml:space="preserve">(239B) </w:t>
      </w:r>
      <w:r>
        <w:rPr>
          <w:rFonts w:ascii="Times New Roman" w:hAnsi="Times New Roman"/>
          <w:b/>
          <w:i w:val="false"/>
          <w:color w:val="000000"/>
          <w:sz w:val="22"/>
        </w:rPr>
        <w:t xml:space="preserve">Notification and appeals. </w:t>
      </w:r>
      <w:r>
        <w:rPr>
          <w:rFonts w:ascii="Times New Roman" w:hAnsi="Times New Roman"/>
          <w:b w:val="false"/>
          <w:i w:val="false"/>
          <w:color w:val="000000"/>
          <w:sz w:val="22"/>
        </w:rPr>
        <w:t xml:space="preserve">All clients will be notified by the department of inspections, appeals, and licensing, as described in </w:t>
      </w:r>
      <w:hyperlink r:id="rId13">
        <w:r>
          <w:rPr>
            <w:rStyle w:val="Hyperlink"/>
            <w:rFonts w:ascii="Times New Roman" w:hAnsi="Times New Roman"/>
            <w:b w:val="false"/>
            <w:i w:val="false"/>
            <w:color w:val="000000"/>
            <w:sz w:val="22"/>
          </w:rPr>
          <w:t>441—paragraph 7.4(3)</w:t>
        </w:r>
      </w:hyperlink>
      <w:r>
        <w:rPr>
          <w:rFonts w:ascii="Times New Roman" w:hAnsi="Times New Roman"/>
          <w:b w:val="false"/>
          <w:i/>
          <w:color w:val="000000"/>
          <w:sz w:val="22"/>
        </w:rPr>
        <w:t>“h,”</w:t>
      </w:r>
      <w:r>
        <w:rPr>
          <w:rFonts w:ascii="Times New Roman" w:hAnsi="Times New Roman"/>
          <w:b w:val="false"/>
          <w:i w:val="false"/>
          <w:color w:val="000000"/>
          <w:sz w:val="22"/>
        </w:rPr>
        <w:t xml:space="preserve"> when it is determined that an overpayment exists. Notification will include the amount, date and reason for the overpayment. The department will provide additional information regarding the computation of the overpayment upon the client’s request. The client may appeal the computation of the overpayment and any action to recover the overpayment through benefit reduction in accordance with </w:t>
      </w:r>
      <w:hyperlink r:id="rId14">
        <w:r>
          <w:rPr>
            <w:rStyle w:val="Hyperlink"/>
            <w:rFonts w:ascii="Times New Roman" w:hAnsi="Times New Roman"/>
            <w:b w:val="false"/>
            <w:i w:val="false"/>
            <w:color w:val="000000"/>
            <w:sz w:val="22"/>
          </w:rPr>
          <w:t>441—paragraph 7.4(3)</w:t>
        </w:r>
      </w:hyperlink>
      <w:r>
        <w:rPr>
          <w:rFonts w:ascii="Times New Roman" w:hAnsi="Times New Roman"/>
          <w:b w:val="false"/>
          <w:i/>
          <w:color w:val="000000"/>
          <w:sz w:val="22"/>
        </w:rPr>
        <w:t>“i.”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441—46.24</w:t>
      </w:r>
      <w:r>
        <w:rPr>
          <w:rFonts w:ascii="Times New Roman" w:hAnsi="Times New Roman"/>
          <w:b/>
          <w:i w:val="false"/>
          <w:color w:val="000000"/>
          <w:sz w:val="22"/>
        </w:rPr>
        <w:t xml:space="preserve">(239B) </w:t>
      </w:r>
      <w:r>
        <w:rPr>
          <w:rFonts w:ascii="Times New Roman" w:hAnsi="Times New Roman"/>
          <w:b/>
          <w:i w:val="false"/>
          <w:color w:val="000000"/>
          <w:sz w:val="22"/>
        </w:rPr>
        <w:t xml:space="preserve">Determination of overpayments. </w:t>
      </w:r>
      <w:r>
        <w:rPr>
          <w:rFonts w:ascii="Times New Roman" w:hAnsi="Times New Roman"/>
          <w:b w:val="false"/>
          <w:i w:val="false"/>
          <w:color w:val="000000"/>
          <w:sz w:val="22"/>
        </w:rPr>
        <w:t>All overpayments due to agency or client error or due to assistance paid pending an appeal decision will be recouped. A procedural error alone does not result in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46.24(1)</w:t>
      </w:r>
      <w:r>
        <w:rPr>
          <w:rFonts w:ascii="Times New Roman" w:hAnsi="Times New Roman"/>
          <w:b w:val="false"/>
          <w:i w:val="false"/>
          <w:color w:val="000000"/>
          <w:sz w:val="22"/>
        </w:rPr>
        <w:t> </w:t>
      </w:r>
      <w:r>
        <w:rPr>
          <w:rFonts w:ascii="Times New Roman" w:hAnsi="Times New Roman"/>
          <w:b w:val="false"/>
          <w:i/>
          <w:color w:val="000000"/>
          <w:sz w:val="22"/>
        </w:rPr>
        <w:t xml:space="preserve">Agency error. </w:t>
      </w:r>
      <w:r>
        <w:rPr>
          <w:rFonts w:ascii="Times New Roman" w:hAnsi="Times New Roman"/>
          <w:b w:val="false"/>
          <w:i w:val="false"/>
          <w:color w:val="000000"/>
          <w:sz w:val="22"/>
        </w:rPr>
        <w:t xml:space="preserve">When an overpayment is due to an agency error, recoupment will be made, including those instances when errors by the department prevent the requirements in 441—subrule </w:t>
      </w:r>
      <w:hyperlink r:id="rId15">
        <w:r>
          <w:rPr>
            <w:rStyle w:val="Hyperlink"/>
            <w:rFonts w:ascii="Times New Roman" w:hAnsi="Times New Roman"/>
            <w:b w:val="false"/>
            <w:i w:val="false"/>
            <w:color w:val="000000"/>
            <w:sz w:val="22"/>
          </w:rPr>
          <w:t>41.22(6)</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xml:space="preserve"> from being met or when the client receives a duplicate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overpayment of any amount is subject to recoupment with one exception: when the client receives a grant that exceeds the amount on the most recent notice from the department, recoupment will be made only when the amount received exceeds the amount on the notice by $10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overpayment due to agency error will be computed as if the information had been acted upon 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46.24(2)</w:t>
      </w:r>
      <w:r>
        <w:rPr>
          <w:rFonts w:ascii="Times New Roman" w:hAnsi="Times New Roman"/>
          <w:b w:val="false"/>
          <w:i w:val="false"/>
          <w:color w:val="000000"/>
          <w:sz w:val="22"/>
        </w:rPr>
        <w:t> </w:t>
      </w:r>
      <w:r>
        <w:rPr>
          <w:rFonts w:ascii="Times New Roman" w:hAnsi="Times New Roman"/>
          <w:b w:val="false"/>
          <w:i/>
          <w:color w:val="000000"/>
          <w:sz w:val="22"/>
        </w:rPr>
        <w:t xml:space="preserve">Assistance paid pending appeal decision. </w:t>
      </w:r>
      <w:r>
        <w:rPr>
          <w:rFonts w:ascii="Times New Roman" w:hAnsi="Times New Roman"/>
          <w:b w:val="false"/>
          <w:i w:val="false"/>
          <w:color w:val="000000"/>
          <w:sz w:val="22"/>
        </w:rPr>
        <w:t>Recoupment of overpayments resulting from assistance paid pending a decision on an appeal hearing will begin no later than the month after the month in which the final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46.24(3)</w:t>
      </w:r>
      <w:r>
        <w:rPr>
          <w:rFonts w:ascii="Times New Roman" w:hAnsi="Times New Roman"/>
          <w:b w:val="false"/>
          <w:i w:val="false"/>
          <w:color w:val="000000"/>
          <w:sz w:val="22"/>
        </w:rPr>
        <w:t> </w:t>
      </w:r>
      <w:r>
        <w:rPr>
          <w:rFonts w:ascii="Times New Roman" w:hAnsi="Times New Roman"/>
          <w:b w:val="false"/>
          <w:i/>
          <w:color w:val="000000"/>
          <w:sz w:val="22"/>
        </w:rPr>
        <w:t xml:space="preserve">Client error.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overpayment due to client error will be computed as if the information had been reported and acted upon 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Overpayments due to failure to refund payments received from the absent parent will be the total nonexempt support payment made for members of the eligible group at the time the support payment was received. In addition, assistance payments made to meet the needs of the eligible group may also be subject to recoupment under provisions in </w:t>
      </w:r>
      <w:hyperlink r:id="rId17">
        <w:r>
          <w:rPr>
            <w:rStyle w:val="Hyperlink"/>
            <w:rFonts w:ascii="Times New Roman" w:hAnsi="Times New Roman"/>
            <w:b w:val="false"/>
            <w:i w:val="false"/>
            <w:color w:val="000000"/>
            <w:sz w:val="22"/>
          </w:rPr>
          <w:t>441—subrule 41.22(6)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overpayment due to a recipient’s accessing benefits via the electronic access card at a prohibited location will be the total of the transactions and any associated fees for accessing the benefits at the prohibited location pursuant to </w:t>
      </w:r>
      <w:hyperlink r:id="rId18">
        <w:r>
          <w:rPr>
            <w:rStyle w:val="Hyperlink"/>
            <w:rFonts w:ascii="Times New Roman" w:hAnsi="Times New Roman"/>
            <w:b w:val="false"/>
            <w:i w:val="false"/>
            <w:color w:val="000000"/>
            <w:sz w:val="22"/>
          </w:rPr>
          <w:t>441—subrule 41.25(11)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46.24(4)</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t>
      </w:r>
      <w:r>
        <w:rPr>
          <w:rFonts w:ascii="Times New Roman" w:hAnsi="Times New Roman"/>
          <w:b w:val="false"/>
          <w:i w:val="false"/>
          <w:color w:val="000000"/>
          <w:sz w:val="22"/>
        </w:rPr>
        <w:t>Failure to cooperate in the investigation of alleged overpayments will result in ineligibility for the months in question and the overpayment will be the total amount of assistance received during those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441—46.25</w:t>
      </w:r>
      <w:r>
        <w:rPr>
          <w:rFonts w:ascii="Times New Roman" w:hAnsi="Times New Roman"/>
          <w:b/>
          <w:i w:val="false"/>
          <w:color w:val="000000"/>
          <w:sz w:val="22"/>
        </w:rPr>
        <w:t xml:space="preserve">(239B) </w:t>
      </w:r>
      <w:r>
        <w:rPr>
          <w:rFonts w:ascii="Times New Roman" w:hAnsi="Times New Roman"/>
          <w:b/>
          <w:i w:val="false"/>
          <w:color w:val="000000"/>
          <w:sz w:val="22"/>
        </w:rPr>
        <w:t xml:space="preserve">Source of recoupment. </w:t>
      </w:r>
      <w:r>
        <w:rPr>
          <w:rFonts w:ascii="Times New Roman" w:hAnsi="Times New Roman"/>
          <w:b w:val="false"/>
          <w:i w:val="false"/>
          <w:color w:val="000000"/>
          <w:sz w:val="22"/>
        </w:rPr>
        <w:t xml:space="preserve">Recoupment will be made from basic needs. The minimum recoupment amount will be the amount prescribed in subrule </w:t>
      </w:r>
      <w:hyperlink r:id="rId19">
        <w:r>
          <w:rPr>
            <w:rStyle w:val="Hyperlink"/>
            <w:rFonts w:ascii="Times New Roman" w:hAnsi="Times New Roman"/>
            <w:b w:val="false"/>
            <w:i w:val="false"/>
            <w:color w:val="000000"/>
            <w:sz w:val="22"/>
          </w:rPr>
          <w:t>46.25(3)</w:t>
        </w:r>
      </w:hyperlink>
      <w:r>
        <w:rPr>
          <w:rFonts w:ascii="Times New Roman" w:hAnsi="Times New Roman"/>
          <w:b w:val="false"/>
          <w:i w:val="false"/>
          <w:color w:val="000000"/>
          <w:sz w:val="22"/>
        </w:rPr>
        <w:t>. Regardless of the source, the client may choose to make a lump sum payment, make periodic installment payments when an agreement to do this is made with the department of inspections, appeals, and licensing, or have repayment withheld from the grant. The client shall sign a form prescribed by the department when requested to do so by the department of inspections, appeals, and licensing. When the client fails to make the agreed upon payment, the agency will reduce the grant.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46.25(1)</w:t>
      </w:r>
      <w:r>
        <w:rPr>
          <w:rFonts w:ascii="Times New Roman" w:hAnsi="Times New Roman"/>
          <w:b w:val="false"/>
          <w:i w:val="false"/>
          <w:color w:val="000000"/>
          <w:sz w:val="22"/>
        </w:rPr>
        <w:t xml:space="preserve"> and </w:t>
      </w:r>
      <w:r>
        <w:rPr>
          <w:rFonts w:ascii="Times New Roman" w:hAnsi="Times New Roman"/>
          <w:b/>
          <w:i w:val="false"/>
          <w:color w:val="000000"/>
          <w:sz w:val="22"/>
        </w:rPr>
        <w:t>46.25(2)</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46.25(3)</w:t>
      </w:r>
      <w:r>
        <w:rPr>
          <w:rFonts w:ascii="Times New Roman" w:hAnsi="Times New Roman"/>
          <w:b w:val="false"/>
          <w:i w:val="false"/>
          <w:color w:val="000000"/>
          <w:sz w:val="22"/>
        </w:rPr>
        <w:t> </w:t>
      </w:r>
      <w:r>
        <w:rPr>
          <w:rFonts w:ascii="Times New Roman" w:hAnsi="Times New Roman"/>
          <w:b w:val="false"/>
          <w:i/>
          <w:color w:val="000000"/>
          <w:sz w:val="22"/>
        </w:rPr>
        <w:t xml:space="preserve">Basic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by withholding from basic needs for overpayments due to client error or a combination of client and agency errors will be 10 percent of the basic needs standard in accordance with the schedule in </w:t>
      </w:r>
      <w:hyperlink r:id="rId20">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by withholding from basic needs for overpayments due to the continuation of benefits pending a decision on an appeal as provided under </w:t>
      </w:r>
      <w:hyperlink r:id="rId2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or a combination of continued benefits and agency or client errors will be 10 percent of the basic needs standard in accordance with the schedule in </w:t>
      </w:r>
      <w:hyperlink r:id="rId22">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by withholding from basic needs for overpayments due to agency error will be 1 percent of the basic needs standard in accordance with the schedule in </w:t>
      </w:r>
      <w:hyperlink r:id="rId23">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441—46.26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441—46.27</w:t>
      </w:r>
      <w:r>
        <w:rPr>
          <w:rFonts w:ascii="Times New Roman" w:hAnsi="Times New Roman"/>
          <w:b/>
          <w:i w:val="false"/>
          <w:color w:val="000000"/>
          <w:sz w:val="22"/>
        </w:rPr>
        <w:t xml:space="preserve">(239B) </w:t>
      </w:r>
      <w:r>
        <w:rPr>
          <w:rFonts w:ascii="Times New Roman" w:hAnsi="Times New Roman"/>
          <w:b/>
          <w:i w:val="false"/>
          <w:color w:val="000000"/>
          <w:sz w:val="22"/>
        </w:rPr>
        <w:t xml:space="preserve">Procedures for recoupment.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46.27(2)</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When the department determines that an overpayment exists, the case will be referred to the department of inspections, appeals, and licensing for investigation, recoupment, or referral for possible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46.27(4)</w:t>
      </w:r>
      <w:r>
        <w:rPr>
          <w:rFonts w:ascii="Times New Roman" w:hAnsi="Times New Roman"/>
          <w:b w:val="false"/>
          <w:i w:val="false"/>
          <w:color w:val="000000"/>
          <w:sz w:val="22"/>
        </w:rPr>
        <w:t> </w:t>
      </w:r>
      <w:r>
        <w:rPr>
          <w:rFonts w:ascii="Times New Roman" w:hAnsi="Times New Roman"/>
          <w:b w:val="false"/>
          <w:i/>
          <w:color w:val="000000"/>
          <w:sz w:val="22"/>
        </w:rPr>
        <w:t xml:space="preserve">Change of circumstances. </w:t>
      </w:r>
      <w:r>
        <w:rPr>
          <w:rFonts w:ascii="Times New Roman" w:hAnsi="Times New Roman"/>
          <w:b w:val="false"/>
          <w:i w:val="false"/>
          <w:color w:val="000000"/>
          <w:sz w:val="22"/>
        </w:rPr>
        <w:t>When financial circumstances change, any agreement to pay a debt is subject to revision.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46.27(5)</w:t>
      </w:r>
      <w:r>
        <w:rPr>
          <w:rFonts w:ascii="Times New Roman" w:hAnsi="Times New Roman"/>
          <w:b w:val="false"/>
          <w:i w:val="false"/>
          <w:color w:val="000000"/>
          <w:sz w:val="22"/>
        </w:rPr>
        <w:t> </w:t>
      </w:r>
      <w:r>
        <w:rPr>
          <w:rFonts w:ascii="Times New Roman" w:hAnsi="Times New Roman"/>
          <w:b w:val="false"/>
          <w:i/>
          <w:color w:val="000000"/>
          <w:sz w:val="22"/>
        </w:rPr>
        <w:t xml:space="preserve">Collection. </w:t>
      </w:r>
      <w:r>
        <w:rPr>
          <w:rFonts w:ascii="Times New Roman" w:hAnsi="Times New Roman"/>
          <w:b w:val="false"/>
          <w:i w:val="false"/>
          <w:color w:val="000000"/>
          <w:sz w:val="22"/>
        </w:rPr>
        <w:t xml:space="preserve">Recoupment for overpayments will be made from the parent or nonparental relative who was the caretaker relative, as defined in </w:t>
      </w:r>
      <w:hyperlink r:id="rId24">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at the time the overpayment occurred. When both parents were in the home at the time the overpayment occurred, both parents are equally responsible for repayment of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46.27(6)</w:t>
      </w:r>
      <w:r>
        <w:rPr>
          <w:rFonts w:ascii="Times New Roman" w:hAnsi="Times New Roman"/>
          <w:b w:val="false"/>
          <w:i w:val="false"/>
          <w:color w:val="000000"/>
          <w:sz w:val="22"/>
        </w:rPr>
        <w:t> </w:t>
      </w:r>
      <w:r>
        <w:rPr>
          <w:rFonts w:ascii="Times New Roman" w:hAnsi="Times New Roman"/>
          <w:b w:val="false"/>
          <w:i/>
          <w:color w:val="000000"/>
          <w:sz w:val="22"/>
        </w:rPr>
        <w:t xml:space="preserve">Suspension and waiver. </w:t>
      </w:r>
      <w:r>
        <w:rPr>
          <w:rFonts w:ascii="Times New Roman" w:hAnsi="Times New Roman"/>
          <w:b w:val="false"/>
          <w:i w:val="false"/>
          <w:color w:val="000000"/>
          <w:sz w:val="22"/>
        </w:rPr>
        <w:t>Recoupment will be suspended on nonfraud overpayments when the case is canceled and the amount of the overpayment is less than $35. If the case is reopened within three years, recoupment is initiated again. Recoupment will be waived on nonfraud overpayments of less than $35 that have been held in suspense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441—46.28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441—46.29</w:t>
      </w:r>
      <w:r>
        <w:rPr>
          <w:rFonts w:ascii="Times New Roman" w:hAnsi="Times New Roman"/>
          <w:b/>
          <w:i w:val="false"/>
          <w:color w:val="000000"/>
          <w:sz w:val="22"/>
        </w:rPr>
        <w:t xml:space="preserve">(239B) </w:t>
      </w:r>
      <w:r>
        <w:rPr>
          <w:rFonts w:ascii="Times New Roman" w:hAnsi="Times New Roman"/>
          <w:b/>
          <w:i w:val="false"/>
          <w:color w:val="000000"/>
          <w:sz w:val="22"/>
        </w:rPr>
        <w:t xml:space="preserve">Fraudulent misrepresentation of residence. </w:t>
      </w:r>
      <w:r>
        <w:rPr>
          <w:rFonts w:ascii="Times New Roman" w:hAnsi="Times New Roman"/>
          <w:b w:val="false"/>
          <w:i w:val="false"/>
          <w:color w:val="000000"/>
          <w:sz w:val="22"/>
        </w:rPr>
        <w:t>A person convicted in a state or federal court, or in an administrative hearing, of having made a fraudulent statement or representation of the person’s place of residence in order to receive assistance simultaneously from two or more states will be ineligible for assistance for ten years. For the purpose of this rule, the term “assistance” means assistance under Titles IV-A or XIX of the Social Security Act, as amended to December 31, 2024, or the Food Stamp Act of 1977, as amended to December 31, 2024, or benefits in two or more states under the Supplemental Security Income program under Title XVI. The ten-year period begins on the date the person is convicted. The prohibition does not apply to a convicted person who is pardoned by the President of the United States, beginning with the month after the pardon is given.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239B.2</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239B.3</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239B.7</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239B.14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4/23/81, Notice 3/4/81—published 5/13/81, effective 8/1/81]</w:t>
      </w:r>
    </w:p>
    <w:p>
      <w:pPr>
        <w:spacing w:before="0" w:after="0"/>
        <w:ind w:left="120"/>
        <w:jc w:val="center"/>
      </w:pPr>
      <w:r>
        <w:rPr>
          <w:rFonts w:ascii="Times New Roman" w:hAnsi="Times New Roman"/>
          <w:b w:val="false"/>
          <w:i w:val="false"/>
          <w:color w:val="000000"/>
          <w:sz w:val="21"/>
        </w:rPr>
        <w:t>[Filed emergency 9/25/81—published 10/14/81, effective 10/1/81]</w:t>
      </w:r>
    </w:p>
    <w:p>
      <w:pPr>
        <w:spacing w:before="0" w:after="0"/>
        <w:ind w:left="120"/>
        <w:jc w:val="center"/>
      </w:pPr>
      <w:r>
        <w:rPr>
          <w:rFonts w:ascii="Times New Roman" w:hAnsi="Times New Roman"/>
          <w:b w:val="false"/>
          <w:i w:val="false"/>
          <w:color w:val="000000"/>
          <w:sz w:val="21"/>
        </w:rPr>
        <w:t>[Filed emergency 10/23/81—published 11/11/81, effective 11/1/81]</w:t>
      </w:r>
    </w:p>
    <w:p>
      <w:pPr>
        <w:spacing w:before="0" w:after="0"/>
        <w:ind w:left="120"/>
        <w:jc w:val="center"/>
      </w:pPr>
      <w:r>
        <w:rPr>
          <w:rFonts w:ascii="Times New Roman" w:hAnsi="Times New Roman"/>
          <w:b w:val="false"/>
          <w:i w:val="false"/>
          <w:color w:val="000000"/>
          <w:sz w:val="21"/>
        </w:rPr>
        <w:t>[Filed 1/28/82, Notice 11/11/81—published 2/17/82, effective 4/1/82]</w:t>
      </w:r>
    </w:p>
    <w:p>
      <w:pPr>
        <w:spacing w:before="0" w:after="0"/>
        <w:ind w:left="120"/>
        <w:jc w:val="center"/>
      </w:pPr>
      <w:r>
        <w:rPr>
          <w:rFonts w:ascii="Times New Roman" w:hAnsi="Times New Roman"/>
          <w:b w:val="false"/>
          <w:i w:val="false"/>
          <w:color w:val="000000"/>
          <w:sz w:val="21"/>
        </w:rPr>
        <w:t>[Filed emergency 5/21/82—published 6/9/82, effective 5/21/82]</w:t>
      </w:r>
    </w:p>
    <w:p>
      <w:pPr>
        <w:spacing w:before="0" w:after="0"/>
        <w:ind w:left="120"/>
        <w:jc w:val="center"/>
      </w:pPr>
      <w:r>
        <w:rPr>
          <w:rFonts w:ascii="Times New Roman" w:hAnsi="Times New Roman"/>
          <w:b w:val="false"/>
          <w:i w:val="false"/>
          <w:color w:val="000000"/>
          <w:sz w:val="21"/>
        </w:rPr>
        <w:t>[Filed 6/15/82, Notice 3/17/82—published 7/7/82, effective 9/1/82]</w:t>
      </w:r>
    </w:p>
    <w:p>
      <w:pPr>
        <w:spacing w:before="0" w:after="0"/>
        <w:ind w:left="120"/>
        <w:jc w:val="center"/>
      </w:pPr>
      <w:r>
        <w:rPr>
          <w:rFonts w:ascii="Times New Roman" w:hAnsi="Times New Roman"/>
          <w:b w:val="false"/>
          <w:i w:val="false"/>
          <w:color w:val="000000"/>
          <w:sz w:val="21"/>
        </w:rPr>
        <w:t>[Filed 7/30/82, Notice 5/26/82—published 8/18/82, effective 10/1/82]</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11/18/83 after Notice 10/12/83—published 12/7/83, effective 1/1/84]</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without Notice 9/28/84—published 10/24/84, effective 12/1/84]</w:t>
      </w:r>
    </w:p>
    <w:p>
      <w:pPr>
        <w:spacing w:before="0" w:after="0"/>
        <w:ind w:left="120"/>
        <w:jc w:val="center"/>
      </w:pPr>
      <w:r>
        <w:rPr>
          <w:rFonts w:ascii="Times New Roman" w:hAnsi="Times New Roman"/>
          <w:b w:val="false"/>
          <w:i w:val="false"/>
          <w:color w:val="000000"/>
          <w:sz w:val="21"/>
        </w:rPr>
        <w:t>[Filed emergency 1/21/85—published 2/13/85, effective 2/1/85]</w:t>
      </w:r>
    </w:p>
    <w:p>
      <w:pPr>
        <w:spacing w:before="0" w:after="0"/>
        <w:ind w:left="120"/>
        <w:jc w:val="center"/>
      </w:pPr>
      <w:r>
        <w:rPr>
          <w:rFonts w:ascii="Times New Roman" w:hAnsi="Times New Roman"/>
          <w:b w:val="false"/>
          <w:i w:val="false"/>
          <w:color w:val="000000"/>
          <w:sz w:val="21"/>
        </w:rPr>
        <w:t>[Filed emergency after Notice 3/22/85, Notice 2/13/85—published 4/10/85, effective 4/1/85]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11/15/85, Notice 10/9/85—published 12/4/85, effective 2/1/86]</w:t>
      </w:r>
    </w:p>
    <w:p>
      <w:pPr>
        <w:spacing w:before="0" w:after="0"/>
        <w:ind w:left="120"/>
        <w:jc w:val="center"/>
      </w:pPr>
      <w:r>
        <w:rPr>
          <w:rFonts w:ascii="Times New Roman" w:hAnsi="Times New Roman"/>
          <w:b w:val="false"/>
          <w:i w:val="false"/>
          <w:color w:val="000000"/>
          <w:sz w:val="21"/>
        </w:rPr>
        <w:t>[Filed emergency 7/25/86 after Notice 6/4/86—published 8/13/86, effective 8/1/86]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1/12/89, Notice 11/16/88—published 2/8/89, effective 4/1/89]</w:t>
      </w:r>
    </w:p>
    <w:p>
      <w:pPr>
        <w:spacing w:before="0" w:after="0"/>
        <w:ind w:left="120"/>
        <w:jc w:val="center"/>
      </w:pPr>
      <w:r>
        <w:rPr>
          <w:rFonts w:ascii="Times New Roman" w:hAnsi="Times New Roman"/>
          <w:b w:val="false"/>
          <w:i w:val="false"/>
          <w:color w:val="000000"/>
          <w:sz w:val="21"/>
        </w:rPr>
        <w:t>[Filed 4/13/89, Notice 3/8/89—published 5/3/89, effective 7/1/89]</w:t>
      </w:r>
    </w:p>
    <w:p>
      <w:pPr>
        <w:spacing w:before="0" w:after="0"/>
        <w:ind w:left="120"/>
        <w:jc w:val="center"/>
      </w:pPr>
      <w:r>
        <w:rPr>
          <w:rFonts w:ascii="Times New Roman" w:hAnsi="Times New Roman"/>
          <w:b w:val="false"/>
          <w:i w:val="false"/>
          <w:color w:val="000000"/>
          <w:sz w:val="21"/>
        </w:rPr>
        <w:t>[Filed 1/16/90, Notice 11/15/89—published 2/7/90, effective 4/1/90]</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11/12/97, Notice 9/10/97—published 12/3/97, effective 3/1/98]</w:t>
      </w:r>
    </w:p>
    <w:p>
      <w:pPr>
        <w:spacing w:before="0" w:after="0"/>
        <w:ind w:left="120"/>
        <w:jc w:val="center"/>
      </w:pPr>
      <w:r>
        <w:rPr>
          <w:rFonts w:ascii="Times New Roman" w:hAnsi="Times New Roman"/>
          <w:b w:val="false"/>
          <w:i w:val="false"/>
          <w:color w:val="000000"/>
          <w:sz w:val="21"/>
        </w:rPr>
        <w:t>[Filed 3/10/99, Notice 11/18/98—published 4/7/99, effective 6/1/99]</w:t>
      </w:r>
    </w:p>
    <w:p>
      <w:pPr>
        <w:spacing w:before="0" w:after="0"/>
        <w:ind w:left="120"/>
        <w:jc w:val="center"/>
      </w:pPr>
      <w:r>
        <w:rPr>
          <w:rFonts w:ascii="Times New Roman" w:hAnsi="Times New Roman"/>
          <w:b w:val="false"/>
          <w:i w:val="false"/>
          <w:color w:val="000000"/>
          <w:sz w:val="21"/>
        </w:rPr>
        <w:t>[Filed 6/10/99, Notice 4/21/99—published 6/30/99, effective 9/1/99]</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emergency 11/14/01—published 12/12/01, effective 11/14/01]</w:t>
      </w:r>
    </w:p>
    <w:p>
      <w:pPr>
        <w:spacing w:before="0" w:after="0"/>
        <w:ind w:left="120"/>
        <w:jc w:val="center"/>
      </w:pPr>
      <w:r>
        <w:rPr>
          <w:rFonts w:ascii="Times New Roman" w:hAnsi="Times New Roman"/>
          <w:b w:val="false"/>
          <w:i w:val="false"/>
          <w:color w:val="000000"/>
          <w:sz w:val="21"/>
        </w:rPr>
        <w:t>[Filed 2/14/02, Notice 12/12/01—published 3/6/02, effective 5/1/02]</w:t>
      </w:r>
    </w:p>
    <w:p>
      <w:pPr>
        <w:spacing w:before="0" w:after="0"/>
        <w:ind w:left="120"/>
        <w:jc w:val="center"/>
      </w:pPr>
      <w:r>
        <w:rPr>
          <w:rFonts w:ascii="Times New Roman" w:hAnsi="Times New Roman"/>
          <w:b w:val="false"/>
          <w:i w:val="false"/>
          <w:color w:val="000000"/>
          <w:sz w:val="21"/>
        </w:rPr>
        <w:t>[Filed 10/20/06, Notice 8/30/06—published 11/8/06, effective 1/1/07]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1207C</w:t>
      </w:r>
      <w:r>
        <w:rPr>
          <w:rFonts w:ascii="Times New Roman" w:hAnsi="Times New Roman"/>
          <w:b w:val="false"/>
          <w:i w:val="false"/>
          <w:color w:val="000000"/>
          <w:sz w:val="21"/>
        </w:rPr>
        <w:t xml:space="preserve"> (Notice ARC 1001C,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2272C</w:t>
      </w:r>
      <w:r>
        <w:rPr>
          <w:rFonts w:ascii="Times New Roman" w:hAnsi="Times New Roman"/>
          <w:b w:val="false"/>
          <w:i w:val="false"/>
          <w:color w:val="000000"/>
          <w:sz w:val="21"/>
        </w:rPr>
        <w:t xml:space="preserve"> (Notice ARC 2147C, IAB 9/16/15)</w:t>
      </w:r>
      <w:r>
        <w:rPr>
          <w:rFonts w:ascii="Times New Roman" w:hAnsi="Times New Roman"/>
          <w:b w:val="false"/>
          <w:i w:val="false"/>
          <w:color w:val="000000"/>
          <w:sz w:val="21"/>
        </w:rPr>
        <w:t>, IAB 12/9/15, effective 2/1/16]</w:t>
      </w:r>
    </w:p>
    <w:p>
      <w:pPr>
        <w:spacing w:before="0" w:after="0"/>
        <w:ind w:left="120"/>
        <w:jc w:val="center"/>
      </w:pPr>
      <w:r>
        <w:rPr>
          <w:rFonts w:ascii="Times New Roman" w:hAnsi="Times New Roman"/>
          <w:b w:val="false"/>
          <w:i w:val="false"/>
          <w:color w:val="000000"/>
          <w:sz w:val="21"/>
        </w:rPr>
        <w:t>[Filed ARC 2812C</w:t>
      </w:r>
      <w:r>
        <w:rPr>
          <w:rFonts w:ascii="Times New Roman" w:hAnsi="Times New Roman"/>
          <w:b w:val="false"/>
          <w:i w:val="false"/>
          <w:color w:val="000000"/>
          <w:sz w:val="21"/>
        </w:rPr>
        <w:t xml:space="preserve"> (Notice ARC 2684C, IAB 8/17/16)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6496C</w:t>
      </w:r>
      <w:r>
        <w:rPr>
          <w:rFonts w:ascii="Times New Roman" w:hAnsi="Times New Roman"/>
          <w:b w:val="false"/>
          <w:i w:val="false"/>
          <w:color w:val="000000"/>
          <w:sz w:val="21"/>
        </w:rPr>
        <w:t xml:space="preserve"> (Notice ARC 6369C,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9260C</w:t>
      </w:r>
      <w:r>
        <w:rPr>
          <w:rFonts w:ascii="Times New Roman" w:hAnsi="Times New Roman"/>
          <w:b w:val="false"/>
          <w:i w:val="false"/>
          <w:color w:val="000000"/>
          <w:sz w:val="21"/>
        </w:rPr>
        <w:t xml:space="preserve"> (Notice ARC 8715C, IAB 1/8/25)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5.24.pdf" Type="http://schemas.openxmlformats.org/officeDocument/2006/relationships/hyperlink" Id="rId5"/>
    <Relationship TargetMode="External" Target="https://www.legis.iowa.gov/docs/iac/rule/441.40.27.pdf" Type="http://schemas.openxmlformats.org/officeDocument/2006/relationships/hyperlink" Id="rId6"/>
    <Relationship TargetMode="External" Target="https://www.legis.iowa.gov/docs/iac/rule/441.41.25.pdf" Type="http://schemas.openxmlformats.org/officeDocument/2006/relationships/hyperlink" Id="rId7"/>
    <Relationship TargetMode="External" Target="https://www.legis.iowa.gov/docs/iac/rule/441.41.25.pdf" Type="http://schemas.openxmlformats.org/officeDocument/2006/relationships/hyperlink" Id="rId8"/>
    <Relationship TargetMode="External" Target="https://www.legis.iowa.gov/docs/iac/rule/441.41.30.pdf" Type="http://schemas.openxmlformats.org/officeDocument/2006/relationships/hyperlink" Id="rId9"/>
    <Relationship TargetMode="External" Target="https://www.legis.iowa.gov/docs/iac/rule/441.40.24.pdf" Type="http://schemas.openxmlformats.org/officeDocument/2006/relationships/hyperlink" Id="rId10"/>
    <Relationship TargetMode="External" Target="https://www.legis.iowa.gov/docs/iac/rule/441.40.27.pdf" Type="http://schemas.openxmlformats.org/officeDocument/2006/relationships/hyperlink" Id="rId11"/>
    <Relationship TargetMode="External" Target="https://www.legis.iowa.gov/docs/iac/rule/441.40.27.pdf" Type="http://schemas.openxmlformats.org/officeDocument/2006/relationships/hyperlink" Id="rId12"/>
    <Relationship TargetMode="External" Target="https://www.legis.iowa.gov/docs/iac/rule/441.7.4.pdf" Type="http://schemas.openxmlformats.org/officeDocument/2006/relationships/hyperlink" Id="rId13"/>
    <Relationship TargetMode="External" Target="https://www.legis.iowa.gov/docs/iac/rule/441.7.4.pdf" Type="http://schemas.openxmlformats.org/officeDocument/2006/relationships/hyperlink" Id="rId14"/>
    <Relationship TargetMode="External" Target="https://www.legis.iowa.gov/docs/iac/rule/441.41.22.pdf" Type="http://schemas.openxmlformats.org/officeDocument/2006/relationships/hyperlink" Id="rId15"/>
    <Relationship TargetMode="External" Target="https://www.legis.iowa.gov/docs/iac/rule/441.41.22.pdf" Type="http://schemas.openxmlformats.org/officeDocument/2006/relationships/hyperlink" Id="rId16"/>
    <Relationship TargetMode="External" Target="https://www.legis.iowa.gov/docs/iac/rule/441.41.22.pdf" Type="http://schemas.openxmlformats.org/officeDocument/2006/relationships/hyperlink" Id="rId17"/>
    <Relationship TargetMode="External" Target="https://www.legis.iowa.gov/docs/iac/rule/441.41.25.pdf" Type="http://schemas.openxmlformats.org/officeDocument/2006/relationships/hyperlink" Id="rId18"/>
    <Relationship TargetMode="External" Target="https://www.legis.iowa.gov/docs/iac/rule/441.46.25.pdf" Type="http://schemas.openxmlformats.org/officeDocument/2006/relationships/hyperlink" Id="rId19"/>
    <Relationship TargetMode="External" Target="https://www.legis.iowa.gov/docs/iac/rule/441.41.28.pdf" Type="http://schemas.openxmlformats.org/officeDocument/2006/relationships/hyperlink" Id="rId20"/>
    <Relationship TargetMode="External" Target="https://www.legis.iowa.gov/docs/iac/chapter/441.7.pdf" Type="http://schemas.openxmlformats.org/officeDocument/2006/relationships/hyperlink" Id="rId21"/>
    <Relationship TargetMode="External" Target="https://www.legis.iowa.gov/docs/iac/rule/441.41.28.pdf" Type="http://schemas.openxmlformats.org/officeDocument/2006/relationships/hyperlink" Id="rId22"/>
    <Relationship TargetMode="External" Target="https://www.legis.iowa.gov/docs/iac/rule/441.41.28.pdf" Type="http://schemas.openxmlformats.org/officeDocument/2006/relationships/hyperlink" Id="rId23"/>
    <Relationship TargetMode="External" Target="https://www.legis.iowa.gov/docs/iac/rule/441.41.22.pdf" Type="http://schemas.openxmlformats.org/officeDocument/2006/relationships/hyperlink" Id="rId24"/>
    <Relationship TargetMode="External" Target="https://www.legis.iowa.gov/docs/ico/chapter/239B.2.pdf" Type="http://schemas.openxmlformats.org/officeDocument/2006/relationships/hyperlink" Id="rId25"/>
    <Relationship TargetMode="External" Target="https://www.legis.iowa.gov/docs/ico/chapter/239B.3.pdf" Type="http://schemas.openxmlformats.org/officeDocument/2006/relationships/hyperlink" Id="rId26"/>
    <Relationship TargetMode="External" Target="https://www.legis.iowa.gov/docs/ico/chapter/239B.7.pdf" Type="http://schemas.openxmlformats.org/officeDocument/2006/relationships/hyperlink" Id="rId27"/>
    <Relationship TargetMode="External" Target="https://www.legis.iowa.gov/docs/ico/chapter/239B.14.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