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164</w:t>
      </w:r>
    </w:p>
    <w:p>
      <w:pPr>
        <w:spacing w:before="0" w:after="0"/>
        <w:ind w:left="120"/>
        <w:jc w:val="center"/>
      </w:pPr>
      <w:r>
        <w:rPr>
          <w:rFonts w:ascii="Times New Roman" w:hAnsi="Times New Roman"/>
          <w:b w:val="false"/>
          <w:i w:val="false"/>
          <w:color w:val="000000"/>
          <w:sz w:val="21"/>
        </w:rPr>
        <w:t>MORE OPTIONS FOR MATERNAL SUPPORT (MOMS)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441—164.1</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 xml:space="preserve">means an individual receiving the services enumerated in Iowa Code section </w:t>
      </w:r>
      <w:hyperlink r:id="rId5">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 xml:space="preserve">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“Pregnancy support services”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more options for maternal support (MOMS) program outlined in Iowa Code section </w:t>
      </w:r>
      <w:hyperlink r:id="rId7">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administrator” </w:t>
      </w:r>
      <w:r>
        <w:rPr>
          <w:rFonts w:ascii="Times New Roman" w:hAnsi="Times New Roman"/>
          <w:b w:val="false"/>
          <w:i w:val="false"/>
          <w:color w:val="000000"/>
          <w:sz w:val="22"/>
        </w:rPr>
        <w:t xml:space="preserve">means the department or a nonprofit entity incorporated in this state with a tax-exempt status pursuant to Section 501(c)(3) of the Internal Revenue Code that is awarded a contract by the department to administer the program, including managing a statewide network of providers and other duties outlined in Iowa Code section </w:t>
      </w:r>
      <w:hyperlink r:id="rId8">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of pregnancy support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“provider”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441—164.2</w:t>
      </w:r>
      <w:r>
        <w:rPr>
          <w:rFonts w:ascii="Times New Roman" w:hAnsi="Times New Roman"/>
          <w:b/>
          <w:i w:val="false"/>
          <w:color w:val="000000"/>
          <w:sz w:val="22"/>
        </w:rPr>
        <w:t xml:space="preserve">(217) </w:t>
      </w:r>
      <w:r>
        <w:rPr>
          <w:rFonts w:ascii="Times New Roman" w:hAnsi="Times New Roman"/>
          <w:b/>
          <w:i w:val="false"/>
          <w:color w:val="000000"/>
          <w:sz w:val="22"/>
        </w:rPr>
        <w:t xml:space="preserve">Pregnancy support services. </w:t>
      </w:r>
      <w:r>
        <w:rPr>
          <w:rFonts w:ascii="Times New Roman" w:hAnsi="Times New Roman"/>
          <w:b w:val="false"/>
          <w:i w:val="false"/>
          <w:color w:val="000000"/>
          <w:sz w:val="22"/>
        </w:rPr>
        <w:t>Pregnancy support services do not include health care treatment or services for purposes of the Health Insurance Portability and Accountability Act of 1996.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441—164.3</w:t>
      </w:r>
      <w:r>
        <w:rPr>
          <w:rFonts w:ascii="Times New Roman" w:hAnsi="Times New Roman"/>
          <w:b/>
          <w:i w:val="false"/>
          <w:color w:val="000000"/>
          <w:sz w:val="22"/>
        </w:rPr>
        <w:t xml:space="preserve">(217) </w:t>
      </w:r>
      <w:r>
        <w:rPr>
          <w:rFonts w:ascii="Times New Roman" w:hAnsi="Times New Roman"/>
          <w:b/>
          <w:i w:val="false"/>
          <w:color w:val="000000"/>
          <w:sz w:val="22"/>
        </w:rPr>
        <w:t xml:space="preserve">Program administrator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164.3(1)</w:t>
      </w:r>
      <w:r>
        <w:rPr>
          <w:rFonts w:ascii="Times New Roman" w:hAnsi="Times New Roman"/>
          <w:b w:val="false"/>
          <w:i w:val="false"/>
          <w:color w:val="000000"/>
          <w:sz w:val="22"/>
        </w:rPr>
        <w:t> </w:t>
      </w:r>
      <w:r>
        <w:rPr>
          <w:rFonts w:ascii="Times New Roman" w:hAnsi="Times New Roman"/>
          <w:b w:val="false"/>
          <w:i w:val="false"/>
          <w:color w:val="000000"/>
          <w:sz w:val="22"/>
        </w:rPr>
        <w:t>If a nonprofit entity is awarded a contract by the department though the request for proposals process to administer the program, that program administrator may assume ownership and oversight of any existing contracts providers have with the department. The program administrator will work with the department to facilitate and execute the contract reassignments.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164.3(2)</w:t>
      </w:r>
      <w:r>
        <w:rPr>
          <w:rFonts w:ascii="Times New Roman" w:hAnsi="Times New Roman"/>
          <w:b w:val="false"/>
          <w:i w:val="false"/>
          <w:color w:val="000000"/>
          <w:sz w:val="22"/>
        </w:rPr>
        <w:t> </w:t>
      </w:r>
      <w:r>
        <w:rPr>
          <w:rFonts w:ascii="Times New Roman" w:hAnsi="Times New Roman"/>
          <w:b w:val="false"/>
          <w:i w:val="false"/>
          <w:color w:val="000000"/>
          <w:sz w:val="22"/>
        </w:rPr>
        <w:t>A program administrator shall prepare and submit an annual program evaluation report in a format prescribed by the department at the end of each contracted year. The program administrator shall use the results of the evaluation report at a minimum to support and assist providers in the continuous quality improvement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164.3(3)</w:t>
      </w:r>
      <w:r>
        <w:rPr>
          <w:rFonts w:ascii="Times New Roman" w:hAnsi="Times New Roman"/>
          <w:b w:val="false"/>
          <w:i w:val="false"/>
          <w:color w:val="000000"/>
          <w:sz w:val="22"/>
        </w:rPr>
        <w:t> </w:t>
      </w:r>
      <w:r>
        <w:rPr>
          <w:rFonts w:ascii="Times New Roman" w:hAnsi="Times New Roman"/>
          <w:b w:val="false"/>
          <w:i w:val="false"/>
          <w:color w:val="000000"/>
          <w:sz w:val="22"/>
        </w:rPr>
        <w:t>A program administrator shall maintain a minimum number of providers, as specified by the department, to include any provider contracts reassigned by the department,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164.3(4)</w:t>
      </w:r>
      <w:r>
        <w:rPr>
          <w:rFonts w:ascii="Times New Roman" w:hAnsi="Times New Roman"/>
          <w:b w:val="false"/>
          <w:i w:val="false"/>
          <w:color w:val="000000"/>
          <w:sz w:val="22"/>
        </w:rPr>
        <w:t> </w:t>
      </w:r>
      <w:r>
        <w:rPr>
          <w:rFonts w:ascii="Times New Roman" w:hAnsi="Times New Roman"/>
          <w:b w:val="false"/>
          <w:i w:val="false"/>
          <w:color w:val="000000"/>
          <w:sz w:val="22"/>
        </w:rPr>
        <w:t>A program administrator shall only be eligible to receive reimbursement for services described in its contract and shall not charge additional fees to the department or to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441—164.4</w:t>
      </w:r>
      <w:r>
        <w:rPr>
          <w:rFonts w:ascii="Times New Roman" w:hAnsi="Times New Roman"/>
          <w:b/>
          <w:i w:val="false"/>
          <w:color w:val="000000"/>
          <w:sz w:val="22"/>
        </w:rPr>
        <w:t xml:space="preserve">(217) </w:t>
      </w:r>
      <w:r>
        <w:rPr>
          <w:rFonts w:ascii="Times New Roman" w:hAnsi="Times New Roman"/>
          <w:b/>
          <w:i w:val="false"/>
          <w:color w:val="000000"/>
          <w:sz w:val="22"/>
        </w:rPr>
        <w:t xml:space="preserve">Client feedback. </w:t>
      </w:r>
      <w:r>
        <w:rPr>
          <w:rFonts w:ascii="Times New Roman" w:hAnsi="Times New Roman"/>
          <w:b w:val="false"/>
          <w:i w:val="false"/>
          <w:color w:val="000000"/>
          <w:sz w:val="22"/>
        </w:rPr>
        <w:t>The department will create a process for clients to provide confidential feedback regarding their experience with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441—164.5</w:t>
      </w:r>
      <w:r>
        <w:rPr>
          <w:rFonts w:ascii="Times New Roman" w:hAnsi="Times New Roman"/>
          <w:b/>
          <w:i w:val="false"/>
          <w:color w:val="000000"/>
          <w:sz w:val="22"/>
        </w:rPr>
        <w:t xml:space="preserve">(217)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applicant for program administrator, provider, or client who disagrees with a decision of the department may submit an appeal in accordance with </w:t>
      </w:r>
      <w:hyperlink r:id="rId1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9105C</w:t>
      </w:r>
      <w:r>
        <w:rPr>
          <w:rFonts w:ascii="Times New Roman" w:hAnsi="Times New Roman"/>
          <w:b w:val="false"/>
          <w:i w:val="false"/>
          <w:color w:val="000000"/>
          <w:sz w:val="21"/>
        </w:rPr>
        <w:t xml:space="preserve"> (Notice ARC 8541C, IAB 12/11/24)</w:t>
      </w:r>
      <w:r>
        <w:rPr>
          <w:rFonts w:ascii="Times New Roman" w:hAnsi="Times New Roman"/>
          <w:b w:val="false"/>
          <w:i w:val="false"/>
          <w:color w:val="000000"/>
          <w:sz w:val="21"/>
        </w:rPr>
        <w:t>, IAB 4/16/25,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7.41C.pdf" Type="http://schemas.openxmlformats.org/officeDocument/2006/relationships/hyperlink" Id="rId5"/>
    <Relationship TargetMode="External" Target="https://www.legis.iowa.gov/docs/ico/chapter/217.41C.pdf" Type="http://schemas.openxmlformats.org/officeDocument/2006/relationships/hyperlink" Id="rId6"/>
    <Relationship TargetMode="External" Target="https://www.legis.iowa.gov/docs/ico/chapter/217.41C.pdf" Type="http://schemas.openxmlformats.org/officeDocument/2006/relationships/hyperlink" Id="rId7"/>
    <Relationship TargetMode="External" Target="https://www.legis.iowa.gov/docs/ico/chapter/217.41C.pdf" Type="http://schemas.openxmlformats.org/officeDocument/2006/relationships/hyperlink" Id="rId8"/>
    <Relationship TargetMode="External" Target="https://www.legis.iowa.gov/docs/ico/chapter/217.41C.pdf" Type="http://schemas.openxmlformats.org/officeDocument/2006/relationships/hyperlink" Id="rId9"/>
    <Relationship TargetMode="External" Target="https://www.legis.iowa.gov/docs/iac/chapter/441.7.pdf" Type="http://schemas.openxmlformats.org/officeDocument/2006/relationships/hyperlink" Id="rId10"/>
    <Relationship TargetMode="External" Target="https://www.legis.iowa.gov/docs/ico/chapter/217.41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