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156</w:t>
      </w:r>
    </w:p>
    <w:p>
      <w:pPr>
        <w:spacing w:before="0" w:after="0"/>
        <w:ind w:left="120"/>
        <w:jc w:val="center"/>
      </w:pPr>
      <w:r>
        <w:rPr>
          <w:rFonts w:ascii="Times New Roman" w:hAnsi="Times New Roman"/>
          <w:b w:val="false"/>
          <w:i w:val="false"/>
          <w:color w:val="000000"/>
          <w:sz w:val="21"/>
        </w:rPr>
        <w:t>PAYMENTS FOR FOSTER CARE</w:t>
      </w:r>
    </w:p>
    <w:p>
      <w:pPr>
        <w:spacing w:before="0" w:after="0"/>
        <w:ind w:left="120"/>
        <w:jc w:val="center"/>
      </w:pPr>
      <w:r>
        <w:rPr>
          <w:rFonts w:ascii="Times New Roman" w:hAnsi="Times New Roman"/>
          <w:b w:val="false"/>
          <w:i w:val="false"/>
          <w:color w:val="000000"/>
          <w:sz w:val="14"/>
        </w:rPr>
        <w:t>[Prior to 7/1/83, Social Services[770] Ch 137]</w:t>
      </w:r>
    </w:p>
    <w:p>
      <w:pPr>
        <w:spacing w:before="0" w:after="0"/>
        <w:ind w:left="120"/>
        <w:jc w:val="center"/>
      </w:pPr>
      <w:r>
        <w:rPr>
          <w:rFonts w:ascii="Times New Roman" w:hAnsi="Times New Roman"/>
          <w:b w:val="false"/>
          <w:i w:val="false"/>
          <w:color w:val="000000"/>
          <w:sz w:val="14"/>
        </w:rPr>
        <w:t>[Previously appeared as Ch 137—renumbered IAB 2/29/84]</w:t>
      </w:r>
    </w:p>
    <w:p>
      <w:pPr>
        <w:spacing w:before="0" w:after="0"/>
        <w:ind w:left="120"/>
        <w:jc w:val="center"/>
      </w:pPr>
      <w:r>
        <w:rPr>
          <w:rFonts w:ascii="Times New Roman" w:hAnsi="Times New Roman"/>
          <w:b w:val="false"/>
          <w:i w:val="false"/>
          <w:color w:val="000000"/>
          <w:sz w:val="14"/>
        </w:rPr>
        <w:t>[Prior to 2/11/87, Human Services[498]]</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441—156.1</w:t>
      </w:r>
      <w:r>
        <w:rPr>
          <w:rFonts w:ascii="Times New Roman" w:hAnsi="Times New Roman"/>
          <w:b/>
          <w:i w:val="false"/>
          <w:color w:val="000000"/>
          <w:sz w:val="22"/>
        </w:rPr>
        <w:t xml:space="preserve">(234) </w:t>
      </w:r>
      <w:r>
        <w:rPr>
          <w:rFonts w:ascii="Times New Roman" w:hAnsi="Times New Roman"/>
          <w:b/>
          <w:i w:val="false"/>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“Child welfare services” </w:t>
      </w:r>
      <w:r>
        <w:rPr>
          <w:rFonts w:ascii="Times New Roman" w:hAnsi="Times New Roman"/>
          <w:b w:val="false"/>
          <w:i w:val="false"/>
          <w:color w:val="000000"/>
          <w:sz w:val="22"/>
        </w:rPr>
        <w:t>means age-appropriate activities to maintain a child’s connection to the child’s family and community, to promote reunification or other permanent placement, and to facilitate a child’s transition to adulthood.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“Cost of foster care” </w:t>
      </w:r>
      <w:r>
        <w:rPr>
          <w:rFonts w:ascii="Times New Roman" w:hAnsi="Times New Roman"/>
          <w:b w:val="false"/>
          <w:i w:val="false"/>
          <w:color w:val="000000"/>
          <w:sz w:val="22"/>
        </w:rPr>
        <w:t>means the maintenance and supervision costs of foster family care, the maintenance costs and child welfare service costs of group care, and the maintenance and service costs of supervised apartment living and shelter care. The cost for foster family care supervision and for supervised apartment living services provided directly by the department caseworker shall be $250 per month. When using this average monthly charge results in unearned income or parental liability being collected in excess of the cost of foster care, the excess funds shall be placed in the child’s escrow account. The cost for supervised apartment living services purchased from a private provider shall be the actual costs paid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“Department” </w:t>
      </w:r>
      <w:r>
        <w:rPr>
          <w:rFonts w:ascii="Times New Roman" w:hAnsi="Times New Roman"/>
          <w:b w:val="false"/>
          <w:i w:val="false"/>
          <w:color w:val="000000"/>
          <w:sz w:val="22"/>
        </w:rPr>
        <w:t>means the Iowa department of human services and includes the local offices of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“Director” </w:t>
      </w:r>
      <w:r>
        <w:rPr>
          <w:rFonts w:ascii="Times New Roman" w:hAnsi="Times New Roman"/>
          <w:b w:val="false"/>
          <w:i w:val="false"/>
          <w:color w:val="000000"/>
          <w:sz w:val="22"/>
        </w:rPr>
        <w:t>means the director of the department of human services or the director’s designee.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“Earned income” </w:t>
      </w:r>
      <w:r>
        <w:rPr>
          <w:rFonts w:ascii="Times New Roman" w:hAnsi="Times New Roman"/>
          <w:b w:val="false"/>
          <w:i w:val="false"/>
          <w:color w:val="000000"/>
          <w:sz w:val="22"/>
        </w:rPr>
        <w:t>means income in the form of a salary, wages, tips, bonuses, commissions earned as an employee, income from job corps or profit from self-employment.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“Escrow account” </w:t>
      </w:r>
      <w:r>
        <w:rPr>
          <w:rFonts w:ascii="Times New Roman" w:hAnsi="Times New Roman"/>
          <w:b w:val="false"/>
          <w:i w:val="false"/>
          <w:color w:val="000000"/>
          <w:sz w:val="22"/>
        </w:rPr>
        <w:t>means an interest bearing account in a bank or savings and loan association that is maintained by the department in the name of a particular child.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“Family foster care supervision” </w:t>
      </w:r>
      <w:r>
        <w:rPr>
          <w:rFonts w:ascii="Times New Roman" w:hAnsi="Times New Roman"/>
          <w:b w:val="false"/>
          <w:i w:val="false"/>
          <w:color w:val="000000"/>
          <w:sz w:val="22"/>
        </w:rPr>
        <w:t>means the support, assistance, and oversight provided by department caseworkers to children in family foster care and directed toward achievement of the child’s permanency plan goals.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“Foster care” </w:t>
      </w:r>
      <w:r>
        <w:rPr>
          <w:rFonts w:ascii="Times New Roman" w:hAnsi="Times New Roman"/>
          <w:b w:val="false"/>
          <w:i w:val="false"/>
          <w:color w:val="000000"/>
          <w:sz w:val="22"/>
        </w:rPr>
        <w:t>means substitute care furnished on a 24-hour-a-day basis to an eligible child in a licensed or approved facility by a person or agency other than the child’s parent or guardian but does not include care provided in a family home through an informal arrangement for a period of 20 days or less. Child foster care shall include but is not limited to the provision of food, lodging, training, education, supervision and health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“Foster family care” </w:t>
      </w:r>
      <w:r>
        <w:rPr>
          <w:rFonts w:ascii="Times New Roman" w:hAnsi="Times New Roman"/>
          <w:b w:val="false"/>
          <w:i w:val="false"/>
          <w:color w:val="000000"/>
          <w:sz w:val="22"/>
        </w:rPr>
        <w:t xml:space="preserve">means foster care provided by a foster family licensed by the department according to </w:t>
      </w:r>
      <w:hyperlink r:id="rId5">
        <w:r>
          <w:rPr>
            <w:rStyle w:val="Hyperlink"/>
            <w:rFonts w:ascii="Times New Roman" w:hAnsi="Times New Roman"/>
            <w:b w:val="false"/>
            <w:i w:val="false"/>
            <w:color w:val="000000"/>
            <w:sz w:val="22"/>
          </w:rPr>
          <w:t>441—Chapter 113</w:t>
        </w:r>
      </w:hyperlink>
      <w:r>
        <w:rPr>
          <w:rFonts w:ascii="Times New Roman" w:hAnsi="Times New Roman"/>
          <w:b w:val="false"/>
          <w:i w:val="false"/>
          <w:color w:val="000000"/>
          <w:sz w:val="22"/>
        </w:rPr>
        <w:t xml:space="preserve"> or licensed or approved by the placing state. The care includes the provision of food, lodging, clothing, transportation, recreation, and training that is appropriate for the child’s age and mental and physical capacity.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“Group care maintenance” </w:t>
      </w:r>
      <w:r>
        <w:rPr>
          <w:rFonts w:ascii="Times New Roman" w:hAnsi="Times New Roman"/>
          <w:b w:val="false"/>
          <w:i w:val="false"/>
          <w:color w:val="000000"/>
          <w:sz w:val="22"/>
        </w:rPr>
        <w:t>means food, clothing, shelter, school supplies, personal incidentals, daily care, general parenting, discipline, and supervision of children to ensure their well-being and safety, and administration of maintenance items provided in a group care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“Income” </w:t>
      </w:r>
      <w:r>
        <w:rPr>
          <w:rFonts w:ascii="Times New Roman" w:hAnsi="Times New Roman"/>
          <w:b w:val="false"/>
          <w:i w:val="false"/>
          <w:color w:val="000000"/>
          <w:sz w:val="22"/>
        </w:rPr>
        <w:t>means earned and unearned income.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“Inflation factor” </w:t>
      </w:r>
      <w:r>
        <w:rPr>
          <w:rFonts w:ascii="Times New Roman" w:hAnsi="Times New Roman"/>
          <w:b w:val="false"/>
          <w:i w:val="false"/>
          <w:color w:val="000000"/>
          <w:sz w:val="22"/>
        </w:rPr>
        <w:t>means the amount by which the consumer price index for all urban consumers increased during the calendar year ending December 31 that preceded the contractor’s fiscal year end.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“Intellectual disabilities professional” </w:t>
      </w:r>
      <w:r>
        <w:rPr>
          <w:rFonts w:ascii="Times New Roman" w:hAnsi="Times New Roman"/>
          <w:b w:val="false"/>
          <w:i w:val="false"/>
          <w:color w:val="000000"/>
          <w:sz w:val="22"/>
        </w:rPr>
        <w:t>means a psychologist, physician, registered nurse, educator, social worker, physical or occupational therapist, speech therapist or audiologist who meets the educational requirements for the profession, as required in the state of Iowa, and has at least one year of experience working with persons with an intellectual disability.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“Kinship caregiver” </w:t>
      </w:r>
      <w:r>
        <w:rPr>
          <w:rFonts w:ascii="Times New Roman" w:hAnsi="Times New Roman"/>
          <w:b w:val="false"/>
          <w:i w:val="false"/>
          <w:color w:val="000000"/>
          <w:sz w:val="22"/>
        </w:rPr>
        <w:t xml:space="preserve">means, for this chapter only, a person to whom a child is related by blood, marriage, or adoption, or a person who has a significant, committed, positive relationship with the child, who is caring for a child in foster care, pursuant to Iowa Code chapter </w:t>
      </w:r>
      <w:hyperlink r:id="rId6">
        <w:r>
          <w:rPr>
            <w:rStyle w:val="Hyperlink"/>
            <w:rFonts w:ascii="Times New Roman" w:hAnsi="Times New Roman"/>
            <w:b w:val="false"/>
            <w:i w:val="false"/>
            <w:color w:val="000000"/>
            <w:sz w:val="22"/>
          </w:rPr>
          <w:t>232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“Mental health professional” </w:t>
      </w:r>
      <w:r>
        <w:rPr>
          <w:rFonts w:ascii="Times New Roman" w:hAnsi="Times New Roman"/>
          <w:b w:val="false"/>
          <w:i w:val="false"/>
          <w:color w:val="000000"/>
          <w:sz w:val="22"/>
        </w:rPr>
        <w:t>means a person who meets all of the following conditions: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Holds at least a master’s degree in a mental health field including, but not limited to, psychology, counseling and guidance, psychiatric nursing and social work; or is a doctor of medicine or osteopathic medicine; and</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Holds a current Iowa license when required by the Iowa professional licensure laws (such as a psychiatrist, a psychologist, a marital and family therapist, a mental health counselor, an advanced registered nurse practitioner, a psychiatric nurse, or a social worker); and</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Has at least two years of postdegree experience supervised by a mental health professional in assessing mental health problems, mental illness, and service needs and in providing mental health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“Parent” </w:t>
      </w:r>
      <w:r>
        <w:rPr>
          <w:rFonts w:ascii="Times New Roman" w:hAnsi="Times New Roman"/>
          <w:b w:val="false"/>
          <w:i w:val="false"/>
          <w:color w:val="000000"/>
          <w:sz w:val="22"/>
        </w:rPr>
        <w:t>means the biological or adoptive parent of the child.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“Parental liability” </w:t>
      </w:r>
      <w:r>
        <w:rPr>
          <w:rFonts w:ascii="Times New Roman" w:hAnsi="Times New Roman"/>
          <w:b w:val="false"/>
          <w:i w:val="false"/>
          <w:color w:val="000000"/>
          <w:sz w:val="22"/>
        </w:rPr>
        <w:t xml:space="preserve">means a parent’s liability for the support of a child during the period of foster care placement. Liability shall be determined pursuant to </w:t>
      </w:r>
      <w:hyperlink r:id="rId7">
        <w:r>
          <w:rPr>
            <w:rStyle w:val="Hyperlink"/>
            <w:rFonts w:ascii="Times New Roman" w:hAnsi="Times New Roman"/>
            <w:b w:val="false"/>
            <w:i w:val="false"/>
            <w:color w:val="000000"/>
            <w:sz w:val="22"/>
          </w:rPr>
          <w:t>441—Chapter 99</w:t>
        </w:r>
      </w:hyperlink>
      <w:r>
        <w:rPr>
          <w:rFonts w:ascii="Times New Roman" w:hAnsi="Times New Roman"/>
          <w:b w:val="false"/>
          <w:i w:val="false"/>
          <w:color w:val="000000"/>
          <w:sz w:val="22"/>
        </w:rPr>
        <w:t>, Division 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“Physician” </w:t>
      </w:r>
      <w:r>
        <w:rPr>
          <w:rFonts w:ascii="Times New Roman" w:hAnsi="Times New Roman"/>
          <w:b w:val="false"/>
          <w:i w:val="false"/>
          <w:color w:val="000000"/>
          <w:sz w:val="22"/>
        </w:rPr>
        <w:t xml:space="preserve">means a licensed medical or osteopathic doctor as defined in Iowa Code section </w:t>
      </w:r>
      <w:hyperlink r:id="rId8">
        <w:r>
          <w:rPr>
            <w:rStyle w:val="Hyperlink"/>
            <w:rFonts w:ascii="Times New Roman" w:hAnsi="Times New Roman"/>
            <w:b w:val="false"/>
            <w:i w:val="false"/>
            <w:color w:val="000000"/>
            <w:sz w:val="22"/>
          </w:rPr>
          <w:t>135.1(4)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“Prevailing rate” </w:t>
      </w:r>
      <w:r>
        <w:rPr>
          <w:rFonts w:ascii="Times New Roman" w:hAnsi="Times New Roman"/>
          <w:b w:val="false"/>
          <w:i w:val="false"/>
          <w:color w:val="000000"/>
          <w:sz w:val="22"/>
        </w:rPr>
        <w:t>means the maximum combined service and maintenance reimbursement rate the department pays to contracted shelter care providers as authorized by the legislature.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“Provider” </w:t>
      </w:r>
      <w:r>
        <w:rPr>
          <w:rFonts w:ascii="Times New Roman" w:hAnsi="Times New Roman"/>
          <w:b w:val="false"/>
          <w:i w:val="false"/>
          <w:color w:val="000000"/>
          <w:sz w:val="22"/>
        </w:rPr>
        <w:t>means the entity that has executed a contract with the department to provide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“Service area manager” </w:t>
      </w:r>
      <w:r>
        <w:rPr>
          <w:rFonts w:ascii="Times New Roman" w:hAnsi="Times New Roman"/>
          <w:b w:val="false"/>
          <w:i w:val="false"/>
          <w:color w:val="000000"/>
          <w:sz w:val="22"/>
        </w:rPr>
        <w:t>means the department employee or designee responsible for managing department offices and personnel within the service area and for implementing policies and procedures of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“Special needs child” </w:t>
      </w:r>
      <w:r>
        <w:rPr>
          <w:rFonts w:ascii="Times New Roman" w:hAnsi="Times New Roman"/>
          <w:b w:val="false"/>
          <w:i w:val="false"/>
          <w:color w:val="000000"/>
          <w:sz w:val="22"/>
        </w:rPr>
        <w:t xml:space="preserve">means a child with needs for emotional care, behavioral care, or physical and personal care that require additional skills, knowledge, or responsibility on the part of the foster parents, as measured by Form 470-4401, Foster Child Behavioral Assessment. See subrule </w:t>
      </w:r>
      <w:hyperlink r:id="rId9">
        <w:r>
          <w:rPr>
            <w:rStyle w:val="Hyperlink"/>
            <w:rFonts w:ascii="Times New Roman" w:hAnsi="Times New Roman"/>
            <w:b w:val="false"/>
            <w:i w:val="false"/>
            <w:color w:val="000000"/>
            <w:sz w:val="22"/>
          </w:rPr>
          <w:t>156.6(4)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“Unearned income” </w:t>
      </w:r>
      <w:r>
        <w:rPr>
          <w:rFonts w:ascii="Times New Roman" w:hAnsi="Times New Roman"/>
          <w:b w:val="false"/>
          <w:i w:val="false"/>
          <w:color w:val="000000"/>
          <w:sz w:val="22"/>
        </w:rPr>
        <w:t>means any income that is not earned income and includes supplemental security income (SSI) and other funds available to a child residing in a foster care placement.</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10">
        <w:r>
          <w:rPr>
            <w:rStyle w:val="Hyperlink"/>
            <w:rFonts w:ascii="Times New Roman" w:hAnsi="Times New Roman"/>
            <w:b w:val="false"/>
            <w:i w:val="false"/>
            <w:color w:val="000000"/>
            <w:sz w:val="22"/>
          </w:rPr>
          <w:t>234.39</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7606B</w:t>
      </w:r>
      <w:r>
        <w:rPr>
          <w:rFonts w:ascii="Times New Roman" w:hAnsi="Times New Roman"/>
          <w:b w:val="false"/>
          <w:i w:val="false"/>
          <w:color w:val="000000"/>
          <w:sz w:val="16"/>
        </w:rPr>
        <w:t>, IAB 3/11/09, effective 5/1/09</w:t>
      </w:r>
      <w:r>
        <w:rPr>
          <w:rFonts w:ascii="Times New Roman" w:hAnsi="Times New Roman"/>
          <w:b w:val="false"/>
          <w:i w:val="false"/>
          <w:color w:val="000000"/>
          <w:sz w:val="16"/>
        </w:rPr>
        <w:t xml:space="preserve">; </w:t>
      </w:r>
      <w:r>
        <w:rPr>
          <w:rFonts w:ascii="Times New Roman" w:hAnsi="Times New Roman"/>
          <w:b/>
          <w:i w:val="false"/>
          <w:color w:val="000000"/>
          <w:sz w:val="16"/>
        </w:rPr>
        <w:t>ARC 7741B</w:t>
      </w:r>
      <w:r>
        <w:rPr>
          <w:rFonts w:ascii="Times New Roman" w:hAnsi="Times New Roman"/>
          <w:b w:val="false"/>
          <w:i w:val="false"/>
          <w:color w:val="000000"/>
          <w:sz w:val="16"/>
        </w:rPr>
        <w:t>, IAB 5/6/09, effective 7/1/09</w:t>
      </w:r>
      <w:r>
        <w:rPr>
          <w:rFonts w:ascii="Times New Roman" w:hAnsi="Times New Roman"/>
          <w:b w:val="false"/>
          <w:i w:val="false"/>
          <w:color w:val="000000"/>
          <w:sz w:val="16"/>
        </w:rPr>
        <w:t xml:space="preserve">; </w:t>
      </w:r>
      <w:r>
        <w:rPr>
          <w:rFonts w:ascii="Times New Roman" w:hAnsi="Times New Roman"/>
          <w:b/>
          <w:i w:val="false"/>
          <w:color w:val="000000"/>
          <w:sz w:val="16"/>
        </w:rPr>
        <w:t>ARC 8010B</w:t>
      </w:r>
      <w:r>
        <w:rPr>
          <w:rFonts w:ascii="Times New Roman" w:hAnsi="Times New Roman"/>
          <w:b w:val="false"/>
          <w:i w:val="false"/>
          <w:color w:val="000000"/>
          <w:sz w:val="16"/>
        </w:rPr>
        <w:t>, IAB 7/29/09, effective 10/1/09</w:t>
      </w:r>
      <w:r>
        <w:rPr>
          <w:rFonts w:ascii="Times New Roman" w:hAnsi="Times New Roman"/>
          <w:b w:val="false"/>
          <w:i w:val="false"/>
          <w:color w:val="000000"/>
          <w:sz w:val="16"/>
        </w:rPr>
        <w:t xml:space="preserve">; </w:t>
      </w:r>
      <w:r>
        <w:rPr>
          <w:rFonts w:ascii="Times New Roman" w:hAnsi="Times New Roman"/>
          <w:b/>
          <w:i w:val="false"/>
          <w:color w:val="000000"/>
          <w:sz w:val="16"/>
        </w:rPr>
        <w:t>ARC 2885C</w:t>
      </w:r>
      <w:r>
        <w:rPr>
          <w:rFonts w:ascii="Times New Roman" w:hAnsi="Times New Roman"/>
          <w:b w:val="false"/>
          <w:i w:val="false"/>
          <w:color w:val="000000"/>
          <w:sz w:val="16"/>
        </w:rPr>
        <w:t>, IAB 1/4/17, effective 3/1/17</w:t>
      </w:r>
      <w:r>
        <w:rPr>
          <w:rFonts w:ascii="Times New Roman" w:hAnsi="Times New Roman"/>
          <w:b w:val="false"/>
          <w:i w:val="false"/>
          <w:color w:val="000000"/>
          <w:sz w:val="16"/>
        </w:rPr>
        <w:t xml:space="preserve">; </w:t>
      </w:r>
      <w:r>
        <w:rPr>
          <w:rFonts w:ascii="Times New Roman" w:hAnsi="Times New Roman"/>
          <w:b/>
          <w:i w:val="false"/>
          <w:color w:val="000000"/>
          <w:sz w:val="16"/>
        </w:rPr>
        <w:t>ARC 5540C</w:t>
      </w:r>
      <w:r>
        <w:rPr>
          <w:rFonts w:ascii="Times New Roman" w:hAnsi="Times New Roman"/>
          <w:b w:val="false"/>
          <w:i w:val="false"/>
          <w:color w:val="000000"/>
          <w:sz w:val="16"/>
        </w:rPr>
        <w:t>, IAB 4/7/21, effective 7/1/21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441—156.2</w:t>
      </w:r>
      <w:r>
        <w:rPr>
          <w:rFonts w:ascii="Times New Roman" w:hAnsi="Times New Roman"/>
          <w:b/>
          <w:i w:val="false"/>
          <w:color w:val="000000"/>
          <w:sz w:val="22"/>
        </w:rPr>
        <w:t xml:space="preserve">(234) </w:t>
      </w:r>
      <w:r>
        <w:rPr>
          <w:rFonts w:ascii="Times New Roman" w:hAnsi="Times New Roman"/>
          <w:b/>
          <w:i w:val="false"/>
          <w:color w:val="000000"/>
          <w:sz w:val="22"/>
        </w:rPr>
        <w:t xml:space="preserve">Foster care recovery. </w:t>
      </w:r>
      <w:r>
        <w:rPr>
          <w:rFonts w:ascii="Times New Roman" w:hAnsi="Times New Roman"/>
          <w:b w:val="false"/>
          <w:i w:val="false"/>
          <w:color w:val="000000"/>
          <w:sz w:val="22"/>
        </w:rPr>
        <w:t xml:space="preserve">The department shall recover the cost of foster care provided by the department pursuant to the rules in this chapter and the rules in </w:t>
      </w:r>
      <w:hyperlink r:id="rId11">
        <w:r>
          <w:rPr>
            <w:rStyle w:val="Hyperlink"/>
            <w:rFonts w:ascii="Times New Roman" w:hAnsi="Times New Roman"/>
            <w:b w:val="false"/>
            <w:i w:val="false"/>
            <w:color w:val="000000"/>
            <w:sz w:val="22"/>
          </w:rPr>
          <w:t>441—Chapter 99</w:t>
        </w:r>
      </w:hyperlink>
      <w:r>
        <w:rPr>
          <w:rFonts w:ascii="Times New Roman" w:hAnsi="Times New Roman"/>
          <w:b w:val="false"/>
          <w:i w:val="false"/>
          <w:color w:val="000000"/>
          <w:sz w:val="22"/>
        </w:rPr>
        <w:t>, Division I, which establishes policies and procedures for the computation and collection of parental liability.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156.2(1)</w:t>
      </w:r>
      <w:r>
        <w:rPr>
          <w:rFonts w:ascii="Times New Roman" w:hAnsi="Times New Roman"/>
          <w:b w:val="false"/>
          <w:i w:val="false"/>
          <w:color w:val="000000"/>
          <w:sz w:val="22"/>
        </w:rPr>
        <w:t> </w:t>
      </w:r>
      <w:r>
        <w:rPr>
          <w:rFonts w:ascii="Times New Roman" w:hAnsi="Times New Roman"/>
          <w:b w:val="false"/>
          <w:i w:val="false"/>
          <w:color w:val="000000"/>
          <w:sz w:val="22"/>
        </w:rPr>
        <w:t>Funds shall be applied to the cost of foster care in the following order and each source exhausted before utilizing the next funding source: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Unearned income of the child.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Parental liability of the noncustodial parent.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Parental liability of custodial parent(s).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156.2(2)</w:t>
      </w:r>
      <w:r>
        <w:rPr>
          <w:rFonts w:ascii="Times New Roman" w:hAnsi="Times New Roman"/>
          <w:b w:val="false"/>
          <w:i w:val="false"/>
          <w:color w:val="000000"/>
          <w:sz w:val="22"/>
        </w:rPr>
        <w:t> </w:t>
      </w:r>
      <w:r>
        <w:rPr>
          <w:rFonts w:ascii="Times New Roman" w:hAnsi="Times New Roman"/>
          <w:b w:val="false"/>
          <w:i w:val="false"/>
          <w:color w:val="000000"/>
          <w:sz w:val="22"/>
        </w:rPr>
        <w:t>The department shall serve as payee to receive the child’s unearned income. When a parent or guardian is not available or is unwilling to do so, the department shall be responsible for applying for benefits on behalf of a child placed in the care of the department. Until the department becomes payee, the payee shall forward benefits to the department. For voluntary foster care placements of children aged 18 and over, the child is the payee for the unearned income. The child shall forward these benefits, up to the actual cost of foster care, to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156.2(3)</w:t>
      </w:r>
      <w:r>
        <w:rPr>
          <w:rFonts w:ascii="Times New Roman" w:hAnsi="Times New Roman"/>
          <w:b w:val="false"/>
          <w:i w:val="false"/>
          <w:color w:val="000000"/>
          <w:sz w:val="22"/>
        </w:rPr>
        <w:t> </w:t>
      </w:r>
      <w:r>
        <w:rPr>
          <w:rFonts w:ascii="Times New Roman" w:hAnsi="Times New Roman"/>
          <w:b w:val="false"/>
          <w:i w:val="false"/>
          <w:color w:val="000000"/>
          <w:sz w:val="22"/>
        </w:rPr>
        <w:t>The custodial parent shall assign child support payments to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156.2(4)</w:t>
      </w:r>
      <w:r>
        <w:rPr>
          <w:rFonts w:ascii="Times New Roman" w:hAnsi="Times New Roman"/>
          <w:b w:val="false"/>
          <w:i w:val="false"/>
          <w:color w:val="000000"/>
          <w:sz w:val="22"/>
        </w:rPr>
        <w:t> </w:t>
      </w:r>
      <w:r>
        <w:rPr>
          <w:rFonts w:ascii="Times New Roman" w:hAnsi="Times New Roman"/>
          <w:b w:val="false"/>
          <w:i w:val="false"/>
          <w:color w:val="000000"/>
          <w:sz w:val="22"/>
        </w:rPr>
        <w:t>Unearned income of a child and parental liability of the noncustodial parent shall be placed in an account from whence it shall be applied toward the cost of the child’s current foster care and the remainder placed in an escrow account.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156.2(5)</w:t>
      </w:r>
      <w:r>
        <w:rPr>
          <w:rFonts w:ascii="Times New Roman" w:hAnsi="Times New Roman"/>
          <w:b w:val="false"/>
          <w:i w:val="false"/>
          <w:color w:val="000000"/>
          <w:sz w:val="22"/>
        </w:rPr>
        <w:t> </w:t>
      </w:r>
      <w:r>
        <w:rPr>
          <w:rFonts w:ascii="Times New Roman" w:hAnsi="Times New Roman"/>
          <w:b w:val="false"/>
          <w:i w:val="false"/>
          <w:color w:val="000000"/>
          <w:sz w:val="22"/>
        </w:rPr>
        <w:t>When a child has funds in escrow these funds may be used by the department to meet the current needs of the child not covered by the foster care payments and not prohibited by the source of the funds.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156.2(6)</w:t>
      </w:r>
      <w:r>
        <w:rPr>
          <w:rFonts w:ascii="Times New Roman" w:hAnsi="Times New Roman"/>
          <w:b w:val="false"/>
          <w:i w:val="false"/>
          <w:color w:val="000000"/>
          <w:sz w:val="22"/>
        </w:rPr>
        <w:t> </w:t>
      </w:r>
      <w:r>
        <w:rPr>
          <w:rFonts w:ascii="Times New Roman" w:hAnsi="Times New Roman"/>
          <w:b w:val="false"/>
          <w:i w:val="false"/>
          <w:color w:val="000000"/>
          <w:sz w:val="22"/>
        </w:rPr>
        <w:t>When the child leaves foster care, funds in escrow shall be paid to the custodial parent(s) or guardian or to the child when the child has attained the age of majority, unless a guardian has been appointed.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156.2(7)</w:t>
      </w:r>
      <w:r>
        <w:rPr>
          <w:rFonts w:ascii="Times New Roman" w:hAnsi="Times New Roman"/>
          <w:b w:val="false"/>
          <w:i w:val="false"/>
          <w:color w:val="000000"/>
          <w:sz w:val="22"/>
        </w:rPr>
        <w:t> </w:t>
      </w:r>
      <w:r>
        <w:rPr>
          <w:rFonts w:ascii="Times New Roman" w:hAnsi="Times New Roman"/>
          <w:b w:val="false"/>
          <w:i w:val="false"/>
          <w:color w:val="000000"/>
          <w:sz w:val="22"/>
        </w:rPr>
        <w:t>When a child who has unearned income returns home after the first day of a month, the remaining portion of the unearned income (based on the number of days in the particular month) shall be made available to the child and the child’s parents, guardian or custodian, if the child is eligible for the unearned income while in the home of a parent, guardian or custodian.</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12">
        <w:r>
          <w:rPr>
            <w:rStyle w:val="Hyperlink"/>
            <w:rFonts w:ascii="Times New Roman" w:hAnsi="Times New Roman"/>
            <w:b w:val="false"/>
            <w:i w:val="false"/>
            <w:color w:val="000000"/>
            <w:sz w:val="22"/>
          </w:rPr>
          <w:t>234.39</w:t>
        </w:r>
      </w:hyperlink>
      <w:r>
        <w:rPr>
          <w:rFonts w:ascii="Times New Roman" w:hAnsi="Times New Roman"/>
          <w:b w:val="false"/>
          <w:i w:val="false"/>
          <w:color w:val="000000"/>
          <w:sz w:val="22"/>
        </w:rPr>
        <w:t>.</w:t>
      </w:r>
    </w:p>
    <w:p>
      <w:pPr>
        <w:spacing w:before="210" w:after="0"/>
        <w:ind w:left="120"/>
        <w:jc w:val="both"/>
      </w:pPr>
      <w:r>
        <w:rPr>
          <w:rFonts w:ascii="Times New Roman" w:hAnsi="Times New Roman"/>
          <w:b/>
          <w:i w:val="false"/>
          <w:color w:val="000000"/>
          <w:sz w:val="22"/>
        </w:rPr>
        <w:t>441—156.3</w:t>
      </w:r>
      <w:r>
        <w:rPr>
          <w:rFonts w:ascii="Times New Roman" w:hAnsi="Times New Roman"/>
          <w:b w:val="false"/>
          <w:i w:val="false"/>
          <w:color w:val="000000"/>
          <w:sz w:val="22"/>
        </w:rPr>
        <w:t xml:space="preserve"> to </w:t>
      </w:r>
      <w:r>
        <w:rPr>
          <w:rFonts w:ascii="Times New Roman" w:hAnsi="Times New Roman"/>
          <w:b/>
          <w:i w:val="false"/>
          <w:color w:val="000000"/>
          <w:sz w:val="22"/>
        </w:rPr>
        <w:t>156.5</w:t>
      </w:r>
      <w:r>
        <w:rPr>
          <w:rFonts w:ascii="Times New Roman" w:hAnsi="Times New Roman"/>
          <w:b w:val="false"/>
          <w:i w:val="false"/>
          <w:color w:val="000000"/>
          <w:sz w:val="22"/>
        </w:rPr>
        <w:t>Reserved.</w:t>
      </w:r>
    </w:p>
    <w:p>
      <w:pPr>
        <w:spacing w:before="0" w:after="0"/>
        <w:ind w:left="120"/>
        <w:jc w:val="both"/>
      </w:pPr>
      <w:r>
        <w:rPr>
          <w:rFonts w:ascii="Times New Roman" w:hAnsi="Times New Roman"/>
          <w:b/>
          <w:i w:val="false"/>
          <w:color w:val="000000"/>
          <w:sz w:val="22"/>
        </w:rPr>
        <w:t>441—156.6</w:t>
      </w:r>
      <w:r>
        <w:rPr>
          <w:rFonts w:ascii="Times New Roman" w:hAnsi="Times New Roman"/>
          <w:b/>
          <w:i w:val="false"/>
          <w:color w:val="000000"/>
          <w:sz w:val="22"/>
        </w:rPr>
        <w:t xml:space="preserve">(234) </w:t>
      </w:r>
      <w:r>
        <w:rPr>
          <w:rFonts w:ascii="Times New Roman" w:hAnsi="Times New Roman"/>
          <w:b/>
          <w:i w:val="false"/>
          <w:color w:val="000000"/>
          <w:sz w:val="22"/>
        </w:rPr>
        <w:t xml:space="preserve">Rate of maintenance payment for foster family care.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156.6(1)</w:t>
      </w:r>
      <w:r>
        <w:rPr>
          <w:rFonts w:ascii="Times New Roman" w:hAnsi="Times New Roman"/>
          <w:b w:val="false"/>
          <w:i w:val="false"/>
          <w:color w:val="000000"/>
          <w:sz w:val="22"/>
        </w:rPr>
        <w:t> </w:t>
      </w:r>
      <w:r>
        <w:rPr>
          <w:rFonts w:ascii="Times New Roman" w:hAnsi="Times New Roman"/>
          <w:b w:val="false"/>
          <w:i/>
          <w:color w:val="000000"/>
          <w:sz w:val="22"/>
        </w:rPr>
        <w:t xml:space="preserve">Basic rate. </w:t>
      </w:r>
      <w:r>
        <w:rPr>
          <w:rFonts w:ascii="Times New Roman" w:hAnsi="Times New Roman"/>
          <w:b w:val="false"/>
          <w:i w:val="false"/>
          <w:color w:val="000000"/>
          <w:sz w:val="22"/>
        </w:rPr>
        <w:t>A monthly payment for care in a foster family home licensed in Iowa shall be made to the foster family based on the following schedule:</w:t>
      </w:r>
    </w:p>
    <w:tbl>
      <w:tblPr>
        <w:tblW w:w="5000" w:type="pct"/>
        <w:tblCellSpacing w:w="0" w:type="auto"/>
        <w:tblBorders>
          <w:top w:val="none"/>
          <w:left w:val="none"/>
          <w:bottom w:val="none"/>
          <w:right w:val="none"/>
          <w:insideH w:val="none"/>
          <w:insideV w:val="none"/>
        </w:tblBorders>
        <w:tblLayout w:type="fixed"/>
      </w:tblPr>
      <w:tblGrid>
        <w:gridCol w:w="5595"/>
        <w:gridCol w:w="5595"/>
      </w:tblGrid>
      <w:tr>
        <w:trPr>
          <w:trHeight w:val="210" w:hRule="atLeast"/>
        </w:trPr>
        <w:tc>
          <w:tcPr>
            <w:tcW w:w="559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u w:val="single"/>
              </w:rPr>
              <w:t>Age of child</w:t>
            </w:r>
          </w:p>
        </w:tc>
        <w:tc>
          <w:tcPr>
            <w:tcW w:w="5595"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u w:val="single"/>
              </w:rPr>
              <w:t>Daily rate</w:t>
            </w:r>
          </w:p>
        </w:tc>
      </w:tr>
      <w:tr>
        <w:trPr>
          <w:trHeight w:val="210" w:hRule="atLeast"/>
        </w:trPr>
        <w:tc>
          <w:tcPr>
            <w:tcW w:w="559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0 through 5</w:t>
            </w:r>
          </w:p>
        </w:tc>
        <w:tc>
          <w:tcPr>
            <w:tcW w:w="5595" w:type="dxa"/>
            <w:tcBorders/>
            <w:tcMar>
              <w:top w:w="30" w:type="dxa"/>
              <w:left w:w="30" w:type="dxa"/>
              <w:bottom w:w="15" w:type="dxa"/>
              <w:right w:w="30" w:type="dxa"/>
            </w:tcMar>
            <w:vAlign w:val="top"/>
          </w:tcPr>
          <w:p>
            <w:pPr>
              <w:spacing w:before="0" w:after="0"/>
              <w:ind w:left="160"/>
              <w:jc w:val="center"/>
            </w:pPr>
            <w:r>
              <w:rPr>
                <w:rFonts w:ascii="Times New Roman" w:hAnsi="Times New Roman"/>
                <w:b w:val="false"/>
                <w:i w:val="false"/>
                <w:color w:val="000000"/>
                <w:sz w:val="16"/>
              </w:rPr>
              <w:t>$17.62</w:t>
            </w:r>
          </w:p>
        </w:tc>
      </w:tr>
      <w:tr>
        <w:trPr>
          <w:trHeight w:val="210" w:hRule="atLeast"/>
        </w:trPr>
        <w:tc>
          <w:tcPr>
            <w:tcW w:w="559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6 through 11</w:t>
            </w:r>
          </w:p>
        </w:tc>
        <w:tc>
          <w:tcPr>
            <w:tcW w:w="5595" w:type="dxa"/>
            <w:tcBorders/>
            <w:tcMar>
              <w:top w:w="30" w:type="dxa"/>
              <w:left w:w="30" w:type="dxa"/>
              <w:bottom w:w="15" w:type="dxa"/>
              <w:right w:w="30" w:type="dxa"/>
            </w:tcMar>
            <w:vAlign w:val="top"/>
          </w:tcPr>
          <w:p>
            <w:pPr>
              <w:spacing w:before="0" w:after="0"/>
              <w:ind w:left="160"/>
              <w:jc w:val="center"/>
            </w:pPr>
            <w:r>
              <w:rPr>
                <w:rFonts w:ascii="Times New Roman" w:hAnsi="Times New Roman"/>
                <w:b w:val="false"/>
                <w:i w:val="false"/>
                <w:color w:val="000000"/>
                <w:sz w:val="16"/>
              </w:rPr>
              <w:t>$18.32</w:t>
            </w:r>
          </w:p>
        </w:tc>
      </w:tr>
      <w:tr>
        <w:trPr>
          <w:trHeight w:val="210" w:hRule="atLeast"/>
        </w:trPr>
        <w:tc>
          <w:tcPr>
            <w:tcW w:w="559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12 through 15</w:t>
            </w:r>
          </w:p>
        </w:tc>
        <w:tc>
          <w:tcPr>
            <w:tcW w:w="5595" w:type="dxa"/>
            <w:tcBorders/>
            <w:tcMar>
              <w:top w:w="30" w:type="dxa"/>
              <w:left w:w="30" w:type="dxa"/>
              <w:bottom w:w="15" w:type="dxa"/>
              <w:right w:w="30" w:type="dxa"/>
            </w:tcMar>
            <w:vAlign w:val="top"/>
          </w:tcPr>
          <w:p>
            <w:pPr>
              <w:spacing w:before="0" w:after="0"/>
              <w:ind w:left="160"/>
              <w:jc w:val="center"/>
            </w:pPr>
            <w:r>
              <w:rPr>
                <w:rFonts w:ascii="Times New Roman" w:hAnsi="Times New Roman"/>
                <w:b w:val="false"/>
                <w:i w:val="false"/>
                <w:color w:val="000000"/>
                <w:sz w:val="16"/>
              </w:rPr>
              <w:t>$20.06</w:t>
            </w:r>
          </w:p>
        </w:tc>
      </w:tr>
      <w:tr>
        <w:trPr>
          <w:trHeight w:val="210" w:hRule="atLeast"/>
        </w:trPr>
        <w:tc>
          <w:tcPr>
            <w:tcW w:w="559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16 or over</w:t>
            </w:r>
          </w:p>
        </w:tc>
        <w:tc>
          <w:tcPr>
            <w:tcW w:w="5595" w:type="dxa"/>
            <w:tcBorders/>
            <w:tcMar>
              <w:top w:w="30" w:type="dxa"/>
              <w:left w:w="30" w:type="dxa"/>
              <w:bottom w:w="15" w:type="dxa"/>
              <w:right w:w="30" w:type="dxa"/>
            </w:tcMar>
            <w:vAlign w:val="top"/>
          </w:tcPr>
          <w:p>
            <w:pPr>
              <w:spacing w:before="0" w:after="0"/>
              <w:ind w:left="160"/>
              <w:jc w:val="center"/>
            </w:pPr>
            <w:r>
              <w:rPr>
                <w:rFonts w:ascii="Times New Roman" w:hAnsi="Times New Roman"/>
                <w:b w:val="false"/>
                <w:i w:val="false"/>
                <w:color w:val="000000"/>
                <w:sz w:val="16"/>
              </w:rPr>
              <w:t>$20.32</w:t>
            </w:r>
          </w:p>
        </w:tc>
      </w:tr>
    </w:tbl>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156.6(2)</w:t>
      </w:r>
      <w:r>
        <w:rPr>
          <w:rFonts w:ascii="Times New Roman" w:hAnsi="Times New Roman"/>
          <w:b w:val="false"/>
          <w:i w:val="false"/>
          <w:color w:val="000000"/>
          <w:sz w:val="22"/>
        </w:rPr>
        <w:t> </w:t>
      </w:r>
      <w:r>
        <w:rPr>
          <w:rFonts w:ascii="Times New Roman" w:hAnsi="Times New Roman"/>
          <w:b w:val="false"/>
          <w:i/>
          <w:color w:val="000000"/>
          <w:sz w:val="22"/>
        </w:rPr>
        <w:t xml:space="preserve">Out-of-state rate. </w:t>
      </w:r>
      <w:r>
        <w:rPr>
          <w:rFonts w:ascii="Times New Roman" w:hAnsi="Times New Roman"/>
          <w:b w:val="false"/>
          <w:i w:val="false"/>
          <w:color w:val="000000"/>
          <w:sz w:val="22"/>
        </w:rPr>
        <w:t>A monthly payment for care in a foster family home licensed or approved in another state shall be made to the foster family based on the rate schedule in effect in Iowa, except that the service area manager or designee may authorize a payment to the foster family at the rate in effect in the other state if the child’s family lives in that state and the goal is to reunite the child with the family.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156.6(3)</w:t>
      </w:r>
      <w:r>
        <w:rPr>
          <w:rFonts w:ascii="Times New Roman" w:hAnsi="Times New Roman"/>
          <w:b w:val="false"/>
          <w:i w:val="false"/>
          <w:color w:val="000000"/>
          <w:sz w:val="22"/>
        </w:rPr>
        <w:t> </w:t>
      </w:r>
      <w:r>
        <w:rPr>
          <w:rFonts w:ascii="Times New Roman" w:hAnsi="Times New Roman"/>
          <w:b w:val="false"/>
          <w:i/>
          <w:color w:val="000000"/>
          <w:sz w:val="22"/>
        </w:rPr>
        <w:t xml:space="preserve">Mother and child in foster care. </w:t>
      </w:r>
      <w:r>
        <w:rPr>
          <w:rFonts w:ascii="Times New Roman" w:hAnsi="Times New Roman"/>
          <w:b w:val="false"/>
          <w:i w:val="false"/>
          <w:color w:val="000000"/>
          <w:sz w:val="22"/>
        </w:rPr>
        <w:t xml:space="preserve">When the child in foster care is a mother whose young child is in placement with her, the rate paid to the foster family shall be based on the daily rate for the mother according to the rate schedule in subrules </w:t>
      </w:r>
      <w:hyperlink r:id="rId13">
        <w:r>
          <w:rPr>
            <w:rStyle w:val="Hyperlink"/>
            <w:rFonts w:ascii="Times New Roman" w:hAnsi="Times New Roman"/>
            <w:b w:val="false"/>
            <w:i w:val="false"/>
            <w:color w:val="000000"/>
            <w:sz w:val="22"/>
          </w:rPr>
          <w:t>156.6(1)</w:t>
        </w:r>
      </w:hyperlink>
      <w:r>
        <w:rPr>
          <w:rFonts w:ascii="Times New Roman" w:hAnsi="Times New Roman"/>
          <w:b w:val="false"/>
          <w:i w:val="false"/>
          <w:color w:val="000000"/>
          <w:sz w:val="22"/>
        </w:rPr>
        <w:t xml:space="preserve"> and </w:t>
      </w:r>
      <w:hyperlink r:id="rId14">
        <w:r>
          <w:rPr>
            <w:rStyle w:val="Hyperlink"/>
            <w:rFonts w:ascii="Times New Roman" w:hAnsi="Times New Roman"/>
            <w:b w:val="false"/>
            <w:i w:val="false"/>
            <w:color w:val="000000"/>
            <w:sz w:val="22"/>
          </w:rPr>
          <w:t>156.6(4)</w:t>
        </w:r>
      </w:hyperlink>
      <w:r>
        <w:rPr>
          <w:rFonts w:ascii="Times New Roman" w:hAnsi="Times New Roman"/>
          <w:b w:val="false"/>
          <w:i w:val="false"/>
          <w:color w:val="000000"/>
          <w:sz w:val="22"/>
        </w:rPr>
        <w:t xml:space="preserve"> and for the child according to the rate schedule in subrule </w:t>
      </w:r>
      <w:hyperlink r:id="rId15">
        <w:r>
          <w:rPr>
            <w:rStyle w:val="Hyperlink"/>
            <w:rFonts w:ascii="Times New Roman" w:hAnsi="Times New Roman"/>
            <w:b w:val="false"/>
            <w:i w:val="false"/>
            <w:color w:val="000000"/>
            <w:sz w:val="22"/>
          </w:rPr>
          <w:t>156.6(1)</w:t>
        </w:r>
      </w:hyperlink>
      <w:r>
        <w:rPr>
          <w:rFonts w:ascii="Times New Roman" w:hAnsi="Times New Roman"/>
          <w:b w:val="false"/>
          <w:i w:val="false"/>
          <w:color w:val="000000"/>
          <w:sz w:val="22"/>
        </w:rPr>
        <w:t>. The foster parents shall provide a portion of the young child’s rate to the mother to meet the partial maintenance needs of the young child as defined in the case permanency plan.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156.6(4)</w:t>
      </w:r>
      <w:r>
        <w:rPr>
          <w:rFonts w:ascii="Times New Roman" w:hAnsi="Times New Roman"/>
          <w:b w:val="false"/>
          <w:i w:val="false"/>
          <w:color w:val="000000"/>
          <w:sz w:val="22"/>
        </w:rPr>
        <w:t> </w:t>
      </w:r>
      <w:r>
        <w:rPr>
          <w:rFonts w:ascii="Times New Roman" w:hAnsi="Times New Roman"/>
          <w:b w:val="false"/>
          <w:i/>
          <w:color w:val="000000"/>
          <w:sz w:val="22"/>
        </w:rPr>
        <w:t xml:space="preserve">Difficulty of care payment.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For placements made before January 1, 2007, when foster parents provide care to a special needs child, the foster family shall be paid the basic maintenance rate plus $5 per day for extra expenses associated with the child’s special needs. This rate shall continue for the duration of the placement.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When a foster family provides care to a sibling group of three or more children, an additional payment of $1 per day per child may be authorized for each nonspecial needs child in the sibling group.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When the foster family’s responsibilities in the case permanency plan include providing transportation related to family or preplacement visits outside the community in which the foster family lives, the department caseworker may authorize an additional maintenance payment of $1 per day. Expenses over the monthly amount may be reimbursed with prior approval by the department caseworker. Eligible expenses shall include the actual cost of the most reasonable passenger fare or gas.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For placements made on or after January 1, 2007, the supervisor may approve an additional maintenance payment above the basic rate in subrule </w:t>
      </w:r>
      <w:hyperlink r:id="rId16">
        <w:r>
          <w:rPr>
            <w:rStyle w:val="Hyperlink"/>
            <w:rFonts w:ascii="Times New Roman" w:hAnsi="Times New Roman"/>
            <w:b w:val="false"/>
            <w:i w:val="false"/>
            <w:color w:val="000000"/>
            <w:sz w:val="22"/>
          </w:rPr>
          <w:t>156.6(1)</w:t>
        </w:r>
      </w:hyperlink>
      <w:r>
        <w:rPr>
          <w:rFonts w:ascii="Times New Roman" w:hAnsi="Times New Roman"/>
          <w:b w:val="false"/>
          <w:i w:val="false"/>
          <w:color w:val="000000"/>
          <w:sz w:val="22"/>
        </w:rPr>
        <w:t xml:space="preserve"> to meet the child’s special needs as identified by the child’s score on Form 470-4401. The department caseworker shall complete Form 470-4401 within 30 days of the child’s initial entry into foster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Additional maintenance payments made under this paragraph shall begin no earlier than the first day of the month following the month in which Form 470-4401 is completed and shall be awarded as follows: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Behavioral needs rated at level 1 qualify for a payment of $4.81 per day.</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Behavioral needs rated at level 2 qualify for a payment of $9.62 per day.</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Behavioral needs rated at level 3 qualify for a payment of $14.44 per day.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department shall review the child’s need for this difficulty of care maintenance payment using Form 470-4401:</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Whenever the child’s behavior changes significantly;</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When the child’s placement changes;</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After termination of parental rights, in preparation for negotiating an adoption subsidy or pre-subsidy payment; and</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Before a court hearing on guardianship subsidy.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All maintenance payments, including difficulty of care payments, shall be documented on Form 470-0716.</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156.6(5)</w:t>
      </w:r>
      <w:r>
        <w:rPr>
          <w:rFonts w:ascii="Times New Roman" w:hAnsi="Times New Roman"/>
          <w:b w:val="false"/>
          <w:i w:val="false"/>
          <w:color w:val="000000"/>
          <w:sz w:val="22"/>
        </w:rPr>
        <w:t> </w:t>
      </w:r>
      <w:r>
        <w:rPr>
          <w:rFonts w:ascii="Times New Roman" w:hAnsi="Times New Roman"/>
          <w:b w:val="false"/>
          <w:i/>
          <w:color w:val="000000"/>
          <w:sz w:val="22"/>
        </w:rPr>
        <w:t xml:space="preserve">Payment method. </w:t>
      </w:r>
      <w:r>
        <w:rPr>
          <w:rFonts w:ascii="Times New Roman" w:hAnsi="Times New Roman"/>
          <w:b w:val="false"/>
          <w:i w:val="false"/>
          <w:color w:val="000000"/>
          <w:sz w:val="22"/>
        </w:rPr>
        <w:t>All foster family maintenance payments shall be made directly to the foster family.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156.6(6)</w:t>
      </w:r>
      <w:r>
        <w:rPr>
          <w:rFonts w:ascii="Times New Roman" w:hAnsi="Times New Roman"/>
          <w:b w:val="false"/>
          <w:i w:val="false"/>
          <w:color w:val="000000"/>
          <w:sz w:val="22"/>
        </w:rPr>
        <w:t> </w:t>
      </w:r>
      <w:r>
        <w:rPr>
          <w:rFonts w:ascii="Times New Roman" w:hAnsi="Times New Roman"/>
          <w:b w:val="false"/>
          <w:i/>
          <w:color w:val="000000"/>
          <w:sz w:val="22"/>
        </w:rPr>
        <w:t xml:space="preserve">Return of overpayments. </w:t>
      </w:r>
      <w:r>
        <w:rPr>
          <w:rFonts w:ascii="Times New Roman" w:hAnsi="Times New Roman"/>
          <w:b w:val="false"/>
          <w:i w:val="false"/>
          <w:color w:val="000000"/>
          <w:sz w:val="22"/>
        </w:rPr>
        <w:t>When a foster family has received payments in excess of those allowed under this chapter, the department caseworker shall ask the foster family to return the overpayment. If the foster family is returning the overpayment to the department, the department caseworker will note the monthly amount the foster family agrees to pay in the family’s case file. The amount returned shall not be less than $50 per month.</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17">
        <w:r>
          <w:rPr>
            <w:rStyle w:val="Hyperlink"/>
            <w:rFonts w:ascii="Times New Roman" w:hAnsi="Times New Roman"/>
            <w:b w:val="false"/>
            <w:i w:val="false"/>
            <w:color w:val="000000"/>
            <w:sz w:val="22"/>
          </w:rPr>
          <w:t>234.38</w:t>
        </w:r>
      </w:hyperlink>
      <w:r>
        <w:rPr>
          <w:rFonts w:ascii="Times New Roman" w:hAnsi="Times New Roman"/>
          <w:b w:val="false"/>
          <w:i w:val="false"/>
          <w:color w:val="000000"/>
          <w:sz w:val="22"/>
        </w:rPr>
        <w:t xml:space="preserve"> and </w:t>
      </w:r>
      <w:r>
        <w:rPr>
          <w:rFonts w:ascii="Times New Roman" w:hAnsi="Times New Roman"/>
          <w:b w:val="false"/>
          <w:i w:val="false"/>
          <w:color w:val="000000"/>
          <w:sz w:val="22"/>
        </w:rPr>
        <w:t>2013 Iowa Acts, Senate File 446, sections 18 and 19</w:t>
      </w:r>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8010B</w:t>
      </w:r>
      <w:r>
        <w:rPr>
          <w:rFonts w:ascii="Times New Roman" w:hAnsi="Times New Roman"/>
          <w:b w:val="false"/>
          <w:i w:val="false"/>
          <w:color w:val="000000"/>
          <w:sz w:val="16"/>
        </w:rPr>
        <w:t>, IAB 7/29/09, effective 10/1/09</w:t>
      </w:r>
      <w:r>
        <w:rPr>
          <w:rFonts w:ascii="Times New Roman" w:hAnsi="Times New Roman"/>
          <w:b w:val="false"/>
          <w:i w:val="false"/>
          <w:color w:val="000000"/>
          <w:sz w:val="16"/>
        </w:rPr>
        <w:t xml:space="preserve">; </w:t>
      </w:r>
      <w:r>
        <w:rPr>
          <w:rFonts w:ascii="Times New Roman" w:hAnsi="Times New Roman"/>
          <w:b/>
          <w:i w:val="false"/>
          <w:color w:val="000000"/>
          <w:sz w:val="16"/>
        </w:rPr>
        <w:t>ARC 8451B</w:t>
      </w:r>
      <w:r>
        <w:rPr>
          <w:rFonts w:ascii="Times New Roman" w:hAnsi="Times New Roman"/>
          <w:b w:val="false"/>
          <w:i w:val="false"/>
          <w:color w:val="000000"/>
          <w:sz w:val="16"/>
        </w:rPr>
        <w:t>, IAB 1/13/10, effective 1/1/10</w:t>
      </w:r>
      <w:r>
        <w:rPr>
          <w:rFonts w:ascii="Times New Roman" w:hAnsi="Times New Roman"/>
          <w:b w:val="false"/>
          <w:i w:val="false"/>
          <w:color w:val="000000"/>
          <w:sz w:val="16"/>
        </w:rPr>
        <w:t xml:space="preserve">; </w:t>
      </w:r>
      <w:r>
        <w:rPr>
          <w:rFonts w:ascii="Times New Roman" w:hAnsi="Times New Roman"/>
          <w:b/>
          <w:i w:val="false"/>
          <w:color w:val="000000"/>
          <w:sz w:val="16"/>
        </w:rPr>
        <w:t>ARC 8653B</w:t>
      </w:r>
      <w:r>
        <w:rPr>
          <w:rFonts w:ascii="Times New Roman" w:hAnsi="Times New Roman"/>
          <w:b w:val="false"/>
          <w:i w:val="false"/>
          <w:color w:val="000000"/>
          <w:sz w:val="16"/>
        </w:rPr>
        <w:t>, IAB 4/7/10, effective 5/12/10</w:t>
      </w:r>
      <w:r>
        <w:rPr>
          <w:rFonts w:ascii="Times New Roman" w:hAnsi="Times New Roman"/>
          <w:b w:val="false"/>
          <w:i w:val="false"/>
          <w:color w:val="000000"/>
          <w:sz w:val="16"/>
        </w:rPr>
        <w:t xml:space="preserve">; </w:t>
      </w:r>
      <w:r>
        <w:rPr>
          <w:rFonts w:ascii="Times New Roman" w:hAnsi="Times New Roman"/>
          <w:b/>
          <w:i w:val="false"/>
          <w:color w:val="000000"/>
          <w:sz w:val="16"/>
        </w:rPr>
        <w:t>ARC 8904B</w:t>
      </w:r>
      <w:r>
        <w:rPr>
          <w:rFonts w:ascii="Times New Roman" w:hAnsi="Times New Roman"/>
          <w:b w:val="false"/>
          <w:i w:val="false"/>
          <w:color w:val="000000"/>
          <w:sz w:val="16"/>
        </w:rPr>
        <w:t>, IAB 6/30/10, effective 7/1/10</w:t>
      </w:r>
      <w:r>
        <w:rPr>
          <w:rFonts w:ascii="Times New Roman" w:hAnsi="Times New Roman"/>
          <w:b w:val="false"/>
          <w:i w:val="false"/>
          <w:color w:val="000000"/>
          <w:sz w:val="16"/>
        </w:rPr>
        <w:t xml:space="preserve">; </w:t>
      </w:r>
      <w:r>
        <w:rPr>
          <w:rFonts w:ascii="Times New Roman" w:hAnsi="Times New Roman"/>
          <w:b/>
          <w:i w:val="false"/>
          <w:color w:val="000000"/>
          <w:sz w:val="16"/>
        </w:rPr>
        <w:t>ARC 9778B</w:t>
      </w:r>
      <w:r>
        <w:rPr>
          <w:rFonts w:ascii="Times New Roman" w:hAnsi="Times New Roman"/>
          <w:b w:val="false"/>
          <w:i w:val="false"/>
          <w:color w:val="000000"/>
          <w:sz w:val="16"/>
        </w:rPr>
        <w:t>, IAB 10/5/11, effective 11/9/11</w:t>
      </w:r>
      <w:r>
        <w:rPr>
          <w:rFonts w:ascii="Times New Roman" w:hAnsi="Times New Roman"/>
          <w:b w:val="false"/>
          <w:i w:val="false"/>
          <w:color w:val="000000"/>
          <w:sz w:val="16"/>
        </w:rPr>
        <w:t xml:space="preserve">; </w:t>
      </w:r>
      <w:r>
        <w:rPr>
          <w:rFonts w:ascii="Times New Roman" w:hAnsi="Times New Roman"/>
          <w:b/>
          <w:i w:val="false"/>
          <w:color w:val="000000"/>
          <w:sz w:val="16"/>
        </w:rPr>
        <w:t>ARC 0240C</w:t>
      </w:r>
      <w:r>
        <w:rPr>
          <w:rFonts w:ascii="Times New Roman" w:hAnsi="Times New Roman"/>
          <w:b w:val="false"/>
          <w:i w:val="false"/>
          <w:color w:val="000000"/>
          <w:sz w:val="16"/>
        </w:rPr>
        <w:t>, IAB 8/8/12, effective 7/11/12</w:t>
      </w:r>
      <w:r>
        <w:rPr>
          <w:rFonts w:ascii="Times New Roman" w:hAnsi="Times New Roman"/>
          <w:b w:val="false"/>
          <w:i w:val="false"/>
          <w:color w:val="000000"/>
          <w:sz w:val="16"/>
        </w:rPr>
        <w:t xml:space="preserve">; </w:t>
      </w:r>
      <w:r>
        <w:rPr>
          <w:rFonts w:ascii="Times New Roman" w:hAnsi="Times New Roman"/>
          <w:b/>
          <w:i w:val="false"/>
          <w:color w:val="000000"/>
          <w:sz w:val="16"/>
        </w:rPr>
        <w:t>ARC 0419C</w:t>
      </w:r>
      <w:r>
        <w:rPr>
          <w:rFonts w:ascii="Times New Roman" w:hAnsi="Times New Roman"/>
          <w:b w:val="false"/>
          <w:i w:val="false"/>
          <w:color w:val="000000"/>
          <w:sz w:val="16"/>
        </w:rPr>
        <w:t>, IAB 10/31/12, effective 12/5/12</w:t>
      </w:r>
      <w:r>
        <w:rPr>
          <w:rFonts w:ascii="Times New Roman" w:hAnsi="Times New Roman"/>
          <w:b w:val="false"/>
          <w:i w:val="false"/>
          <w:color w:val="000000"/>
          <w:sz w:val="16"/>
        </w:rPr>
        <w:t xml:space="preserve">; </w:t>
      </w:r>
      <w:r>
        <w:rPr>
          <w:rFonts w:ascii="Times New Roman" w:hAnsi="Times New Roman"/>
          <w:b/>
          <w:i w:val="false"/>
          <w:color w:val="000000"/>
          <w:sz w:val="16"/>
        </w:rPr>
        <w:t>ARC 0858C</w:t>
      </w:r>
      <w:r>
        <w:rPr>
          <w:rFonts w:ascii="Times New Roman" w:hAnsi="Times New Roman"/>
          <w:b w:val="false"/>
          <w:i w:val="false"/>
          <w:color w:val="000000"/>
          <w:sz w:val="16"/>
        </w:rPr>
        <w:t>, IAB 7/24/13, effective 7/1/13</w:t>
      </w:r>
      <w:r>
        <w:rPr>
          <w:rFonts w:ascii="Times New Roman" w:hAnsi="Times New Roman"/>
          <w:b w:val="false"/>
          <w:i w:val="false"/>
          <w:color w:val="000000"/>
          <w:sz w:val="16"/>
        </w:rPr>
        <w:t xml:space="preserve">; </w:t>
      </w:r>
      <w:r>
        <w:rPr>
          <w:rFonts w:ascii="Times New Roman" w:hAnsi="Times New Roman"/>
          <w:b/>
          <w:i w:val="false"/>
          <w:color w:val="000000"/>
          <w:sz w:val="16"/>
        </w:rPr>
        <w:t>ARC 1061C</w:t>
      </w:r>
      <w:r>
        <w:rPr>
          <w:rFonts w:ascii="Times New Roman" w:hAnsi="Times New Roman"/>
          <w:b w:val="false"/>
          <w:i w:val="false"/>
          <w:color w:val="000000"/>
          <w:sz w:val="16"/>
        </w:rPr>
        <w:t>, IAB 10/2/13, effective 11/6/13</w:t>
      </w:r>
      <w:r>
        <w:rPr>
          <w:rFonts w:ascii="Times New Roman" w:hAnsi="Times New Roman"/>
          <w:b w:val="false"/>
          <w:i w:val="false"/>
          <w:color w:val="000000"/>
          <w:sz w:val="16"/>
        </w:rPr>
        <w:t xml:space="preserve">; </w:t>
      </w:r>
      <w:r>
        <w:rPr>
          <w:rFonts w:ascii="Times New Roman" w:hAnsi="Times New Roman"/>
          <w:b/>
          <w:i w:val="false"/>
          <w:color w:val="000000"/>
          <w:sz w:val="16"/>
        </w:rPr>
        <w:t>ARC 2885C</w:t>
      </w:r>
      <w:r>
        <w:rPr>
          <w:rFonts w:ascii="Times New Roman" w:hAnsi="Times New Roman"/>
          <w:b w:val="false"/>
          <w:i w:val="false"/>
          <w:color w:val="000000"/>
          <w:sz w:val="16"/>
        </w:rPr>
        <w:t>, IAB 1/4/17, effective 3/1/17</w:t>
      </w:r>
      <w:r>
        <w:rPr>
          <w:rFonts w:ascii="Times New Roman" w:hAnsi="Times New Roman"/>
          <w:b w:val="false"/>
          <w:i w:val="false"/>
          <w:color w:val="000000"/>
          <w:sz w:val="16"/>
        </w:rPr>
        <w:t xml:space="preserve">; </w:t>
      </w:r>
      <w:r>
        <w:rPr>
          <w:rFonts w:ascii="Times New Roman" w:hAnsi="Times New Roman"/>
          <w:b/>
          <w:i w:val="false"/>
          <w:color w:val="000000"/>
          <w:sz w:val="16"/>
        </w:rPr>
        <w:t>ARC 6964C</w:t>
      </w:r>
      <w:r>
        <w:rPr>
          <w:rFonts w:ascii="Times New Roman" w:hAnsi="Times New Roman"/>
          <w:b w:val="false"/>
          <w:i w:val="false"/>
          <w:color w:val="000000"/>
          <w:sz w:val="16"/>
        </w:rPr>
        <w:t>, IAB 4/5/23, effective 6/1/23</w:t>
      </w:r>
      <w:r>
        <w:rPr>
          <w:rFonts w:ascii="Times New Roman" w:hAnsi="Times New Roman"/>
          <w:b w:val="false"/>
          <w:i w:val="false"/>
          <w:color w:val="000000"/>
          <w:sz w:val="16"/>
        </w:rPr>
        <w:t xml:space="preserve">; </w:t>
      </w:r>
      <w:r>
        <w:rPr>
          <w:rFonts w:ascii="Times New Roman" w:hAnsi="Times New Roman"/>
          <w:b/>
          <w:i w:val="false"/>
          <w:color w:val="000000"/>
          <w:sz w:val="16"/>
        </w:rPr>
        <w:t>ARC 8969C</w:t>
      </w:r>
      <w:r>
        <w:rPr>
          <w:rFonts w:ascii="Times New Roman" w:hAnsi="Times New Roman"/>
          <w:b w:val="false"/>
          <w:i w:val="false"/>
          <w:color w:val="000000"/>
          <w:sz w:val="16"/>
        </w:rPr>
        <w:t>, IAB 2/19/25, effective 4/1/25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441—156.7</w:t>
      </w:r>
      <w:r>
        <w:rPr>
          <w:rFonts w:ascii="Times New Roman" w:hAnsi="Times New Roman"/>
          <w:b/>
          <w:i w:val="false"/>
          <w:color w:val="000000"/>
          <w:sz w:val="22"/>
        </w:rPr>
        <w:t xml:space="preserve">(234) </w:t>
      </w:r>
      <w:r>
        <w:rPr>
          <w:rFonts w:ascii="Times New Roman" w:hAnsi="Times New Roman"/>
          <w:b/>
          <w:i w:val="false"/>
          <w:color w:val="000000"/>
          <w:sz w:val="22"/>
        </w:rPr>
        <w:t xml:space="preserve">Kinship caregiver payment.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156.7(1)</w:t>
      </w:r>
      <w:r>
        <w:rPr>
          <w:rFonts w:ascii="Times New Roman" w:hAnsi="Times New Roman"/>
          <w:b w:val="false"/>
          <w:i w:val="false"/>
          <w:color w:val="000000"/>
          <w:sz w:val="22"/>
        </w:rPr>
        <w:t> </w:t>
      </w:r>
      <w:r>
        <w:rPr>
          <w:rFonts w:ascii="Times New Roman" w:hAnsi="Times New Roman"/>
          <w:b w:val="false"/>
          <w:i w:val="false"/>
          <w:color w:val="000000"/>
          <w:sz w:val="22"/>
        </w:rPr>
        <w:t xml:space="preserve">A kinship caregiver payment is a monthly payment to financially support the care of a child in a kinship caregiver’s home. If approved by the department, kinship caregiver payment will be provided for a period of up to four months.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156.7(2)</w:t>
      </w:r>
      <w:r>
        <w:rPr>
          <w:rFonts w:ascii="Times New Roman" w:hAnsi="Times New Roman"/>
          <w:b w:val="false"/>
          <w:i w:val="false"/>
          <w:color w:val="000000"/>
          <w:sz w:val="22"/>
        </w:rPr>
        <w:t> </w:t>
      </w:r>
      <w:r>
        <w:rPr>
          <w:rFonts w:ascii="Times New Roman" w:hAnsi="Times New Roman"/>
          <w:b w:val="false"/>
          <w:i w:val="false"/>
          <w:color w:val="000000"/>
          <w:sz w:val="22"/>
        </w:rPr>
        <w:t>All of the following conditions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For each eligible child living in a kinship placement, a caregiver will receive a monthly payment according to the basic rate schedule in subrule </w:t>
      </w:r>
      <w:hyperlink r:id="rId18">
        <w:r>
          <w:rPr>
            <w:rStyle w:val="Hyperlink"/>
            <w:rFonts w:ascii="Times New Roman" w:hAnsi="Times New Roman"/>
            <w:b w:val="false"/>
            <w:i w:val="false"/>
            <w:color w:val="000000"/>
            <w:sz w:val="22"/>
          </w:rPr>
          <w:t>156.6(1)</w:t>
        </w:r>
      </w:hyperlink>
      <w:r>
        <w:rPr>
          <w:rFonts w:ascii="Times New Roman" w:hAnsi="Times New Roman"/>
          <w:b w:val="false"/>
          <w:i w:val="false"/>
          <w:color w:val="000000"/>
          <w:sz w:val="22"/>
        </w:rPr>
        <w:t xml:space="preserve"> as a result of a court-ordered placement.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payment will begin after 14 days of the child’s placement in the kinship caregiver’s home. The 14-day requirement is waived if the child enters the kinship caregiver’s home immediately following a paid placement for at least 30 days.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payment will continue for up to four months.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kinship caregiver payment will be terminated if the child no longer resides in the home.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Kinship caregivers who receive a foster care payment are not eligible to receive a kinship caregiver payment.</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19">
        <w:r>
          <w:rPr>
            <w:rStyle w:val="Hyperlink"/>
            <w:rFonts w:ascii="Times New Roman" w:hAnsi="Times New Roman"/>
            <w:b w:val="false"/>
            <w:i w:val="false"/>
            <w:color w:val="000000"/>
            <w:sz w:val="22"/>
          </w:rPr>
          <w:t>232.102</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5540C</w:t>
      </w:r>
      <w:r>
        <w:rPr>
          <w:rFonts w:ascii="Times New Roman" w:hAnsi="Times New Roman"/>
          <w:b w:val="false"/>
          <w:i w:val="false"/>
          <w:color w:val="000000"/>
          <w:sz w:val="16"/>
        </w:rPr>
        <w:t>, IAB 4/7/21, effective 7/1/21</w:t>
      </w:r>
      <w:r>
        <w:rPr>
          <w:rFonts w:ascii="Times New Roman" w:hAnsi="Times New Roman"/>
          <w:b w:val="false"/>
          <w:i w:val="false"/>
          <w:color w:val="000000"/>
          <w:sz w:val="16"/>
        </w:rPr>
        <w:t xml:space="preserve">; </w:t>
      </w:r>
      <w:r>
        <w:rPr>
          <w:rFonts w:ascii="Times New Roman" w:hAnsi="Times New Roman"/>
          <w:b/>
          <w:i w:val="false"/>
          <w:color w:val="000000"/>
          <w:sz w:val="16"/>
        </w:rPr>
        <w:t>ARC 6964C</w:t>
      </w:r>
      <w:r>
        <w:rPr>
          <w:rFonts w:ascii="Times New Roman" w:hAnsi="Times New Roman"/>
          <w:b w:val="false"/>
          <w:i w:val="false"/>
          <w:color w:val="000000"/>
          <w:sz w:val="16"/>
        </w:rPr>
        <w:t>, IAB 4/5/23, effective 6/1/23</w:t>
      </w:r>
      <w:r>
        <w:rPr>
          <w:rFonts w:ascii="Times New Roman" w:hAnsi="Times New Roman"/>
          <w:b w:val="false"/>
          <w:i w:val="false"/>
          <w:color w:val="000000"/>
          <w:sz w:val="16"/>
        </w:rPr>
        <w:t xml:space="preserve">; </w:t>
      </w:r>
      <w:r>
        <w:rPr>
          <w:rFonts w:ascii="Times New Roman" w:hAnsi="Times New Roman"/>
          <w:b/>
          <w:i w:val="false"/>
          <w:color w:val="000000"/>
          <w:sz w:val="16"/>
        </w:rPr>
        <w:t>ARC 8969C</w:t>
      </w:r>
      <w:r>
        <w:rPr>
          <w:rFonts w:ascii="Times New Roman" w:hAnsi="Times New Roman"/>
          <w:b w:val="false"/>
          <w:i w:val="false"/>
          <w:color w:val="000000"/>
          <w:sz w:val="16"/>
        </w:rPr>
        <w:t>, IAB 2/19/25, effective 4/1/25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441—156.8</w:t>
      </w:r>
      <w:r>
        <w:rPr>
          <w:rFonts w:ascii="Times New Roman" w:hAnsi="Times New Roman"/>
          <w:b/>
          <w:i w:val="false"/>
          <w:color w:val="000000"/>
          <w:sz w:val="22"/>
        </w:rPr>
        <w:t xml:space="preserve">(234) </w:t>
      </w:r>
      <w:r>
        <w:rPr>
          <w:rFonts w:ascii="Times New Roman" w:hAnsi="Times New Roman"/>
          <w:b/>
          <w:i w:val="false"/>
          <w:color w:val="000000"/>
          <w:sz w:val="22"/>
        </w:rPr>
        <w:t xml:space="preserve">Additional payments.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156.8(1)</w:t>
      </w:r>
      <w:r>
        <w:rPr>
          <w:rFonts w:ascii="Times New Roman" w:hAnsi="Times New Roman"/>
          <w:b w:val="false"/>
          <w:i w:val="false"/>
          <w:color w:val="000000"/>
          <w:sz w:val="22"/>
        </w:rPr>
        <w:t> </w:t>
      </w:r>
      <w:r>
        <w:rPr>
          <w:rFonts w:ascii="Times New Roman" w:hAnsi="Times New Roman"/>
          <w:b w:val="false"/>
          <w:i/>
          <w:color w:val="000000"/>
          <w:sz w:val="22"/>
        </w:rPr>
        <w:t xml:space="preserve">Clothing allowance.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When, in the judgment of the department caseworker, clothing is needed at the time the child is removed from the child’s home and placed in foster care and annually thereafter as needed based on the date the child entered foster care, an allowance may be authorized, not to exceed $500 for the child through the age of 12 and $750 for the child aged 13 and older, to purchase clothing.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When clothing is purchased by the foster family, the foster family shall submit receipts to the department caseworker within 30 days of purchase for auditing purposes, using Form 470-1952.</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156.8(2)</w:t>
      </w:r>
      <w:r>
        <w:rPr>
          <w:rFonts w:ascii="Times New Roman" w:hAnsi="Times New Roman"/>
          <w:b w:val="false"/>
          <w:i w:val="false"/>
          <w:color w:val="000000"/>
          <w:sz w:val="22"/>
        </w:rPr>
        <w:t> </w:t>
      </w:r>
      <w:r>
        <w:rPr>
          <w:rFonts w:ascii="Times New Roman" w:hAnsi="Times New Roman"/>
          <w:b w:val="false"/>
          <w:i/>
          <w:color w:val="000000"/>
          <w:sz w:val="22"/>
        </w:rPr>
        <w:t xml:space="preserve">Supervised apartment living. </w:t>
      </w:r>
      <w:r>
        <w:rPr>
          <w:rFonts w:ascii="Times New Roman" w:hAnsi="Times New Roman"/>
          <w:b w:val="false"/>
          <w:i w:val="false"/>
          <w:color w:val="000000"/>
          <w:sz w:val="22"/>
        </w:rPr>
        <w:t>Effective July 1, 2013, when a child is initially placed in supervised apartment living, the service area manager or designee may authorize an allowance not to exceed $630 if the child does not have sufficient resources to cover initial costs.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156.8(3)</w:t>
      </w:r>
      <w:r>
        <w:rPr>
          <w:rFonts w:ascii="Times New Roman" w:hAnsi="Times New Roman"/>
          <w:b w:val="false"/>
          <w:i w:val="false"/>
          <w:color w:val="000000"/>
          <w:sz w:val="22"/>
        </w:rPr>
        <w:t> </w:t>
      </w:r>
      <w:r>
        <w:rPr>
          <w:rFonts w:ascii="Times New Roman" w:hAnsi="Times New Roman"/>
          <w:b w:val="false"/>
          <w:i/>
          <w:color w:val="000000"/>
          <w:sz w:val="22"/>
        </w:rPr>
        <w:t xml:space="preserve">Medical care. </w:t>
      </w:r>
      <w:r>
        <w:rPr>
          <w:rFonts w:ascii="Times New Roman" w:hAnsi="Times New Roman"/>
          <w:b w:val="false"/>
          <w:i w:val="false"/>
          <w:color w:val="000000"/>
          <w:sz w:val="22"/>
        </w:rPr>
        <w:t>When a child in foster care needs medical care or examinations which are not covered by the Medicaid program and no other source of payment is available, the cost may be paid from foster care funds with the approval of the service area manager or designee. Eligible costs shall include emergency room care, medical treatment by out-of-state providers who refuse to participate in the Iowa Medicaid program, and excessive expenses for nonprescription drugs or supplies. Requests for payment for out-of-state medical treatment and for nonprescription drugs or supplies shall be approved prior to the care being provided or the drugs or supplies purchased. Claims shall be submitted to the department on Form GAX, General Accounting Expenditure, within 90 days after the service is provided. The rate of payment shall be the same as allowed under the Iowa Medicaid program.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156.8(4)</w:t>
      </w:r>
      <w:r>
        <w:rPr>
          <w:rFonts w:ascii="Times New Roman" w:hAnsi="Times New Roman"/>
          <w:b w:val="false"/>
          <w:i w:val="false"/>
          <w:color w:val="000000"/>
          <w:sz w:val="22"/>
        </w:rPr>
        <w:t> </w:t>
      </w:r>
      <w:r>
        <w:rPr>
          <w:rFonts w:ascii="Times New Roman" w:hAnsi="Times New Roman"/>
          <w:b w:val="false"/>
          <w:i/>
          <w:color w:val="000000"/>
          <w:sz w:val="22"/>
        </w:rPr>
        <w:t xml:space="preserve">Transportation for medical care. </w:t>
      </w:r>
      <w:r>
        <w:rPr>
          <w:rFonts w:ascii="Times New Roman" w:hAnsi="Times New Roman"/>
          <w:b w:val="false"/>
          <w:i w:val="false"/>
          <w:color w:val="000000"/>
          <w:sz w:val="22"/>
        </w:rPr>
        <w:t>When a child in foster family care has expenses for transportation to receive medical care which cannot be covered by the Medicaid program, the expenses may be paid from foster care funds, with the approval of the service area manager. The claim for all the expenses shall be submitted to the department on Form GAX, General Accounting Expenditure, within 90 days after the trip. This payment shall not duplicate or supplement payment through the Medicaid program. The expenses may include the actual cost of meals, parking, child care, lodging, passenger fare, or mileage at the rate granted state employees.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156.8(5)</w:t>
      </w:r>
      <w:r>
        <w:rPr>
          <w:rFonts w:ascii="Times New Roman" w:hAnsi="Times New Roman"/>
          <w:b w:val="false"/>
          <w:i w:val="false"/>
          <w:color w:val="000000"/>
          <w:sz w:val="22"/>
        </w:rPr>
        <w:t> </w:t>
      </w:r>
      <w:r>
        <w:rPr>
          <w:rFonts w:ascii="Times New Roman" w:hAnsi="Times New Roman"/>
          <w:b w:val="false"/>
          <w:i/>
          <w:color w:val="000000"/>
          <w:sz w:val="22"/>
        </w:rPr>
        <w:t xml:space="preserve">Funeral expense. </w:t>
      </w:r>
      <w:r>
        <w:rPr>
          <w:rFonts w:ascii="Times New Roman" w:hAnsi="Times New Roman"/>
          <w:b w:val="false"/>
          <w:i w:val="false"/>
          <w:color w:val="000000"/>
          <w:sz w:val="22"/>
        </w:rPr>
        <w:t>When a child under the guardianship of the department dies, the department will pay funeral expenses not covered by the child’s resources, insurance or other death benefits, the child’s legal parents, or the child’s county of legal settlement, not to exceed $650.</w:t>
      </w:r>
    </w:p>
    <w:p>
      <w:pPr>
        <w:spacing w:before="0" w:after="0"/>
        <w:ind w:left="120"/>
        <w:jc w:val="both"/>
      </w:pPr>
      <w:r>
        <w:rPr>
          <w:rFonts w:ascii="Times New Roman" w:hAnsi="Times New Roman"/>
          <w:b w:val="false"/>
          <w:i w:val="false"/>
          <w:color w:val="000000"/>
          <w:sz w:val="22"/>
        </w:rPr>
        <w:t>The claim shall be submitted by the funeral director to the department on Form GAX, General Accounting Expenditure, and shall be approved by the service area manager. Claims shall be submitted within 90 days after the child’s death.</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156.8(6)</w:t>
      </w:r>
      <w:r>
        <w:rPr>
          <w:rFonts w:ascii="Times New Roman" w:hAnsi="Times New Roman"/>
          <w:b w:val="false"/>
          <w:i w:val="false"/>
          <w:color w:val="000000"/>
          <w:sz w:val="22"/>
        </w:rPr>
        <w:t> </w:t>
      </w:r>
      <w:r>
        <w:rPr>
          <w:rFonts w:ascii="Times New Roman" w:hAnsi="Times New Roman"/>
          <w:b w:val="false"/>
          <w:i/>
          <w:color w:val="000000"/>
          <w:sz w:val="22"/>
        </w:rPr>
        <w:t xml:space="preserve">School fees. </w:t>
      </w:r>
      <w:r>
        <w:rPr>
          <w:rFonts w:ascii="Times New Roman" w:hAnsi="Times New Roman"/>
          <w:b w:val="false"/>
          <w:i w:val="false"/>
          <w:color w:val="000000"/>
          <w:sz w:val="22"/>
        </w:rPr>
        <w:t>Payment for required school fees of a child in foster family care or supervised apartment living that exceed $5 may be authorized by the department caseworker in an amount not to exceed $50 per calendar year if the child does not have sufficient escrow funds to cover the cost. Required school fees shall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Fees required for participation in school or extracurricular activities;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Fees related to enrolling a child in preschool when a mental health professional or an intellectual disabilities professional has recommended school attendance.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156.8(7)</w:t>
      </w:r>
      <w:r>
        <w:rPr>
          <w:rFonts w:ascii="Times New Roman" w:hAnsi="Times New Roman"/>
          <w:b w:val="false"/>
          <w:i w:val="false"/>
          <w:color w:val="000000"/>
          <w:sz w:val="22"/>
        </w:rPr>
        <w:t> </w:t>
      </w:r>
      <w:r>
        <w:rPr>
          <w:rFonts w:ascii="Times New Roman" w:hAnsi="Times New Roman"/>
          <w:b w:val="false"/>
          <w:i/>
          <w:color w:val="000000"/>
          <w:sz w:val="22"/>
        </w:rPr>
        <w:t xml:space="preserve">Respite care. </w:t>
      </w:r>
      <w:r>
        <w:rPr>
          <w:rFonts w:ascii="Times New Roman" w:hAnsi="Times New Roman"/>
          <w:b w:val="false"/>
          <w:i w:val="false"/>
          <w:color w:val="000000"/>
          <w:sz w:val="22"/>
        </w:rPr>
        <w:t xml:space="preserve">Respite care for a child in family foster care shall be for up to 24 days per calendar year per placement. Except for a certified respite provider, respite shall be provided by a licensed foster family. The payment rate to the respite foster family shall be the rate authorized under rule </w:t>
      </w:r>
      <w:hyperlink r:id="rId20">
        <w:r>
          <w:rPr>
            <w:rStyle w:val="Hyperlink"/>
            <w:rFonts w:ascii="Times New Roman" w:hAnsi="Times New Roman"/>
            <w:b w:val="false"/>
            <w:i w:val="false"/>
            <w:color w:val="000000"/>
            <w:sz w:val="22"/>
          </w:rPr>
          <w:t>441—156.6(234)</w:t>
        </w:r>
      </w:hyperlink>
      <w:r>
        <w:rPr>
          <w:rFonts w:ascii="Times New Roman" w:hAnsi="Times New Roman"/>
          <w:b w:val="false"/>
          <w:i w:val="false"/>
          <w:color w:val="000000"/>
          <w:sz w:val="22"/>
        </w:rPr>
        <w:t xml:space="preserve"> to meet the needs of the child. Certified respite providers deliver foster child respite services in the foster family home for at least five hours a day at $20 per day.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156.8(8)</w:t>
      </w:r>
      <w:r>
        <w:rPr>
          <w:rFonts w:ascii="Times New Roman" w:hAnsi="Times New Roman"/>
          <w:b w:val="false"/>
          <w:i w:val="false"/>
          <w:color w:val="000000"/>
          <w:sz w:val="22"/>
        </w:rPr>
        <w:t> </w:t>
      </w:r>
      <w:r>
        <w:rPr>
          <w:rFonts w:ascii="Times New Roman" w:hAnsi="Times New Roman"/>
          <w:b w:val="false"/>
          <w:i/>
          <w:color w:val="000000"/>
          <w:sz w:val="22"/>
        </w:rPr>
        <w:t xml:space="preserve">Tangible goods, child care, and ancillary services. </w:t>
      </w:r>
      <w:r>
        <w:rPr>
          <w:rFonts w:ascii="Times New Roman" w:hAnsi="Times New Roman"/>
          <w:b w:val="false"/>
          <w:i w:val="false"/>
          <w:color w:val="000000"/>
          <w:sz w:val="22"/>
        </w:rPr>
        <w:t>To the extent that a foster child’s escrow funds are not available, the service area manager or designee may authorize reimbursement to foster parents for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Tangible goods for a special needs child including, but not limited to, building modifications, medical equipment not covered by Medicaid, specialized educational materials not covered by educational funds, and communication devices not covered by Medicaid.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Child care services when the foster parents are working, the child is not in school, and the provision of child care is identified in the child’s case permanency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Child care services shall be provided by a licensed foster parent or a licensed or registered child care provider when available.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When foster parents elect to become child care providers, they shall be registered pursuant to </w:t>
      </w:r>
      <w:hyperlink r:id="rId21">
        <w:r>
          <w:rPr>
            <w:rStyle w:val="Hyperlink"/>
            <w:rFonts w:ascii="Times New Roman" w:hAnsi="Times New Roman"/>
            <w:b w:val="false"/>
            <w:i w:val="false"/>
            <w:color w:val="000000"/>
            <w:sz w:val="22"/>
          </w:rPr>
          <w:t>441—Chapter 110</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Ancillary services needed by the foster parent to meet the needs of a special needs child including, but not limited to, specialized classes when directed by the case permanency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Ancillary services needed by the special needs child including, but not limited to, recreation fees, in-home tutoring and specialized classes not covered by education funds.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Requests for tangible goods, child care, and ancillary services shall be submitted to the service area manager for approval on Form 470-3056, Request for Tangible Goods, Child Care, and Ancillary Services. Payment rates for tangible goods and ancillary services shall be comparable to prevailing community standards. Payment rates for child care shall be established pursuant to </w:t>
      </w:r>
      <w:hyperlink r:id="rId22">
        <w:r>
          <w:rPr>
            <w:rStyle w:val="Hyperlink"/>
            <w:rFonts w:ascii="Times New Roman" w:hAnsi="Times New Roman"/>
            <w:b w:val="false"/>
            <w:i w:val="false"/>
            <w:color w:val="000000"/>
            <w:sz w:val="22"/>
          </w:rPr>
          <w:t>441—subrule 170.4(7)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Prior payment authorization shall be issued by the service area manager before tangible goods, child care, and ancillary services are purchased by or for foster parents.</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23">
        <w:r>
          <w:rPr>
            <w:rStyle w:val="Hyperlink"/>
            <w:rFonts w:ascii="Times New Roman" w:hAnsi="Times New Roman"/>
            <w:b w:val="false"/>
            <w:i w:val="false"/>
            <w:color w:val="000000"/>
            <w:sz w:val="22"/>
          </w:rPr>
          <w:t>234.35</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7606B</w:t>
      </w:r>
      <w:r>
        <w:rPr>
          <w:rFonts w:ascii="Times New Roman" w:hAnsi="Times New Roman"/>
          <w:b w:val="false"/>
          <w:i w:val="false"/>
          <w:color w:val="000000"/>
          <w:sz w:val="16"/>
        </w:rPr>
        <w:t>, IAB 3/11/09, effective 5/1/09</w:t>
      </w:r>
      <w:r>
        <w:rPr>
          <w:rFonts w:ascii="Times New Roman" w:hAnsi="Times New Roman"/>
          <w:b w:val="false"/>
          <w:i w:val="false"/>
          <w:color w:val="000000"/>
          <w:sz w:val="16"/>
        </w:rPr>
        <w:t xml:space="preserve">; </w:t>
      </w:r>
      <w:r>
        <w:rPr>
          <w:rFonts w:ascii="Times New Roman" w:hAnsi="Times New Roman"/>
          <w:b/>
          <w:i w:val="false"/>
          <w:color w:val="000000"/>
          <w:sz w:val="16"/>
        </w:rPr>
        <w:t>ARC 8010B</w:t>
      </w:r>
      <w:r>
        <w:rPr>
          <w:rFonts w:ascii="Times New Roman" w:hAnsi="Times New Roman"/>
          <w:b w:val="false"/>
          <w:i w:val="false"/>
          <w:color w:val="000000"/>
          <w:sz w:val="16"/>
        </w:rPr>
        <w:t>, IAB 7/29/09, effective 10/1/09</w:t>
      </w:r>
      <w:r>
        <w:rPr>
          <w:rFonts w:ascii="Times New Roman" w:hAnsi="Times New Roman"/>
          <w:b w:val="false"/>
          <w:i w:val="false"/>
          <w:color w:val="000000"/>
          <w:sz w:val="16"/>
        </w:rPr>
        <w:t xml:space="preserve">; </w:t>
      </w:r>
      <w:r>
        <w:rPr>
          <w:rFonts w:ascii="Times New Roman" w:hAnsi="Times New Roman"/>
          <w:b/>
          <w:i w:val="false"/>
          <w:color w:val="000000"/>
          <w:sz w:val="16"/>
        </w:rPr>
        <w:t>ARC 8451B</w:t>
      </w:r>
      <w:r>
        <w:rPr>
          <w:rFonts w:ascii="Times New Roman" w:hAnsi="Times New Roman"/>
          <w:b w:val="false"/>
          <w:i w:val="false"/>
          <w:color w:val="000000"/>
          <w:sz w:val="16"/>
        </w:rPr>
        <w:t>, IAB 1/13/10, effective 1/1/10</w:t>
      </w:r>
      <w:r>
        <w:rPr>
          <w:rFonts w:ascii="Times New Roman" w:hAnsi="Times New Roman"/>
          <w:b w:val="false"/>
          <w:i w:val="false"/>
          <w:color w:val="000000"/>
          <w:sz w:val="16"/>
        </w:rPr>
        <w:t xml:space="preserve">; </w:t>
      </w:r>
      <w:r>
        <w:rPr>
          <w:rFonts w:ascii="Times New Roman" w:hAnsi="Times New Roman"/>
          <w:b/>
          <w:i w:val="false"/>
          <w:color w:val="000000"/>
          <w:sz w:val="16"/>
        </w:rPr>
        <w:t>ARC 8653B</w:t>
      </w:r>
      <w:r>
        <w:rPr>
          <w:rFonts w:ascii="Times New Roman" w:hAnsi="Times New Roman"/>
          <w:b w:val="false"/>
          <w:i w:val="false"/>
          <w:color w:val="000000"/>
          <w:sz w:val="16"/>
        </w:rPr>
        <w:t>, IAB 4/7/10, effective 5/12/10</w:t>
      </w:r>
      <w:r>
        <w:rPr>
          <w:rFonts w:ascii="Times New Roman" w:hAnsi="Times New Roman"/>
          <w:b w:val="false"/>
          <w:i w:val="false"/>
          <w:color w:val="000000"/>
          <w:sz w:val="16"/>
        </w:rPr>
        <w:t xml:space="preserve">; </w:t>
      </w:r>
      <w:r>
        <w:rPr>
          <w:rFonts w:ascii="Times New Roman" w:hAnsi="Times New Roman"/>
          <w:b/>
          <w:i w:val="false"/>
          <w:color w:val="000000"/>
          <w:sz w:val="16"/>
        </w:rPr>
        <w:t>ARC 9778B</w:t>
      </w:r>
      <w:r>
        <w:rPr>
          <w:rFonts w:ascii="Times New Roman" w:hAnsi="Times New Roman"/>
          <w:b w:val="false"/>
          <w:i w:val="false"/>
          <w:color w:val="000000"/>
          <w:sz w:val="16"/>
        </w:rPr>
        <w:t>, IAB 10/5/11, effective 11/9/11</w:t>
      </w:r>
      <w:r>
        <w:rPr>
          <w:rFonts w:ascii="Times New Roman" w:hAnsi="Times New Roman"/>
          <w:b w:val="false"/>
          <w:i w:val="false"/>
          <w:color w:val="000000"/>
          <w:sz w:val="16"/>
        </w:rPr>
        <w:t xml:space="preserve">; </w:t>
      </w:r>
      <w:r>
        <w:rPr>
          <w:rFonts w:ascii="Times New Roman" w:hAnsi="Times New Roman"/>
          <w:b/>
          <w:i w:val="false"/>
          <w:color w:val="000000"/>
          <w:sz w:val="16"/>
        </w:rPr>
        <w:t>ARC 0856C</w:t>
      </w:r>
      <w:r>
        <w:rPr>
          <w:rFonts w:ascii="Times New Roman" w:hAnsi="Times New Roman"/>
          <w:b w:val="false"/>
          <w:i w:val="false"/>
          <w:color w:val="000000"/>
          <w:sz w:val="16"/>
        </w:rPr>
        <w:t>, IAB 7/24/13, effective 7/1/13</w:t>
      </w:r>
      <w:r>
        <w:rPr>
          <w:rFonts w:ascii="Times New Roman" w:hAnsi="Times New Roman"/>
          <w:b w:val="false"/>
          <w:i w:val="false"/>
          <w:color w:val="000000"/>
          <w:sz w:val="16"/>
        </w:rPr>
        <w:t xml:space="preserve">; </w:t>
      </w:r>
      <w:r>
        <w:rPr>
          <w:rFonts w:ascii="Times New Roman" w:hAnsi="Times New Roman"/>
          <w:b/>
          <w:i w:val="false"/>
          <w:color w:val="000000"/>
          <w:sz w:val="16"/>
        </w:rPr>
        <w:t>ARC 1062C</w:t>
      </w:r>
      <w:r>
        <w:rPr>
          <w:rFonts w:ascii="Times New Roman" w:hAnsi="Times New Roman"/>
          <w:b w:val="false"/>
          <w:i w:val="false"/>
          <w:color w:val="000000"/>
          <w:sz w:val="16"/>
        </w:rPr>
        <w:t>, IAB 10/2/13, effective 11/6/13</w:t>
      </w:r>
      <w:r>
        <w:rPr>
          <w:rFonts w:ascii="Times New Roman" w:hAnsi="Times New Roman"/>
          <w:b w:val="false"/>
          <w:i w:val="false"/>
          <w:color w:val="000000"/>
          <w:sz w:val="16"/>
        </w:rPr>
        <w:t xml:space="preserve">; </w:t>
      </w:r>
      <w:r>
        <w:rPr>
          <w:rFonts w:ascii="Times New Roman" w:hAnsi="Times New Roman"/>
          <w:b/>
          <w:i w:val="false"/>
          <w:color w:val="000000"/>
          <w:sz w:val="16"/>
        </w:rPr>
        <w:t>ARC 2885C</w:t>
      </w:r>
      <w:r>
        <w:rPr>
          <w:rFonts w:ascii="Times New Roman" w:hAnsi="Times New Roman"/>
          <w:b w:val="false"/>
          <w:i w:val="false"/>
          <w:color w:val="000000"/>
          <w:sz w:val="16"/>
        </w:rPr>
        <w:t>, IAB 1/4/17, effective 3/1/17</w:t>
      </w:r>
      <w:r>
        <w:rPr>
          <w:rFonts w:ascii="Times New Roman" w:hAnsi="Times New Roman"/>
          <w:b w:val="false"/>
          <w:i w:val="false"/>
          <w:color w:val="000000"/>
          <w:sz w:val="16"/>
        </w:rPr>
        <w:t xml:space="preserve">; </w:t>
      </w:r>
      <w:r>
        <w:rPr>
          <w:rFonts w:ascii="Times New Roman" w:hAnsi="Times New Roman"/>
          <w:b/>
          <w:i w:val="false"/>
          <w:color w:val="000000"/>
          <w:sz w:val="16"/>
        </w:rPr>
        <w:t>ARC 3185C</w:t>
      </w:r>
      <w:r>
        <w:rPr>
          <w:rFonts w:ascii="Times New Roman" w:hAnsi="Times New Roman"/>
          <w:b w:val="false"/>
          <w:i w:val="false"/>
          <w:color w:val="000000"/>
          <w:sz w:val="16"/>
        </w:rPr>
        <w:t>, IAB 7/5/17, effective 9/1/17</w:t>
      </w:r>
      <w:r>
        <w:rPr>
          <w:rFonts w:ascii="Times New Roman" w:hAnsi="Times New Roman"/>
          <w:b w:val="false"/>
          <w:i w:val="false"/>
          <w:color w:val="000000"/>
          <w:sz w:val="16"/>
        </w:rPr>
        <w:t xml:space="preserve">; </w:t>
      </w:r>
      <w:r>
        <w:rPr>
          <w:rFonts w:ascii="Times New Roman" w:hAnsi="Times New Roman"/>
          <w:b/>
          <w:i w:val="false"/>
          <w:color w:val="000000"/>
          <w:sz w:val="16"/>
        </w:rPr>
        <w:t>ARC 5540C</w:t>
      </w:r>
      <w:r>
        <w:rPr>
          <w:rFonts w:ascii="Times New Roman" w:hAnsi="Times New Roman"/>
          <w:b w:val="false"/>
          <w:i w:val="false"/>
          <w:color w:val="000000"/>
          <w:sz w:val="16"/>
        </w:rPr>
        <w:t>, IAB 4/7/21, effective 7/1/21</w:t>
      </w:r>
      <w:r>
        <w:rPr>
          <w:rFonts w:ascii="Times New Roman" w:hAnsi="Times New Roman"/>
          <w:b w:val="false"/>
          <w:i w:val="false"/>
          <w:color w:val="000000"/>
          <w:sz w:val="16"/>
        </w:rPr>
        <w:t xml:space="preserve">; </w:t>
      </w:r>
      <w:r>
        <w:rPr>
          <w:rFonts w:ascii="Times New Roman" w:hAnsi="Times New Roman"/>
          <w:b/>
          <w:i w:val="false"/>
          <w:color w:val="000000"/>
          <w:sz w:val="16"/>
        </w:rPr>
        <w:t>ARC 6964C</w:t>
      </w:r>
      <w:r>
        <w:rPr>
          <w:rFonts w:ascii="Times New Roman" w:hAnsi="Times New Roman"/>
          <w:b w:val="false"/>
          <w:i w:val="false"/>
          <w:color w:val="000000"/>
          <w:sz w:val="16"/>
        </w:rPr>
        <w:t>, IAB 4/5/23, effective 6/1/23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441—156.9</w:t>
      </w:r>
      <w:r>
        <w:rPr>
          <w:rFonts w:ascii="Times New Roman" w:hAnsi="Times New Roman"/>
          <w:b/>
          <w:i w:val="false"/>
          <w:color w:val="000000"/>
          <w:sz w:val="22"/>
        </w:rPr>
        <w:t xml:space="preserve">(234) </w:t>
      </w:r>
      <w:r>
        <w:rPr>
          <w:rFonts w:ascii="Times New Roman" w:hAnsi="Times New Roman"/>
          <w:b/>
          <w:i w:val="false"/>
          <w:color w:val="000000"/>
          <w:sz w:val="22"/>
        </w:rPr>
        <w:t xml:space="preserve">Rate of payment for foster group care.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156.9(1)</w:t>
      </w:r>
      <w:r>
        <w:rPr>
          <w:rFonts w:ascii="Times New Roman" w:hAnsi="Times New Roman"/>
          <w:b w:val="false"/>
          <w:i w:val="false"/>
          <w:color w:val="000000"/>
          <w:sz w:val="22"/>
        </w:rPr>
        <w:t> </w:t>
      </w:r>
      <w:r>
        <w:rPr>
          <w:rFonts w:ascii="Times New Roman" w:hAnsi="Times New Roman"/>
          <w:b w:val="false"/>
          <w:i/>
          <w:color w:val="000000"/>
          <w:sz w:val="22"/>
        </w:rPr>
        <w:t xml:space="preserve">In-state reimbursement. </w:t>
      </w:r>
      <w:r>
        <w:rPr>
          <w:rFonts w:ascii="Times New Roman" w:hAnsi="Times New Roman"/>
          <w:b w:val="false"/>
          <w:i w:val="false"/>
          <w:color w:val="000000"/>
          <w:sz w:val="22"/>
        </w:rPr>
        <w:t>Effective July 1, 2014, contracted foster group care facilities licensed or approved in the state of Iowa shall be paid for group care maintenance and child welfare services in accordance with contracted terms.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Additional payment for group care maintenance may be authorized if a facility provides care for a mother and her young child according to subrule </w:t>
      </w:r>
      <w:hyperlink r:id="rId24">
        <w:r>
          <w:rPr>
            <w:rStyle w:val="Hyperlink"/>
            <w:rFonts w:ascii="Times New Roman" w:hAnsi="Times New Roman"/>
            <w:b w:val="false"/>
            <w:i w:val="false"/>
            <w:color w:val="000000"/>
            <w:sz w:val="22"/>
          </w:rPr>
          <w:t>156.9(4)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No less than annually, the department shall redetermine the allocation of the combined child welfare service per diem rate between the maintenance and service portions plus the inflation factor based on review of the verified Form 470-5421, Combined Cost Report. If the new allocation differs from the current allocation, the department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Reallocate the combined child welfare service per diem for foster group care between the maintenance and service portions plus the inflation factor of the combined rate;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Notify all providers of any change in the allocation between maintenance and service rates.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156.9(2)</w:t>
      </w:r>
      <w:r>
        <w:rPr>
          <w:rFonts w:ascii="Times New Roman" w:hAnsi="Times New Roman"/>
          <w:b w:val="false"/>
          <w:i w:val="false"/>
          <w:color w:val="000000"/>
          <w:sz w:val="22"/>
        </w:rPr>
        <w:t> </w:t>
      </w:r>
      <w:r>
        <w:rPr>
          <w:rFonts w:ascii="Times New Roman" w:hAnsi="Times New Roman"/>
          <w:b w:val="false"/>
          <w:i/>
          <w:color w:val="000000"/>
          <w:sz w:val="22"/>
        </w:rPr>
        <w:t xml:space="preserve">Out-of-state group care payment rate. </w:t>
      </w:r>
      <w:r>
        <w:rPr>
          <w:rFonts w:ascii="Times New Roman" w:hAnsi="Times New Roman"/>
          <w:b w:val="false"/>
          <w:i w:val="false"/>
          <w:color w:val="000000"/>
          <w:sz w:val="22"/>
        </w:rPr>
        <w:t>When the department determines that appropriate care is not available in Iowa and a licensed or approved contractor outside Iowa is used, the payment rate for contracted foster group care services shall be the Iowa rate unless the director grants an exception. The rate shall not exceed the rate paid for clients from that state.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156.9(3)</w:t>
      </w:r>
      <w:r>
        <w:rPr>
          <w:rFonts w:ascii="Times New Roman" w:hAnsi="Times New Roman"/>
          <w:b w:val="false"/>
          <w:i w:val="false"/>
          <w:color w:val="000000"/>
          <w:sz w:val="22"/>
        </w:rPr>
        <w:t> </w:t>
      </w:r>
      <w:r>
        <w:rPr>
          <w:rFonts w:ascii="Times New Roman" w:hAnsi="Times New Roman"/>
          <w:b w:val="false"/>
          <w:i/>
          <w:color w:val="000000"/>
          <w:sz w:val="22"/>
        </w:rPr>
        <w:t xml:space="preserve">Out-of-state placement determination.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Placement. </w:t>
      </w:r>
      <w:r>
        <w:rPr>
          <w:rFonts w:ascii="Times New Roman" w:hAnsi="Times New Roman"/>
          <w:b w:val="false"/>
          <w:i w:val="false"/>
          <w:color w:val="000000"/>
          <w:sz w:val="22"/>
        </w:rPr>
        <w:t>When determining whether appropriate care is available within the state, the director shall consider each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Whether the child’s treatment needs are exceptional.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Whether appropriate in-state alternatives are available.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Whether an appropriate in-state alternative could be developed by using juvenile court-ordered service funds or wrap-around funds.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Whether the placement and additional payment are expected to be time-limited with anticipated outcomes identified.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If the placement has been approved by the service area manager or chief juvenile court officer.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Procedure. </w:t>
      </w:r>
      <w:r>
        <w:rPr>
          <w:rFonts w:ascii="Times New Roman" w:hAnsi="Times New Roman"/>
          <w:b w:val="false"/>
          <w:i w:val="false"/>
          <w:color w:val="000000"/>
          <w:sz w:val="22"/>
        </w:rPr>
        <w:t xml:space="preserve">The service area manager or chief juvenile court officer shall submit the request for director’s exception to the Appeals Section, Department of Human Services, Hoover State Office Building, Fifth Floor, Des Moines, Iowa 50319-0114. This request shall be made in advance of placing the child and should allow a minimum of two weeks for a response. The request shall contain documentation addressing the criteria for director’s approval listed in paragraph </w:t>
      </w:r>
      <w:hyperlink r:id="rId25">
        <w:r>
          <w:rPr>
            <w:rStyle w:val="Hyperlink"/>
            <w:rFonts w:ascii="Times New Roman" w:hAnsi="Times New Roman"/>
            <w:b w:val="false"/>
            <w:i w:val="false"/>
            <w:color w:val="000000"/>
            <w:sz w:val="22"/>
          </w:rPr>
          <w:t>156.9(3)</w:t>
        </w:r>
        <w:r>
          <w:rPr>
            <w:rFonts w:ascii="Times New Roman" w:hAnsi="Times New Roman"/>
            <w:b w:val="false"/>
            <w:i/>
            <w:color w:val="000000"/>
            <w:sz w:val="22"/>
          </w:rPr>
          <w:t>“a.”</w:t>
        </w:r>
      </w:hyperlink>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Appeals. </w:t>
      </w:r>
      <w:r>
        <w:rPr>
          <w:rFonts w:ascii="Times New Roman" w:hAnsi="Times New Roman"/>
          <w:b w:val="false"/>
          <w:i w:val="false"/>
          <w:color w:val="000000"/>
          <w:sz w:val="22"/>
        </w:rPr>
        <w:t xml:space="preserve">The decision of the director regarding approval of an exception to the rate determination in rule </w:t>
      </w:r>
      <w:hyperlink r:id="rId26">
        <w:r>
          <w:rPr>
            <w:rStyle w:val="Hyperlink"/>
            <w:rFonts w:ascii="Times New Roman" w:hAnsi="Times New Roman"/>
            <w:b w:val="false"/>
            <w:i w:val="false"/>
            <w:color w:val="000000"/>
            <w:sz w:val="22"/>
          </w:rPr>
          <w:t>441—156.9</w:t>
        </w:r>
      </w:hyperlink>
      <w:r>
        <w:rPr>
          <w:rFonts w:ascii="Times New Roman" w:hAnsi="Times New Roman"/>
          <w:b w:val="false"/>
          <w:i w:val="false"/>
          <w:color w:val="000000"/>
          <w:sz w:val="22"/>
        </w:rPr>
        <w:t>(234) is not appealable.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156.9(4)</w:t>
      </w:r>
      <w:r>
        <w:rPr>
          <w:rFonts w:ascii="Times New Roman" w:hAnsi="Times New Roman"/>
          <w:b w:val="false"/>
          <w:i w:val="false"/>
          <w:color w:val="000000"/>
          <w:sz w:val="22"/>
        </w:rPr>
        <w:t> </w:t>
      </w:r>
      <w:r>
        <w:rPr>
          <w:rFonts w:ascii="Times New Roman" w:hAnsi="Times New Roman"/>
          <w:b w:val="false"/>
          <w:i/>
          <w:color w:val="000000"/>
          <w:sz w:val="22"/>
        </w:rPr>
        <w:t xml:space="preserve">Mother-young child rate. </w:t>
      </w:r>
      <w:r>
        <w:rPr>
          <w:rFonts w:ascii="Times New Roman" w:hAnsi="Times New Roman"/>
          <w:b w:val="false"/>
          <w:i w:val="false"/>
          <w:color w:val="000000"/>
          <w:sz w:val="22"/>
        </w:rPr>
        <w:t>When a group foster care facility provides foster care for a mother and her young child, an additional maintenance rate shall cover the maintenance needs of the young child. No additional amount shall be allowed for service needs of the child.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rate shall be set in the provider contract. The young child maintenance rate shall be limited to the costs associated with food, clothing, shelter, personal incidentals, and supervision for each young child and shall not exceed the maintenance rate for the mother. Costs for day care shall not be included in the maintenance rate.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Unless the court has transferred custody from the mother, the mother shall have primary responsibility for providing supervision and parenting for the young child. The facility shall provide services to the mother to assist her to meet her parenting responsibilities and shall monitor her care of the young child.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provider shall provide services to the mother to assist her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Obtain a high school diploma or high school equivalency.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Develop preemployment skills.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Establish paternity for her young child whenever appropriate.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Obtain child support for the young child whenever paternity is established.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provider shall maintain information in the mother’s file 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involvement of the mother’s parents or of other adults.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involvement of the father of the minor’s child, including steps taken to establish paternity, if appropriate.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decision of the minor to keep and raise her young child.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Plan for the minor’s completion of high school or a high school equivalency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parenting skills of the minor parent.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Child care and transportation plans for education, training or employment.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Ongoing health care of the mother and child.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Other services as needed to address personal or family problems or to facilitate the personal growth and development toward economic self-sufficiency of the minor parent and young child.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provider shall designate $35 of the young child rate as an allowance to the mother to meet the maintenance needs of her young child, as defined in her case permanency plan.</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27">
        <w:r>
          <w:rPr>
            <w:rStyle w:val="Hyperlink"/>
            <w:rFonts w:ascii="Times New Roman" w:hAnsi="Times New Roman"/>
            <w:b w:val="false"/>
            <w:i w:val="false"/>
            <w:color w:val="000000"/>
            <w:sz w:val="22"/>
          </w:rPr>
          <w:t>234.6</w:t>
        </w:r>
      </w:hyperlink>
      <w:r>
        <w:rPr>
          <w:rFonts w:ascii="Times New Roman" w:hAnsi="Times New Roman"/>
          <w:b w:val="false"/>
          <w:i w:val="false"/>
          <w:color w:val="000000"/>
          <w:sz w:val="22"/>
        </w:rPr>
        <w:t xml:space="preserve"> and </w:t>
      </w:r>
      <w:hyperlink r:id="rId28">
        <w:r>
          <w:rPr>
            <w:rStyle w:val="Hyperlink"/>
            <w:rFonts w:ascii="Times New Roman" w:hAnsi="Times New Roman"/>
            <w:b w:val="false"/>
            <w:i w:val="false"/>
            <w:color w:val="000000"/>
            <w:sz w:val="22"/>
          </w:rPr>
          <w:t>234.38</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7741B</w:t>
      </w:r>
      <w:r>
        <w:rPr>
          <w:rFonts w:ascii="Times New Roman" w:hAnsi="Times New Roman"/>
          <w:b w:val="false"/>
          <w:i w:val="false"/>
          <w:color w:val="000000"/>
          <w:sz w:val="16"/>
        </w:rPr>
        <w:t>, IAB 5/6/09, effective 7/1/09</w:t>
      </w:r>
      <w:r>
        <w:rPr>
          <w:rFonts w:ascii="Times New Roman" w:hAnsi="Times New Roman"/>
          <w:b w:val="false"/>
          <w:i w:val="false"/>
          <w:color w:val="000000"/>
          <w:sz w:val="16"/>
        </w:rPr>
        <w:t xml:space="preserve">; </w:t>
      </w:r>
      <w:r>
        <w:rPr>
          <w:rFonts w:ascii="Times New Roman" w:hAnsi="Times New Roman"/>
          <w:b/>
          <w:i w:val="false"/>
          <w:color w:val="000000"/>
          <w:sz w:val="16"/>
        </w:rPr>
        <w:t>ARC 8715B</w:t>
      </w:r>
      <w:r>
        <w:rPr>
          <w:rFonts w:ascii="Times New Roman" w:hAnsi="Times New Roman"/>
          <w:b w:val="false"/>
          <w:i w:val="false"/>
          <w:color w:val="000000"/>
          <w:sz w:val="16"/>
        </w:rPr>
        <w:t>, IAB 5/5/10, effective 7/1/10</w:t>
      </w:r>
      <w:r>
        <w:rPr>
          <w:rFonts w:ascii="Times New Roman" w:hAnsi="Times New Roman"/>
          <w:b w:val="false"/>
          <w:i w:val="false"/>
          <w:color w:val="000000"/>
          <w:sz w:val="16"/>
        </w:rPr>
        <w:t xml:space="preserve">; </w:t>
      </w:r>
      <w:r>
        <w:rPr>
          <w:rFonts w:ascii="Times New Roman" w:hAnsi="Times New Roman"/>
          <w:b/>
          <w:i w:val="false"/>
          <w:color w:val="000000"/>
          <w:sz w:val="16"/>
        </w:rPr>
        <w:t>ARC 9778B</w:t>
      </w:r>
      <w:r>
        <w:rPr>
          <w:rFonts w:ascii="Times New Roman" w:hAnsi="Times New Roman"/>
          <w:b w:val="false"/>
          <w:i w:val="false"/>
          <w:color w:val="000000"/>
          <w:sz w:val="16"/>
        </w:rPr>
        <w:t>, IAB 10/5/11, effective 11/9/11</w:t>
      </w:r>
      <w:r>
        <w:rPr>
          <w:rFonts w:ascii="Times New Roman" w:hAnsi="Times New Roman"/>
          <w:b w:val="false"/>
          <w:i w:val="false"/>
          <w:color w:val="000000"/>
          <w:sz w:val="16"/>
        </w:rPr>
        <w:t xml:space="preserve">; </w:t>
      </w:r>
      <w:r>
        <w:rPr>
          <w:rFonts w:ascii="Times New Roman" w:hAnsi="Times New Roman"/>
          <w:b/>
          <w:i w:val="false"/>
          <w:color w:val="000000"/>
          <w:sz w:val="16"/>
        </w:rPr>
        <w:t>ARC 1523C</w:t>
      </w:r>
      <w:r>
        <w:rPr>
          <w:rFonts w:ascii="Times New Roman" w:hAnsi="Times New Roman"/>
          <w:b w:val="false"/>
          <w:i w:val="false"/>
          <w:color w:val="000000"/>
          <w:sz w:val="16"/>
        </w:rPr>
        <w:t>, IAB 7/9/14, effective 7/1/14</w:t>
      </w:r>
      <w:r>
        <w:rPr>
          <w:rFonts w:ascii="Times New Roman" w:hAnsi="Times New Roman"/>
          <w:b w:val="false"/>
          <w:i w:val="false"/>
          <w:color w:val="000000"/>
          <w:sz w:val="16"/>
        </w:rPr>
        <w:t xml:space="preserve">; </w:t>
      </w:r>
      <w:r>
        <w:rPr>
          <w:rFonts w:ascii="Times New Roman" w:hAnsi="Times New Roman"/>
          <w:b/>
          <w:i w:val="false"/>
          <w:color w:val="000000"/>
          <w:sz w:val="16"/>
        </w:rPr>
        <w:t>ARC 1607C</w:t>
      </w:r>
      <w:r>
        <w:rPr>
          <w:rFonts w:ascii="Times New Roman" w:hAnsi="Times New Roman"/>
          <w:b w:val="false"/>
          <w:i w:val="false"/>
          <w:color w:val="000000"/>
          <w:sz w:val="16"/>
        </w:rPr>
        <w:t>, IAB 9/3/14, effective 10/8/14</w:t>
      </w:r>
      <w:r>
        <w:rPr>
          <w:rFonts w:ascii="Times New Roman" w:hAnsi="Times New Roman"/>
          <w:b w:val="false"/>
          <w:i w:val="false"/>
          <w:color w:val="000000"/>
          <w:sz w:val="16"/>
        </w:rPr>
        <w:t xml:space="preserve">; </w:t>
      </w:r>
      <w:r>
        <w:rPr>
          <w:rFonts w:ascii="Times New Roman" w:hAnsi="Times New Roman"/>
          <w:b/>
          <w:i w:val="false"/>
          <w:color w:val="000000"/>
          <w:sz w:val="16"/>
        </w:rPr>
        <w:t>ARC 2885C</w:t>
      </w:r>
      <w:r>
        <w:rPr>
          <w:rFonts w:ascii="Times New Roman" w:hAnsi="Times New Roman"/>
          <w:b w:val="false"/>
          <w:i w:val="false"/>
          <w:color w:val="000000"/>
          <w:sz w:val="16"/>
        </w:rPr>
        <w:t>, IAB 1/4/17, effective 3/1/17</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441—156.10</w:t>
      </w:r>
      <w:r>
        <w:rPr>
          <w:rFonts w:ascii="Times New Roman" w:hAnsi="Times New Roman"/>
          <w:b/>
          <w:i w:val="false"/>
          <w:color w:val="000000"/>
          <w:sz w:val="22"/>
        </w:rPr>
        <w:t xml:space="preserve">(234) </w:t>
      </w:r>
      <w:r>
        <w:rPr>
          <w:rFonts w:ascii="Times New Roman" w:hAnsi="Times New Roman"/>
          <w:b/>
          <w:i w:val="false"/>
          <w:color w:val="000000"/>
          <w:sz w:val="22"/>
        </w:rPr>
        <w:t xml:space="preserve">Payment for reserve bed days.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156.10(1)</w:t>
      </w:r>
      <w:r>
        <w:rPr>
          <w:rFonts w:ascii="Times New Roman" w:hAnsi="Times New Roman"/>
          <w:b w:val="false"/>
          <w:i w:val="false"/>
          <w:color w:val="000000"/>
          <w:sz w:val="22"/>
        </w:rPr>
        <w:t> </w:t>
      </w:r>
      <w:r>
        <w:rPr>
          <w:rFonts w:ascii="Times New Roman" w:hAnsi="Times New Roman"/>
          <w:b w:val="false"/>
          <w:i/>
          <w:color w:val="000000"/>
          <w:sz w:val="22"/>
        </w:rPr>
        <w:t xml:space="preserve">Group care facilities. </w:t>
      </w:r>
      <w:r>
        <w:rPr>
          <w:rFonts w:ascii="Times New Roman" w:hAnsi="Times New Roman"/>
          <w:b w:val="false"/>
          <w:i w:val="false"/>
          <w:color w:val="000000"/>
          <w:sz w:val="22"/>
        </w:rPr>
        <w:t>The department shall provide payment for group care maintenance and child welfare services according to the following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Family visits. </w:t>
      </w:r>
      <w:r>
        <w:rPr>
          <w:rFonts w:ascii="Times New Roman" w:hAnsi="Times New Roman"/>
          <w:b w:val="false"/>
          <w:i w:val="false"/>
          <w:color w:val="000000"/>
          <w:sz w:val="22"/>
        </w:rPr>
        <w:t>Reserve bed payment shall be made for days a child is absent from the facility for family visits when the absence is in accord with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visits shall be consistent with the child’s case permanency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facility shall notify the department caseworker of each visit and its planned length prior to the visit.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intent of the department and the facility shall be for the child to return to the facility after the visit.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Staff from the facility shall be available to provide support to the child and family during the visit.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Payment shall be canceled and payments returned if the facility refuses to accept the child back.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If the department and the facility agree that the return would not be in the child’s best interest, payment shall be canceled effective the day after the joint decision not to return the child.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Payment shall be canceled effective the day after a decision is made by the court or parent in a voluntary placement not to return the child.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Payment shall not exceed 14 consecutive days, except upon prior written approval of the service area manager. In no case shall payment exceed 30 consecutive days.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The provider shall document the use of reserve bed days in the daily log and report the number of reserve bed days claimed in the quarterly report.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Hospitalization. </w:t>
      </w:r>
      <w:r>
        <w:rPr>
          <w:rFonts w:ascii="Times New Roman" w:hAnsi="Times New Roman"/>
          <w:b w:val="false"/>
          <w:i w:val="false"/>
          <w:color w:val="000000"/>
          <w:sz w:val="22"/>
        </w:rPr>
        <w:t>Reserve bed payment shall be made for days a child is absent from the facility for hospitalization when the absence is in accord with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facility shall contact the department caseworker at least 48 hours in advance of a planned hospitalization and within 24 hours after an unplanned hospitalization.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intent of the department and the facility shall be for the child to return to the facility after the hospitalization.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Staff from the facility shall be available to provide support to the child and family during the hospitalization.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Payment shall be canceled and payments returned if the facility refuses to accept the child back.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If the department and the facility agree that the return would not be in the child’s best interest, payment shall be canceled effective the day after the joint decision not to return the child.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Payment shall be canceled effective the day after a decision is made by the court or parent in a voluntary placement not to return the child.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Payment shall not exceed 14 consecutive days, except upon prior written approval of the service area manager. In no case shall payment exceed 30 consecutive days.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The provider shall document the use of reserve bed days in the daily log and report the number of reserve bed days claimed in the quarterly report.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Runaways. </w:t>
      </w:r>
      <w:r>
        <w:rPr>
          <w:rFonts w:ascii="Times New Roman" w:hAnsi="Times New Roman"/>
          <w:b w:val="false"/>
          <w:i w:val="false"/>
          <w:color w:val="000000"/>
          <w:sz w:val="22"/>
        </w:rPr>
        <w:t>Reserve bed payment shall be made for days a child is absent from the facility after the child has run away when the absence is in accord with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facility shall notify the department caseworker within 24 hours after the child runs away.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intent of the department and the facility shall be for the child to return to the facility once the child is found.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Payment shall be canceled and payments returned if the facility refuses to accept the child back.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If the department and the facility agree that the return would not be in the child’s best interest, payment shall be canceled effective the day after the joint decision not to return the child.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Payment shall be canceled effective the day after a decision is made by the court or parent in a voluntary placement not to return the child.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Payment shall not exceed 14 consecutive days, except upon prior written approval of the service area manager. In no case shall payment exceed 30 consecutive days.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The provider shall document the use of reserve bed days in the daily log and report the number of reserve bed days claimed in the quarterly report.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Preplacement visits. </w:t>
      </w:r>
      <w:r>
        <w:rPr>
          <w:rFonts w:ascii="Times New Roman" w:hAnsi="Times New Roman"/>
          <w:b w:val="false"/>
          <w:i w:val="false"/>
          <w:color w:val="000000"/>
          <w:sz w:val="22"/>
        </w:rPr>
        <w:t>Reserve bed payment shall be made when a child is making a planned preplacement visit to another foster care placement or an adoptive placement when the absence is in accord with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visits shall be consistent with the child’s case permanency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intent of the department and the facility shall be for the child to return to the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Staff from the facility shall be available to provide support to the child and provider during the visit.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Payment shall be canceled and payment returned if the facility refuses to accept the child back.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Payment shall not exceed two consecutive days.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The provider shall document the use of reserve bed days in the daily log and report the number of reserve bed days claimed in the quarterly report.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156.10(2)</w:t>
      </w:r>
      <w:r>
        <w:rPr>
          <w:rFonts w:ascii="Times New Roman" w:hAnsi="Times New Roman"/>
          <w:b w:val="false"/>
          <w:i w:val="false"/>
          <w:color w:val="000000"/>
          <w:sz w:val="22"/>
        </w:rPr>
        <w:t> </w:t>
      </w:r>
      <w:r>
        <w:rPr>
          <w:rFonts w:ascii="Times New Roman" w:hAnsi="Times New Roman"/>
          <w:b w:val="false"/>
          <w:i/>
          <w:color w:val="000000"/>
          <w:sz w:val="22"/>
        </w:rPr>
        <w:t xml:space="preserve">Foster family care.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Family visits. </w:t>
      </w:r>
      <w:r>
        <w:rPr>
          <w:rFonts w:ascii="Times New Roman" w:hAnsi="Times New Roman"/>
          <w:b w:val="false"/>
          <w:i w:val="false"/>
          <w:color w:val="000000"/>
          <w:sz w:val="22"/>
        </w:rPr>
        <w:t>Reserve bed payment shall be made for days a foster child is absent from the foster family home for family visits when the absence is in accord with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visits shall be consistent with the child’s case permanency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intent of the department and the foster family shall be for the child to return to the foster family home after the visit.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Payment shall be canceled and payments returned if the foster family refuses to accept the child back.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If the department and the foster family agree that the return would not be in the child’s best interest, payment shall be canceled effective the day after the joint decision not to return the child.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Payment shall be canceled effective the day after a decision is made by the court or parent in a voluntary placement not to return the child.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Payment shall not exceed 14 consecutive days, except upon prior written approval of the service area manager. In no case shall payment exceed 30 consecutive days.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Hospitalization. </w:t>
      </w:r>
      <w:r>
        <w:rPr>
          <w:rFonts w:ascii="Times New Roman" w:hAnsi="Times New Roman"/>
          <w:b w:val="false"/>
          <w:i w:val="false"/>
          <w:color w:val="000000"/>
          <w:sz w:val="22"/>
        </w:rPr>
        <w:t>Reserve bed payment shall be made for days a foster child is absent from the foster family home for hospitalization when the absence is in accord with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intent of the department and the foster family shall be for the child to return to the foster family home after the hospitalization.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Payment shall be canceled and payments returned if the foster family refuses to accept the child back.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If the department and the foster family agree that the return would not be in the child’s best interest, payment shall be canceled effective the day after the joint decision not to return the child.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Payment shall be canceled effective the day after a decision is made by the court or parent in a voluntary placement not to return the child.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Payment shall not exceed 14 consecutive days, except upon prior written approval of the service area manager. In no case shall payment exceed 30 consecutive days.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Runaways. </w:t>
      </w:r>
      <w:r>
        <w:rPr>
          <w:rFonts w:ascii="Times New Roman" w:hAnsi="Times New Roman"/>
          <w:b w:val="false"/>
          <w:i w:val="false"/>
          <w:color w:val="000000"/>
          <w:sz w:val="22"/>
        </w:rPr>
        <w:t>Reserve bed payment shall be made for days a foster child is absent from the foster family home after the child has run away when the absence is in accord with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foster family shall notify the department caseworker within 24 hours after the child runs away.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intent of the department and the foster family shall be for the child to return to the foster family home once the child is found.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Payment shall be canceled and payments returned if the foster family refuses to accept the child back.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If the department and the foster family agree that the return would not be in the child’s best interest, payment shall be canceled effective the day after the joint decision not to return the child.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Payment shall be canceled effective the day after a decision is made by the court or parent in a voluntary placement not to return the child.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Payment shall not exceed 14 consecutive days, except upon prior written approval of the service area manager. In no case shall payment exceed 30 consecutive days.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Preplacement visits. </w:t>
      </w:r>
      <w:r>
        <w:rPr>
          <w:rFonts w:ascii="Times New Roman" w:hAnsi="Times New Roman"/>
          <w:b w:val="false"/>
          <w:i w:val="false"/>
          <w:color w:val="000000"/>
          <w:sz w:val="22"/>
        </w:rPr>
        <w:t>Reserve bed payment shall be made when a foster child is making a planned preplacement visit to another foster care placement or an adoptive placement when the absence is in accord with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visits shall be consistent with the child’s case permanency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intent of the department and the foster family home shall be for the child to return to the foster family home.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Payment shall be canceled and payment returned if the foster family home refuses to accept the child back.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Payment shall not exceed two consecutive days.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156.10(3)</w:t>
      </w:r>
      <w:r>
        <w:rPr>
          <w:rFonts w:ascii="Times New Roman" w:hAnsi="Times New Roman"/>
          <w:b w:val="false"/>
          <w:i w:val="false"/>
          <w:color w:val="000000"/>
          <w:sz w:val="22"/>
        </w:rPr>
        <w:t> </w:t>
      </w:r>
      <w:r>
        <w:rPr>
          <w:rFonts w:ascii="Times New Roman" w:hAnsi="Times New Roman"/>
          <w:b w:val="false"/>
          <w:i/>
          <w:color w:val="000000"/>
          <w:sz w:val="22"/>
        </w:rPr>
        <w:t xml:space="preserve">Shelter care facilities.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Hospitalization. </w:t>
      </w:r>
      <w:r>
        <w:rPr>
          <w:rFonts w:ascii="Times New Roman" w:hAnsi="Times New Roman"/>
          <w:b w:val="false"/>
          <w:i w:val="false"/>
          <w:color w:val="000000"/>
          <w:sz w:val="22"/>
        </w:rPr>
        <w:t>Reserve bed payment shall be made for days a child is absent from the facility for hospitalization when the absence is in accord with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facility shall contact the department caseworker at least 48 hours in advance of a planned hospitalization and within 24 hours after an unplanned hospitalization.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intent of the department and the facility shall be for the child to return to the facility after the hospitalization.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Staff from the facility shall be available to provide support to the child and family during the hospitalization.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Payment shall be canceled and payments returned if the facility refuses to accept the child back.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If the department and the facility agree that the return would not be in the child’s best interest, payment shall be canceled effective the day after the joint decision not to return the child.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Payment shall be canceled effective the day after a decision is made by the court or parent in a voluntary placement not to return the child.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Payment shall not exceed 14 consecutive days, except upon prior written approval of the service area manager. In no case shall payment exceed 30 consecutive days.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The provider shall document the use of reserve bed days in the daily log and report the number of reserve bed days claimed in the quarterly report.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Preplacement visits. </w:t>
      </w:r>
      <w:r>
        <w:rPr>
          <w:rFonts w:ascii="Times New Roman" w:hAnsi="Times New Roman"/>
          <w:b w:val="false"/>
          <w:i w:val="false"/>
          <w:color w:val="000000"/>
          <w:sz w:val="22"/>
        </w:rPr>
        <w:t>Reserve bed payment shall be made when a child is making a planned preplacement visit to another foster care placement or an adoptive placement when the absence is in accord with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visits shall be consistent with the child’s case permanency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intent of the department and the facility shall be for the child to return to the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Staff from the facility shall be available to provide support to the child and provider during the visit.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Payment shall be canceled and payment returned if the facility refuses to accept the child back.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Payment shall not exceed two consecutive days.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The provider shall document the use of reserve bed days in the daily log and report the number of reserve bed days claimed in the quarterly report.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Family visits. </w:t>
      </w:r>
      <w:r>
        <w:rPr>
          <w:rFonts w:ascii="Times New Roman" w:hAnsi="Times New Roman"/>
          <w:b w:val="false"/>
          <w:i w:val="false"/>
          <w:color w:val="000000"/>
          <w:sz w:val="22"/>
        </w:rPr>
        <w:t>Reserve bed payment shall be made for days a child is absent from the facility for family visits when the absence is in accord with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visits shall be consistent with the child’s case permanency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facility shall notify the department caseworker of each visit and its planned length prior to the visit.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intent of the department and the facility shall be for the child to return to the facility after the visit.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Staff from the facility shall be available to provide support to the child and family during the visit.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Payment shall be canceled and payments returned if the facility refuses to accept the child back.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If the department agrees that the return would not be in the child’s best interest, payment shall be canceled effective the day after the joint decision not to return the child.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Payment shall be canceled effective the day after a decision is made by the court or parent in a voluntary placement not to return the child.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Payment shall not exceed seven consecutive days, except upon prior written approval of the service area manager. In no case shall payment exceed 14 consecutive days.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The provider shall document the use of reserve bed days in the daily log and report the number of reserve bed days claimed in the quarterly report.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Runaways. </w:t>
      </w:r>
      <w:r>
        <w:rPr>
          <w:rFonts w:ascii="Times New Roman" w:hAnsi="Times New Roman"/>
          <w:b w:val="false"/>
          <w:i w:val="false"/>
          <w:color w:val="000000"/>
          <w:sz w:val="22"/>
        </w:rPr>
        <w:t>Reserve bed payment shall be made for days a child is absent from the facility after the child has run away when the absence is in accord with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facility shall notify the department caseworker within 24 hours after the child runs away.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intent of the department and the facility shall be for the child to return to the facility once the child is found.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Payment shall be canceled and payments returned if the facility refuses to accept the child back.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If the department agrees that the return would not be in the child’s best interest, payment shall be canceled effective the day after the joint decision not to return the child.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Payment shall be canceled effective the day after a decision is made by the court or parent in a voluntary placement not to return the child.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Payment shall not exceed seven consecutive days, except upon prior written approval of the service area manager. In no case shall payment exceed 14 consecutive days.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The provider shall document the use of reserve bed days in the daily log and report the number of reserve bed days claimed in the quarterly report.</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29">
        <w:r>
          <w:rPr>
            <w:rStyle w:val="Hyperlink"/>
            <w:rFonts w:ascii="Times New Roman" w:hAnsi="Times New Roman"/>
            <w:b w:val="false"/>
            <w:i w:val="false"/>
            <w:color w:val="000000"/>
            <w:sz w:val="22"/>
          </w:rPr>
          <w:t>234.6</w:t>
        </w:r>
      </w:hyperlink>
      <w:r>
        <w:rPr>
          <w:rFonts w:ascii="Times New Roman" w:hAnsi="Times New Roman"/>
          <w:b w:val="false"/>
          <w:i w:val="false"/>
          <w:color w:val="000000"/>
          <w:sz w:val="22"/>
        </w:rPr>
        <w:t xml:space="preserve"> and </w:t>
      </w:r>
      <w:hyperlink r:id="rId30">
        <w:r>
          <w:rPr>
            <w:rStyle w:val="Hyperlink"/>
            <w:rFonts w:ascii="Times New Roman" w:hAnsi="Times New Roman"/>
            <w:b w:val="false"/>
            <w:i w:val="false"/>
            <w:color w:val="000000"/>
            <w:sz w:val="22"/>
          </w:rPr>
          <w:t>234.35</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8010B</w:t>
      </w:r>
      <w:r>
        <w:rPr>
          <w:rFonts w:ascii="Times New Roman" w:hAnsi="Times New Roman"/>
          <w:b w:val="false"/>
          <w:i w:val="false"/>
          <w:color w:val="000000"/>
          <w:sz w:val="16"/>
        </w:rPr>
        <w:t>, IAB 7/29/09, effective 10/1/09</w:t>
      </w:r>
      <w:r>
        <w:rPr>
          <w:rFonts w:ascii="Times New Roman" w:hAnsi="Times New Roman"/>
          <w:b w:val="false"/>
          <w:i w:val="false"/>
          <w:color w:val="000000"/>
          <w:sz w:val="16"/>
        </w:rPr>
        <w:t xml:space="preserve">; </w:t>
      </w:r>
      <w:r>
        <w:rPr>
          <w:rFonts w:ascii="Times New Roman" w:hAnsi="Times New Roman"/>
          <w:b/>
          <w:i w:val="false"/>
          <w:color w:val="000000"/>
          <w:sz w:val="16"/>
        </w:rPr>
        <w:t>ARC 2885C</w:t>
      </w:r>
      <w:r>
        <w:rPr>
          <w:rFonts w:ascii="Times New Roman" w:hAnsi="Times New Roman"/>
          <w:b w:val="false"/>
          <w:i w:val="false"/>
          <w:color w:val="000000"/>
          <w:sz w:val="16"/>
        </w:rPr>
        <w:t>, IAB 1/4/17, effective 3/1/17</w:t>
      </w:r>
      <w:r>
        <w:rPr>
          <w:rFonts w:ascii="Times New Roman" w:hAnsi="Times New Roman"/>
          <w:b w:val="false"/>
          <w:i w:val="false"/>
          <w:color w:val="000000"/>
          <w:sz w:val="16"/>
        </w:rPr>
        <w:t xml:space="preserve">; </w:t>
      </w:r>
      <w:r>
        <w:rPr>
          <w:rFonts w:ascii="Times New Roman" w:hAnsi="Times New Roman"/>
          <w:b/>
          <w:i w:val="false"/>
          <w:color w:val="000000"/>
          <w:sz w:val="16"/>
        </w:rPr>
        <w:t>ARC 6964C</w:t>
      </w:r>
      <w:r>
        <w:rPr>
          <w:rFonts w:ascii="Times New Roman" w:hAnsi="Times New Roman"/>
          <w:b w:val="false"/>
          <w:i w:val="false"/>
          <w:color w:val="000000"/>
          <w:sz w:val="16"/>
        </w:rPr>
        <w:t>, IAB 4/5/23, effective 6/1/23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441—156.11</w:t>
      </w:r>
      <w:r>
        <w:rPr>
          <w:rFonts w:ascii="Times New Roman" w:hAnsi="Times New Roman"/>
          <w:b/>
          <w:i w:val="false"/>
          <w:color w:val="000000"/>
          <w:sz w:val="22"/>
        </w:rPr>
        <w:t xml:space="preserve">(234) </w:t>
      </w:r>
      <w:r>
        <w:rPr>
          <w:rFonts w:ascii="Times New Roman" w:hAnsi="Times New Roman"/>
          <w:b/>
          <w:i w:val="false"/>
          <w:color w:val="000000"/>
          <w:sz w:val="22"/>
        </w:rPr>
        <w:t xml:space="preserve">Emergency juvenile shelter care payment. </w:t>
      </w:r>
      <w:r>
        <w:rPr>
          <w:rFonts w:ascii="Times New Roman" w:hAnsi="Times New Roman"/>
          <w:b w:val="false"/>
          <w:i w:val="false"/>
          <w:color w:val="000000"/>
          <w:sz w:val="22"/>
        </w:rPr>
        <w:t xml:space="preserve">Contracted juvenile shelter care facilities approved or licensed in Iowa shall be paid in accordance with contracted terms, not to exceed the allowable costs as permitted by Iowa Code section </w:t>
      </w:r>
      <w:hyperlink r:id="rId31">
        <w:r>
          <w:rPr>
            <w:rStyle w:val="Hyperlink"/>
            <w:rFonts w:ascii="Times New Roman" w:hAnsi="Times New Roman"/>
            <w:b w:val="false"/>
            <w:i w:val="false"/>
            <w:color w:val="000000"/>
            <w:sz w:val="22"/>
          </w:rPr>
          <w:t>232.141(8)</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32">
        <w:r>
          <w:rPr>
            <w:rStyle w:val="Hyperlink"/>
            <w:rFonts w:ascii="Times New Roman" w:hAnsi="Times New Roman"/>
            <w:b w:val="false"/>
            <w:i w:val="false"/>
            <w:color w:val="000000"/>
            <w:sz w:val="22"/>
          </w:rPr>
          <w:t>234.6</w:t>
        </w:r>
      </w:hyperlink>
      <w:r>
        <w:rPr>
          <w:rFonts w:ascii="Times New Roman" w:hAnsi="Times New Roman"/>
          <w:b w:val="false"/>
          <w:i w:val="false"/>
          <w:color w:val="000000"/>
          <w:sz w:val="22"/>
        </w:rPr>
        <w:t xml:space="preserve"> and </w:t>
      </w:r>
      <w:hyperlink r:id="rId33">
        <w:r>
          <w:rPr>
            <w:rStyle w:val="Hyperlink"/>
            <w:rFonts w:ascii="Times New Roman" w:hAnsi="Times New Roman"/>
            <w:b w:val="false"/>
            <w:i w:val="false"/>
            <w:color w:val="000000"/>
            <w:sz w:val="22"/>
          </w:rPr>
          <w:t>234.39</w:t>
        </w:r>
      </w:hyperlink>
      <w:r>
        <w:rPr>
          <w:rFonts w:ascii="Times New Roman" w:hAnsi="Times New Roman"/>
          <w:b w:val="false"/>
          <w:i w:val="false"/>
          <w:color w:val="000000"/>
          <w:sz w:val="22"/>
        </w:rPr>
        <w:t xml:space="preserve">.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7606B</w:t>
      </w:r>
      <w:r>
        <w:rPr>
          <w:rFonts w:ascii="Times New Roman" w:hAnsi="Times New Roman"/>
          <w:b w:val="false"/>
          <w:i w:val="false"/>
          <w:color w:val="000000"/>
          <w:sz w:val="16"/>
        </w:rPr>
        <w:t>, IAB 3/11/09, effective 5/1/09</w:t>
      </w:r>
      <w:r>
        <w:rPr>
          <w:rFonts w:ascii="Times New Roman" w:hAnsi="Times New Roman"/>
          <w:b w:val="false"/>
          <w:i w:val="false"/>
          <w:color w:val="000000"/>
          <w:sz w:val="16"/>
        </w:rPr>
        <w:t xml:space="preserve">; </w:t>
      </w:r>
      <w:r>
        <w:rPr>
          <w:rFonts w:ascii="Times New Roman" w:hAnsi="Times New Roman"/>
          <w:b/>
          <w:i w:val="false"/>
          <w:color w:val="000000"/>
          <w:sz w:val="16"/>
        </w:rPr>
        <w:t>ARC 2885C</w:t>
      </w:r>
      <w:r>
        <w:rPr>
          <w:rFonts w:ascii="Times New Roman" w:hAnsi="Times New Roman"/>
          <w:b w:val="false"/>
          <w:i w:val="false"/>
          <w:color w:val="000000"/>
          <w:sz w:val="16"/>
        </w:rPr>
        <w:t>, IAB 1/4/17, effective 3/1/17</w:t>
      </w:r>
      <w:r>
        <w:rPr>
          <w:rFonts w:ascii="Times New Roman" w:hAnsi="Times New Roman"/>
          <w:b w:val="false"/>
          <w:i w:val="false"/>
          <w:color w:val="000000"/>
          <w:sz w:val="16"/>
        </w:rPr>
        <w:t xml:space="preserve">; </w:t>
      </w:r>
      <w:r>
        <w:rPr>
          <w:rFonts w:ascii="Times New Roman" w:hAnsi="Times New Roman"/>
          <w:b/>
          <w:i w:val="false"/>
          <w:color w:val="000000"/>
          <w:sz w:val="16"/>
        </w:rPr>
        <w:t>ARC 6964C</w:t>
      </w:r>
      <w:r>
        <w:rPr>
          <w:rFonts w:ascii="Times New Roman" w:hAnsi="Times New Roman"/>
          <w:b w:val="false"/>
          <w:i w:val="false"/>
          <w:color w:val="000000"/>
          <w:sz w:val="16"/>
        </w:rPr>
        <w:t>, IAB 4/5/23, effective 6/1/23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441—156.12</w:t>
      </w:r>
      <w:r>
        <w:rPr>
          <w:rFonts w:ascii="Times New Roman" w:hAnsi="Times New Roman"/>
          <w:b/>
          <w:i w:val="false"/>
          <w:color w:val="000000"/>
          <w:sz w:val="22"/>
        </w:rPr>
        <w:t xml:space="preserve">(234) </w:t>
      </w:r>
      <w:r>
        <w:rPr>
          <w:rFonts w:ascii="Times New Roman" w:hAnsi="Times New Roman"/>
          <w:b/>
          <w:i w:val="false"/>
          <w:color w:val="000000"/>
          <w:sz w:val="22"/>
        </w:rPr>
        <w:t xml:space="preserve">Supervised apartment living.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156.12(1)</w:t>
      </w:r>
      <w:r>
        <w:rPr>
          <w:rFonts w:ascii="Times New Roman" w:hAnsi="Times New Roman"/>
          <w:b w:val="false"/>
          <w:i w:val="false"/>
          <w:color w:val="000000"/>
          <w:sz w:val="22"/>
        </w:rPr>
        <w:t> </w:t>
      </w:r>
      <w:r>
        <w:rPr>
          <w:rFonts w:ascii="Times New Roman" w:hAnsi="Times New Roman"/>
          <w:b w:val="false"/>
          <w:i/>
          <w:color w:val="000000"/>
          <w:sz w:val="22"/>
        </w:rPr>
        <w:t xml:space="preserve">Child monthly stipend. </w:t>
      </w:r>
      <w:r>
        <w:rPr>
          <w:rFonts w:ascii="Times New Roman" w:hAnsi="Times New Roman"/>
          <w:b w:val="false"/>
          <w:i w:val="false"/>
          <w:color w:val="000000"/>
          <w:sz w:val="22"/>
        </w:rPr>
        <w:t>For each eligible child living in a supervised apartment living situation, the monthly stipend payment for the child shall be $787.50. This payment may be paid to the child or another payee, other than a department employee, for the child’s living expenses.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156.12(2)</w:t>
      </w:r>
      <w:r>
        <w:rPr>
          <w:rFonts w:ascii="Times New Roman" w:hAnsi="Times New Roman"/>
          <w:b w:val="false"/>
          <w:i w:val="false"/>
          <w:color w:val="000000"/>
          <w:sz w:val="22"/>
        </w:rPr>
        <w:t> </w:t>
      </w:r>
      <w:r>
        <w:rPr>
          <w:rFonts w:ascii="Times New Roman" w:hAnsi="Times New Roman"/>
          <w:b w:val="false"/>
          <w:i/>
          <w:color w:val="000000"/>
          <w:sz w:val="22"/>
        </w:rPr>
        <w:t xml:space="preserve">Service. </w:t>
      </w:r>
      <w:r>
        <w:rPr>
          <w:rFonts w:ascii="Times New Roman" w:hAnsi="Times New Roman"/>
          <w:b w:val="false"/>
          <w:i w:val="false"/>
          <w:color w:val="000000"/>
          <w:sz w:val="22"/>
        </w:rPr>
        <w:t>When services for a youth in supervised apartment living are purchased, the service components and any special provisions shall be specified by the service worker in the youth’s case permanency plan.</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34">
        <w:r>
          <w:rPr>
            <w:rStyle w:val="Hyperlink"/>
            <w:rFonts w:ascii="Times New Roman" w:hAnsi="Times New Roman"/>
            <w:b w:val="false"/>
            <w:i w:val="false"/>
            <w:color w:val="000000"/>
            <w:sz w:val="22"/>
          </w:rPr>
          <w:t>234.35</w:t>
        </w:r>
      </w:hyperlink>
      <w:r>
        <w:rPr>
          <w:rFonts w:ascii="Times New Roman" w:hAnsi="Times New Roman"/>
          <w:b w:val="false"/>
          <w:i w:val="false"/>
          <w:color w:val="000000"/>
          <w:sz w:val="22"/>
        </w:rPr>
        <w:t xml:space="preserve"> and </w:t>
      </w:r>
      <w:r>
        <w:rPr>
          <w:rFonts w:ascii="Times New Roman" w:hAnsi="Times New Roman"/>
          <w:b w:val="false"/>
          <w:i w:val="false"/>
          <w:color w:val="000000"/>
          <w:sz w:val="22"/>
        </w:rPr>
        <w:t>2011 Iowa Acts, House File 649</w:t>
      </w:r>
      <w:r>
        <w:rPr>
          <w:rFonts w:ascii="Times New Roman" w:hAnsi="Times New Roman"/>
          <w:b w:val="false"/>
          <w:i w:val="false"/>
          <w:color w:val="000000"/>
          <w:sz w:val="22"/>
        </w:rPr>
        <w:t>, section 28(4).</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8451B</w:t>
      </w:r>
      <w:r>
        <w:rPr>
          <w:rFonts w:ascii="Times New Roman" w:hAnsi="Times New Roman"/>
          <w:b w:val="false"/>
          <w:i w:val="false"/>
          <w:color w:val="000000"/>
          <w:sz w:val="16"/>
        </w:rPr>
        <w:t>, IAB 1/13/10, effective 1/1/10</w:t>
      </w:r>
      <w:r>
        <w:rPr>
          <w:rFonts w:ascii="Times New Roman" w:hAnsi="Times New Roman"/>
          <w:b w:val="false"/>
          <w:i w:val="false"/>
          <w:color w:val="000000"/>
          <w:sz w:val="16"/>
        </w:rPr>
        <w:t xml:space="preserve">; </w:t>
      </w:r>
      <w:r>
        <w:rPr>
          <w:rFonts w:ascii="Times New Roman" w:hAnsi="Times New Roman"/>
          <w:b/>
          <w:i w:val="false"/>
          <w:color w:val="000000"/>
          <w:sz w:val="16"/>
        </w:rPr>
        <w:t>ARC 8653B</w:t>
      </w:r>
      <w:r>
        <w:rPr>
          <w:rFonts w:ascii="Times New Roman" w:hAnsi="Times New Roman"/>
          <w:b w:val="false"/>
          <w:i w:val="false"/>
          <w:color w:val="000000"/>
          <w:sz w:val="16"/>
        </w:rPr>
        <w:t>, IAB 4/7/10, effective 5/12/10</w:t>
      </w:r>
      <w:r>
        <w:rPr>
          <w:rFonts w:ascii="Times New Roman" w:hAnsi="Times New Roman"/>
          <w:b w:val="false"/>
          <w:i w:val="false"/>
          <w:color w:val="000000"/>
          <w:sz w:val="16"/>
        </w:rPr>
        <w:t xml:space="preserve">; </w:t>
      </w:r>
      <w:r>
        <w:rPr>
          <w:rFonts w:ascii="Times New Roman" w:hAnsi="Times New Roman"/>
          <w:b/>
          <w:i w:val="false"/>
          <w:color w:val="000000"/>
          <w:sz w:val="16"/>
        </w:rPr>
        <w:t>ARC 9778B</w:t>
      </w:r>
      <w:r>
        <w:rPr>
          <w:rFonts w:ascii="Times New Roman" w:hAnsi="Times New Roman"/>
          <w:b w:val="false"/>
          <w:i w:val="false"/>
          <w:color w:val="000000"/>
          <w:sz w:val="16"/>
        </w:rPr>
        <w:t>, IAB 10/5/11, effective 11/9/11</w:t>
      </w:r>
      <w:r>
        <w:rPr>
          <w:rFonts w:ascii="Times New Roman" w:hAnsi="Times New Roman"/>
          <w:b w:val="false"/>
          <w:i w:val="false"/>
          <w:color w:val="000000"/>
          <w:sz w:val="16"/>
        </w:rPr>
        <w:t xml:space="preserve">; </w:t>
      </w:r>
      <w:r>
        <w:rPr>
          <w:rFonts w:ascii="Times New Roman" w:hAnsi="Times New Roman"/>
          <w:b/>
          <w:i w:val="false"/>
          <w:color w:val="000000"/>
          <w:sz w:val="16"/>
        </w:rPr>
        <w:t>ARC 0856C</w:t>
      </w:r>
      <w:r>
        <w:rPr>
          <w:rFonts w:ascii="Times New Roman" w:hAnsi="Times New Roman"/>
          <w:b w:val="false"/>
          <w:i w:val="false"/>
          <w:color w:val="000000"/>
          <w:sz w:val="16"/>
        </w:rPr>
        <w:t>, IAB 7/24/13, effective 7/1/13</w:t>
      </w:r>
      <w:r>
        <w:rPr>
          <w:rFonts w:ascii="Times New Roman" w:hAnsi="Times New Roman"/>
          <w:b w:val="false"/>
          <w:i w:val="false"/>
          <w:color w:val="000000"/>
          <w:sz w:val="16"/>
        </w:rPr>
        <w:t xml:space="preserve">; </w:t>
      </w:r>
      <w:r>
        <w:rPr>
          <w:rFonts w:ascii="Times New Roman" w:hAnsi="Times New Roman"/>
          <w:b/>
          <w:i w:val="false"/>
          <w:color w:val="000000"/>
          <w:sz w:val="16"/>
        </w:rPr>
        <w:t>ARC 1062C</w:t>
      </w:r>
      <w:r>
        <w:rPr>
          <w:rFonts w:ascii="Times New Roman" w:hAnsi="Times New Roman"/>
          <w:b w:val="false"/>
          <w:i w:val="false"/>
          <w:color w:val="000000"/>
          <w:sz w:val="16"/>
        </w:rPr>
        <w:t>, IAB 10/2/13, effective 11/6/13</w:t>
      </w:r>
      <w:r>
        <w:rPr>
          <w:rFonts w:ascii="Times New Roman" w:hAnsi="Times New Roman"/>
          <w:b w:val="false"/>
          <w:i w:val="false"/>
          <w:color w:val="000000"/>
          <w:sz w:val="16"/>
        </w:rPr>
        <w:t xml:space="preserve">; </w:t>
      </w:r>
      <w:r>
        <w:rPr>
          <w:rFonts w:ascii="Times New Roman" w:hAnsi="Times New Roman"/>
          <w:b/>
          <w:i w:val="false"/>
          <w:color w:val="000000"/>
          <w:sz w:val="16"/>
        </w:rPr>
        <w:t>ARC 3442C</w:t>
      </w:r>
      <w:r>
        <w:rPr>
          <w:rFonts w:ascii="Times New Roman" w:hAnsi="Times New Roman"/>
          <w:b w:val="false"/>
          <w:i w:val="false"/>
          <w:color w:val="000000"/>
          <w:sz w:val="16"/>
        </w:rPr>
        <w:t>, IAB 11/8/17, effective 1/1/18</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441—156.13</w:t>
      </w:r>
      <w:r>
        <w:rPr>
          <w:rFonts w:ascii="Times New Roman" w:hAnsi="Times New Roman"/>
          <w:b w:val="false"/>
          <w:i w:val="false"/>
          <w:color w:val="000000"/>
          <w:sz w:val="22"/>
        </w:rPr>
        <w:t>Reserved.</w:t>
      </w:r>
    </w:p>
    <w:p>
      <w:pPr>
        <w:spacing w:before="0" w:after="0"/>
        <w:ind w:left="120"/>
        <w:jc w:val="both"/>
      </w:pPr>
      <w:r>
        <w:rPr>
          <w:rFonts w:ascii="Times New Roman" w:hAnsi="Times New Roman"/>
          <w:b/>
          <w:i w:val="false"/>
          <w:color w:val="000000"/>
          <w:sz w:val="22"/>
        </w:rPr>
        <w:t>441—156.14</w:t>
      </w:r>
      <w:r>
        <w:rPr>
          <w:rFonts w:ascii="Times New Roman" w:hAnsi="Times New Roman"/>
          <w:b/>
          <w:i w:val="false"/>
          <w:color w:val="000000"/>
          <w:sz w:val="22"/>
        </w:rPr>
        <w:t xml:space="preserve">(234,252C) </w:t>
      </w:r>
      <w:r>
        <w:rPr>
          <w:rFonts w:ascii="Times New Roman" w:hAnsi="Times New Roman"/>
          <w:b/>
          <w:i w:val="false"/>
          <w:color w:val="000000"/>
          <w:sz w:val="22"/>
        </w:rPr>
        <w:t xml:space="preserve">Voluntary placements. </w:t>
      </w:r>
      <w:r>
        <w:rPr>
          <w:rFonts w:ascii="Times New Roman" w:hAnsi="Times New Roman"/>
          <w:b w:val="false"/>
          <w:i w:val="false"/>
          <w:color w:val="000000"/>
          <w:sz w:val="22"/>
        </w:rPr>
        <w:t>When placement is made on a voluntary basis, the parent or guardian shall complete and sign Form 470-0715, Voluntary Placement Agreement.</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35">
        <w:r>
          <w:rPr>
            <w:rStyle w:val="Hyperlink"/>
            <w:rFonts w:ascii="Times New Roman" w:hAnsi="Times New Roman"/>
            <w:b w:val="false"/>
            <w:i w:val="false"/>
            <w:color w:val="000000"/>
            <w:sz w:val="22"/>
          </w:rPr>
          <w:t>234.39</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6964C</w:t>
      </w:r>
      <w:r>
        <w:rPr>
          <w:rFonts w:ascii="Times New Roman" w:hAnsi="Times New Roman"/>
          <w:b w:val="false"/>
          <w:i w:val="false"/>
          <w:color w:val="000000"/>
          <w:sz w:val="16"/>
        </w:rPr>
        <w:t>, IAB 4/5/23, effective 6/1/23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441—156.15</w:t>
      </w:r>
      <w:r>
        <w:rPr>
          <w:rFonts w:ascii="Times New Roman" w:hAnsi="Times New Roman"/>
          <w:b/>
          <w:i w:val="false"/>
          <w:color w:val="000000"/>
          <w:sz w:val="22"/>
        </w:rPr>
        <w:t xml:space="preserve">(234) </w:t>
      </w:r>
      <w:r>
        <w:rPr>
          <w:rFonts w:ascii="Times New Roman" w:hAnsi="Times New Roman"/>
          <w:b/>
          <w:i w:val="false"/>
          <w:color w:val="000000"/>
          <w:sz w:val="22"/>
        </w:rPr>
        <w:t xml:space="preserve">Child’s earnings. </w:t>
      </w:r>
      <w:r>
        <w:rPr>
          <w:rFonts w:ascii="Times New Roman" w:hAnsi="Times New Roman"/>
          <w:b w:val="false"/>
          <w:i w:val="false"/>
          <w:color w:val="000000"/>
          <w:sz w:val="22"/>
        </w:rPr>
        <w:t xml:space="preserve">Earned income of a child who is in foster care shall be reported to the department, and the earned income’s use shall be part of the child’s plan for service, but the income shall not be used towards the cost of the child’s care as established by the department. </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36">
        <w:r>
          <w:rPr>
            <w:rStyle w:val="Hyperlink"/>
            <w:rFonts w:ascii="Times New Roman" w:hAnsi="Times New Roman"/>
            <w:b w:val="false"/>
            <w:i w:val="false"/>
            <w:color w:val="000000"/>
            <w:sz w:val="22"/>
          </w:rPr>
          <w:t>234.39</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2885C</w:t>
      </w:r>
      <w:r>
        <w:rPr>
          <w:rFonts w:ascii="Times New Roman" w:hAnsi="Times New Roman"/>
          <w:b w:val="false"/>
          <w:i w:val="false"/>
          <w:color w:val="000000"/>
          <w:sz w:val="16"/>
        </w:rPr>
        <w:t>, IAB 1/4/17, effective 3/1/17</w:t>
      </w:r>
      <w:r>
        <w:rPr>
          <w:rFonts w:ascii="Times New Roman" w:hAnsi="Times New Roman"/>
          <w:b w:val="false"/>
          <w:i w:val="false"/>
          <w:color w:val="000000"/>
          <w:sz w:val="16"/>
        </w:rPr>
        <w:t xml:space="preserve">; </w:t>
      </w:r>
      <w:r>
        <w:rPr>
          <w:rFonts w:ascii="Times New Roman" w:hAnsi="Times New Roman"/>
          <w:b/>
          <w:i w:val="false"/>
          <w:color w:val="000000"/>
          <w:sz w:val="16"/>
        </w:rPr>
        <w:t>ARC 6964C</w:t>
      </w:r>
      <w:r>
        <w:rPr>
          <w:rFonts w:ascii="Times New Roman" w:hAnsi="Times New Roman"/>
          <w:b w:val="false"/>
          <w:i w:val="false"/>
          <w:color w:val="000000"/>
          <w:sz w:val="16"/>
        </w:rPr>
        <w:t>, IAB 4/5/23, effective 6/1/23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441—156.16</w:t>
      </w:r>
      <w:r>
        <w:rPr>
          <w:rFonts w:ascii="Times New Roman" w:hAnsi="Times New Roman"/>
          <w:b/>
          <w:i w:val="false"/>
          <w:color w:val="000000"/>
          <w:sz w:val="22"/>
        </w:rPr>
        <w:t xml:space="preserve">(234) </w:t>
      </w:r>
      <w:r>
        <w:rPr>
          <w:rFonts w:ascii="Times New Roman" w:hAnsi="Times New Roman"/>
          <w:b/>
          <w:i w:val="false"/>
          <w:color w:val="000000"/>
          <w:sz w:val="22"/>
        </w:rPr>
        <w:t xml:space="preserve">Trust funds and investments.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156.16(1)</w:t>
      </w:r>
      <w:r>
        <w:rPr>
          <w:rFonts w:ascii="Times New Roman" w:hAnsi="Times New Roman"/>
          <w:b w:val="false"/>
          <w:i w:val="false"/>
          <w:color w:val="000000"/>
          <w:sz w:val="22"/>
        </w:rPr>
        <w:t> </w:t>
      </w:r>
      <w:r>
        <w:rPr>
          <w:rFonts w:ascii="Times New Roman" w:hAnsi="Times New Roman"/>
          <w:b w:val="false"/>
          <w:i w:val="false"/>
          <w:color w:val="000000"/>
          <w:sz w:val="22"/>
        </w:rPr>
        <w:t>When the child is a beneficiary of a trust and the proceeds therefrom are not currently available, or are not sufficient to meet the child’s needs, the worker shall assist the child in having a petition presented to the court requesting release of funds to help meet current requirements. When the child and responsible adult cooperate in necessary action to obtain a ruling of the court, income shall not be considered available until the decision of the court has been rendered and implemented. When the child and responsible adult do not cooperate in the action necessary to obtain a ruling of the court, the trust fund or investments shall be considered as available to meet the child’s needs immediately. When the child or responsible adult does not cooperate within 90 days in making the income available the maintenance payment shall be terminated.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156.16(2)</w:t>
      </w:r>
      <w:r>
        <w:rPr>
          <w:rFonts w:ascii="Times New Roman" w:hAnsi="Times New Roman"/>
          <w:b w:val="false"/>
          <w:i w:val="false"/>
          <w:color w:val="000000"/>
          <w:sz w:val="22"/>
        </w:rPr>
        <w:t> </w:t>
      </w:r>
      <w:r>
        <w:rPr>
          <w:rFonts w:ascii="Times New Roman" w:hAnsi="Times New Roman"/>
          <w:b w:val="false"/>
          <w:i w:val="false"/>
          <w:color w:val="000000"/>
          <w:sz w:val="22"/>
        </w:rPr>
        <w:t>The Iowa department of human services shall be payee for income from any trust funds or investments unless limited by the trust.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156.16(3)</w:t>
      </w:r>
      <w:r>
        <w:rPr>
          <w:rFonts w:ascii="Times New Roman" w:hAnsi="Times New Roman"/>
          <w:b w:val="false"/>
          <w:i w:val="false"/>
          <w:color w:val="000000"/>
          <w:sz w:val="22"/>
        </w:rPr>
        <w:t> </w:t>
      </w:r>
      <w:r>
        <w:rPr>
          <w:rFonts w:ascii="Times New Roman" w:hAnsi="Times New Roman"/>
          <w:b w:val="false"/>
          <w:i w:val="false"/>
          <w:color w:val="000000"/>
          <w:sz w:val="22"/>
        </w:rPr>
        <w:t>Savings accounts from any income and proceeds from the liquidation of securities shall be placed in the child’s account maintained by the department and any amount in excess of $1,500 shall be applied towards cost of the child’s maintenance.</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37">
        <w:r>
          <w:rPr>
            <w:rStyle w:val="Hyperlink"/>
            <w:rFonts w:ascii="Times New Roman" w:hAnsi="Times New Roman"/>
            <w:b w:val="false"/>
            <w:i w:val="false"/>
            <w:color w:val="000000"/>
            <w:sz w:val="22"/>
          </w:rPr>
          <w:t>234.39</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441—156.17</w:t>
      </w:r>
      <w:r>
        <w:rPr>
          <w:rFonts w:ascii="Times New Roman" w:hAnsi="Times New Roman"/>
          <w:b/>
          <w:i w:val="false"/>
          <w:color w:val="000000"/>
          <w:sz w:val="22"/>
        </w:rPr>
        <w:t xml:space="preserve">(234) </w:t>
      </w:r>
      <w:r>
        <w:rPr>
          <w:rFonts w:ascii="Times New Roman" w:hAnsi="Times New Roman"/>
          <w:b/>
          <w:i w:val="false"/>
          <w:color w:val="000000"/>
          <w:sz w:val="22"/>
        </w:rPr>
        <w:t xml:space="preserve">Preadoptive homes. </w:t>
      </w:r>
      <w:r>
        <w:rPr>
          <w:rFonts w:ascii="Times New Roman" w:hAnsi="Times New Roman"/>
          <w:b w:val="false"/>
          <w:i w:val="false"/>
          <w:color w:val="000000"/>
          <w:sz w:val="22"/>
        </w:rPr>
        <w:t xml:space="preserve">Payment for a foster child placed in a preadoptive home shall be limited to the amount negotiated pursuant to rule </w:t>
      </w:r>
      <w:hyperlink r:id="rId38">
        <w:r>
          <w:rPr>
            <w:rStyle w:val="Hyperlink"/>
            <w:rFonts w:ascii="Times New Roman" w:hAnsi="Times New Roman"/>
            <w:b w:val="false"/>
            <w:i w:val="false"/>
            <w:color w:val="000000"/>
            <w:sz w:val="22"/>
          </w:rPr>
          <w:t>441—201.5</w:t>
        </w:r>
      </w:hyperlink>
      <w:r>
        <w:rPr>
          <w:rFonts w:ascii="Times New Roman" w:hAnsi="Times New Roman"/>
          <w:b w:val="false"/>
          <w:i w:val="false"/>
          <w:color w:val="000000"/>
          <w:sz w:val="22"/>
        </w:rPr>
        <w:t>(600) and shall not exceed the foster care maintenance amount paid in family foster care.</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39">
        <w:r>
          <w:rPr>
            <w:rStyle w:val="Hyperlink"/>
            <w:rFonts w:ascii="Times New Roman" w:hAnsi="Times New Roman"/>
            <w:b w:val="false"/>
            <w:i w:val="false"/>
            <w:color w:val="000000"/>
            <w:sz w:val="22"/>
          </w:rPr>
          <w:t>234.38</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8010B</w:t>
      </w:r>
      <w:r>
        <w:rPr>
          <w:rFonts w:ascii="Times New Roman" w:hAnsi="Times New Roman"/>
          <w:b w:val="false"/>
          <w:i w:val="false"/>
          <w:color w:val="000000"/>
          <w:sz w:val="16"/>
        </w:rPr>
        <w:t>, IAB 7/29/09, effective 10/1/09</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441—156.18</w:t>
      </w:r>
      <w:r>
        <w:rPr>
          <w:rFonts w:ascii="Times New Roman" w:hAnsi="Times New Roman"/>
          <w:b w:val="false"/>
          <w:i w:val="false"/>
          <w:color w:val="000000"/>
          <w:sz w:val="22"/>
        </w:rPr>
        <w:t xml:space="preserve"> and </w:t>
      </w:r>
      <w:r>
        <w:rPr>
          <w:rFonts w:ascii="Times New Roman" w:hAnsi="Times New Roman"/>
          <w:b/>
          <w:i w:val="false"/>
          <w:color w:val="000000"/>
          <w:sz w:val="22"/>
        </w:rPr>
        <w:t>156.19</w:t>
      </w:r>
      <w:r>
        <w:rPr>
          <w:rFonts w:ascii="Times New Roman" w:hAnsi="Times New Roman"/>
          <w:b w:val="false"/>
          <w:i w:val="false"/>
          <w:color w:val="000000"/>
          <w:sz w:val="22"/>
        </w:rPr>
        <w:t>Reserved.</w:t>
      </w:r>
    </w:p>
    <w:p>
      <w:pPr>
        <w:spacing w:before="0" w:after="0"/>
        <w:ind w:left="120"/>
        <w:jc w:val="both"/>
      </w:pPr>
      <w:r>
        <w:rPr>
          <w:rFonts w:ascii="Times New Roman" w:hAnsi="Times New Roman"/>
          <w:b/>
          <w:i w:val="false"/>
          <w:color w:val="000000"/>
          <w:sz w:val="22"/>
        </w:rPr>
        <w:t>441—156.20</w:t>
      </w:r>
      <w:r>
        <w:rPr>
          <w:rFonts w:ascii="Times New Roman" w:hAnsi="Times New Roman"/>
          <w:b/>
          <w:i w:val="false"/>
          <w:color w:val="000000"/>
          <w:sz w:val="22"/>
        </w:rPr>
        <w:t xml:space="preserve">(234) </w:t>
      </w:r>
      <w:r>
        <w:rPr>
          <w:rFonts w:ascii="Times New Roman" w:hAnsi="Times New Roman"/>
          <w:b/>
          <w:i w:val="false"/>
          <w:color w:val="000000"/>
          <w:sz w:val="22"/>
        </w:rPr>
        <w:t xml:space="preserve">Eligibility for foster care payment.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156.20(1)</w:t>
      </w:r>
      <w:r>
        <w:rPr>
          <w:rFonts w:ascii="Times New Roman" w:hAnsi="Times New Roman"/>
          <w:b w:val="false"/>
          <w:i w:val="false"/>
          <w:color w:val="000000"/>
          <w:sz w:val="22"/>
        </w:rPr>
        <w:t> </w:t>
      </w:r>
      <w:r>
        <w:rPr>
          <w:rFonts w:ascii="Times New Roman" w:hAnsi="Times New Roman"/>
          <w:b w:val="false"/>
          <w:i/>
          <w:color w:val="000000"/>
          <w:sz w:val="22"/>
        </w:rPr>
        <w:t xml:space="preserve">Client eligibility. </w:t>
      </w:r>
      <w:r>
        <w:rPr>
          <w:rFonts w:ascii="Times New Roman" w:hAnsi="Times New Roman"/>
          <w:b w:val="false"/>
          <w:i w:val="false"/>
          <w:color w:val="000000"/>
          <w:sz w:val="22"/>
        </w:rPr>
        <w:t>Foster care payment shall be limited to the following populations.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Youth under the age of 18 shall be eligible based on legal status, subject to certain limitations.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Legal status. The youth’s placement shall be based on one of the following legal statuses: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 xml:space="preserve">The court has ordered foster care placement pursuant to Iowa Code section </w:t>
      </w:r>
      <w:hyperlink r:id="rId40">
        <w:r>
          <w:rPr>
            <w:rStyle w:val="Hyperlink"/>
            <w:rFonts w:ascii="Times New Roman" w:hAnsi="Times New Roman"/>
            <w:b w:val="false"/>
            <w:i w:val="false"/>
            <w:color w:val="000000"/>
            <w:sz w:val="22"/>
          </w:rPr>
          <w:t>232.52(2)</w:t>
        </w:r>
      </w:hyperlink>
      <w:r>
        <w:rPr>
          <w:rFonts w:ascii="Times New Roman" w:hAnsi="Times New Roman"/>
          <w:b w:val="false"/>
          <w:i/>
          <w:color w:val="000000"/>
          <w:sz w:val="22"/>
        </w:rPr>
        <w:t xml:space="preserve">“d,” </w:t>
      </w:r>
      <w:hyperlink r:id="rId41">
        <w:r>
          <w:rPr>
            <w:rStyle w:val="Hyperlink"/>
            <w:rFonts w:ascii="Times New Roman" w:hAnsi="Times New Roman"/>
            <w:b w:val="false"/>
            <w:i w:val="false"/>
            <w:color w:val="000000"/>
            <w:sz w:val="22"/>
          </w:rPr>
          <w:t>232.102(1)</w:t>
        </w:r>
      </w:hyperlink>
      <w:r>
        <w:rPr>
          <w:rFonts w:ascii="Times New Roman" w:hAnsi="Times New Roman"/>
          <w:b w:val="false"/>
          <w:i w:val="false"/>
          <w:color w:val="000000"/>
          <w:sz w:val="22"/>
        </w:rPr>
        <w:t xml:space="preserve">, </w:t>
      </w:r>
      <w:hyperlink r:id="rId42">
        <w:r>
          <w:rPr>
            <w:rStyle w:val="Hyperlink"/>
            <w:rFonts w:ascii="Times New Roman" w:hAnsi="Times New Roman"/>
            <w:b w:val="false"/>
            <w:i w:val="false"/>
            <w:color w:val="000000"/>
            <w:sz w:val="22"/>
          </w:rPr>
          <w:t>232.117</w:t>
        </w:r>
      </w:hyperlink>
      <w:r>
        <w:rPr>
          <w:rFonts w:ascii="Times New Roman" w:hAnsi="Times New Roman"/>
          <w:b w:val="false"/>
          <w:i w:val="false"/>
          <w:color w:val="000000"/>
          <w:sz w:val="22"/>
        </w:rPr>
        <w:t xml:space="preserve">, or </w:t>
      </w:r>
      <w:hyperlink r:id="rId43">
        <w:r>
          <w:rPr>
            <w:rStyle w:val="Hyperlink"/>
            <w:rFonts w:ascii="Times New Roman" w:hAnsi="Times New Roman"/>
            <w:b w:val="false"/>
            <w:i w:val="false"/>
            <w:color w:val="000000"/>
            <w:sz w:val="22"/>
          </w:rPr>
          <w:t>232.182(5)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 xml:space="preserve">The child is placed in shelter care pursuant to Iowa Code section </w:t>
      </w:r>
      <w:hyperlink r:id="rId44">
        <w:r>
          <w:rPr>
            <w:rStyle w:val="Hyperlink"/>
            <w:rFonts w:ascii="Times New Roman" w:hAnsi="Times New Roman"/>
            <w:b w:val="false"/>
            <w:i w:val="false"/>
            <w:color w:val="000000"/>
            <w:sz w:val="22"/>
          </w:rPr>
          <w:t>232.20(1)</w:t>
        </w:r>
      </w:hyperlink>
      <w:r>
        <w:rPr>
          <w:rFonts w:ascii="Times New Roman" w:hAnsi="Times New Roman"/>
          <w:b w:val="false"/>
          <w:i w:val="false"/>
          <w:color w:val="000000"/>
          <w:sz w:val="22"/>
        </w:rPr>
        <w:t xml:space="preserve"> or </w:t>
      </w:r>
      <w:hyperlink r:id="rId45">
        <w:r>
          <w:rPr>
            <w:rStyle w:val="Hyperlink"/>
            <w:rFonts w:ascii="Times New Roman" w:hAnsi="Times New Roman"/>
            <w:b w:val="false"/>
            <w:i w:val="false"/>
            <w:color w:val="000000"/>
            <w:sz w:val="22"/>
          </w:rPr>
          <w:t>232.21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 xml:space="preserve">The department has agreed to provide foster care under a voluntary placement agreement pursuant to rule </w:t>
      </w:r>
      <w:hyperlink r:id="rId46">
        <w:r>
          <w:rPr>
            <w:rStyle w:val="Hyperlink"/>
            <w:rFonts w:ascii="Times New Roman" w:hAnsi="Times New Roman"/>
            <w:b w:val="false"/>
            <w:i w:val="false"/>
            <w:color w:val="000000"/>
            <w:sz w:val="22"/>
          </w:rPr>
          <w:t>441—202.3</w:t>
        </w:r>
      </w:hyperlink>
      <w:r>
        <w:rPr>
          <w:rFonts w:ascii="Times New Roman" w:hAnsi="Times New Roman"/>
          <w:b w:val="false"/>
          <w:i w:val="false"/>
          <w:color w:val="000000"/>
          <w:sz w:val="22"/>
        </w:rPr>
        <w:t>(234).</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Limitations. Department payment for group care shall be limited to placements that have been authorized by the department and that conform to the service area group care plan developed pursuant to rule </w:t>
      </w:r>
      <w:hyperlink r:id="rId47">
        <w:r>
          <w:rPr>
            <w:rStyle w:val="Hyperlink"/>
            <w:rFonts w:ascii="Times New Roman" w:hAnsi="Times New Roman"/>
            <w:b w:val="false"/>
            <w:i w:val="false"/>
            <w:color w:val="000000"/>
            <w:sz w:val="22"/>
          </w:rPr>
          <w:t>441—202.17</w:t>
        </w:r>
      </w:hyperlink>
      <w:r>
        <w:rPr>
          <w:rFonts w:ascii="Times New Roman" w:hAnsi="Times New Roman"/>
          <w:b w:val="false"/>
          <w:i w:val="false"/>
          <w:color w:val="000000"/>
          <w:sz w:val="22"/>
        </w:rPr>
        <w:t xml:space="preserve">(232). Payment for an out-of-state group care placement shall be limited to placements approved pursuant to </w:t>
      </w:r>
      <w:hyperlink r:id="rId48">
        <w:r>
          <w:rPr>
            <w:rStyle w:val="Hyperlink"/>
            <w:rFonts w:ascii="Times New Roman" w:hAnsi="Times New Roman"/>
            <w:b w:val="false"/>
            <w:i w:val="false"/>
            <w:color w:val="000000"/>
            <w:sz w:val="22"/>
          </w:rPr>
          <w:t>441—subrule 202.8(2)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Youth aged 18 and older who meet the definition of child in rule </w:t>
      </w:r>
      <w:hyperlink r:id="rId49">
        <w:r>
          <w:rPr>
            <w:rStyle w:val="Hyperlink"/>
            <w:rFonts w:ascii="Times New Roman" w:hAnsi="Times New Roman"/>
            <w:b w:val="false"/>
            <w:i w:val="false"/>
            <w:color w:val="000000"/>
            <w:sz w:val="22"/>
          </w:rPr>
          <w:t>441—202.1</w:t>
        </w:r>
      </w:hyperlink>
      <w:r>
        <w:rPr>
          <w:rFonts w:ascii="Times New Roman" w:hAnsi="Times New Roman"/>
          <w:b w:val="false"/>
          <w:i w:val="false"/>
          <w:color w:val="000000"/>
          <w:sz w:val="22"/>
        </w:rPr>
        <w:t xml:space="preserve">(234) shall be eligible based on age, a voluntary placement agreement pursuant to </w:t>
      </w:r>
      <w:hyperlink r:id="rId50">
        <w:r>
          <w:rPr>
            <w:rStyle w:val="Hyperlink"/>
            <w:rFonts w:ascii="Times New Roman" w:hAnsi="Times New Roman"/>
            <w:b w:val="false"/>
            <w:i w:val="false"/>
            <w:color w:val="000000"/>
            <w:sz w:val="22"/>
          </w:rPr>
          <w:t>441—subrule 202.3(3)</w:t>
        </w:r>
      </w:hyperlink>
      <w:r>
        <w:rPr>
          <w:rFonts w:ascii="Times New Roman" w:hAnsi="Times New Roman"/>
          <w:b w:val="false"/>
          <w:i w:val="false"/>
          <w:color w:val="000000"/>
          <w:sz w:val="22"/>
        </w:rPr>
        <w:t>, and type of placement.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Except as provided in subparagraph </w:t>
      </w:r>
      <w:hyperlink r:id="rId51">
        <w:r>
          <w:rPr>
            <w:rStyle w:val="Hyperlink"/>
            <w:rFonts w:ascii="Times New Roman" w:hAnsi="Times New Roman"/>
            <w:b w:val="false"/>
            <w:i w:val="false"/>
            <w:color w:val="000000"/>
            <w:sz w:val="22"/>
          </w:rPr>
          <w:t>156.20(1)</w:t>
        </w:r>
        <w:r>
          <w:rPr>
            <w:rFonts w:ascii="Times New Roman" w:hAnsi="Times New Roman"/>
            <w:b w:val="false"/>
            <w:i/>
            <w:color w:val="000000"/>
            <w:sz w:val="22"/>
          </w:rPr>
          <w:t>“b”</w:t>
        </w:r>
        <w:r>
          <w:rPr>
            <w:rFonts w:ascii="Times New Roman" w:hAnsi="Times New Roman"/>
            <w:b w:val="false"/>
            <w:i w:val="false"/>
            <w:color w:val="000000"/>
            <w:sz w:val="22"/>
          </w:rPr>
          <w:t>(3)</w:t>
        </w:r>
      </w:hyperlink>
      <w:r>
        <w:rPr>
          <w:rFonts w:ascii="Times New Roman" w:hAnsi="Times New Roman"/>
          <w:b w:val="false"/>
          <w:i w:val="false"/>
          <w:color w:val="000000"/>
          <w:sz w:val="22"/>
        </w:rPr>
        <w:t>, payment for a child who is 18 years of age shall be limited to family foster care or supervised apartment living.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Except as provided in subparagraph </w:t>
      </w:r>
      <w:hyperlink r:id="rId52">
        <w:r>
          <w:rPr>
            <w:rStyle w:val="Hyperlink"/>
            <w:rFonts w:ascii="Times New Roman" w:hAnsi="Times New Roman"/>
            <w:b w:val="false"/>
            <w:i w:val="false"/>
            <w:color w:val="000000"/>
            <w:sz w:val="22"/>
          </w:rPr>
          <w:t>156.20(1)</w:t>
        </w:r>
        <w:r>
          <w:rPr>
            <w:rFonts w:ascii="Times New Roman" w:hAnsi="Times New Roman"/>
            <w:b w:val="false"/>
            <w:i/>
            <w:color w:val="000000"/>
            <w:sz w:val="22"/>
          </w:rPr>
          <w:t>“b”</w:t>
        </w:r>
        <w:r>
          <w:rPr>
            <w:rFonts w:ascii="Times New Roman" w:hAnsi="Times New Roman"/>
            <w:b w:val="false"/>
            <w:i w:val="false"/>
            <w:color w:val="000000"/>
            <w:sz w:val="22"/>
          </w:rPr>
          <w:t>(3)</w:t>
        </w:r>
      </w:hyperlink>
      <w:r>
        <w:rPr>
          <w:rFonts w:ascii="Times New Roman" w:hAnsi="Times New Roman"/>
          <w:b w:val="false"/>
          <w:i w:val="false"/>
          <w:color w:val="000000"/>
          <w:sz w:val="22"/>
        </w:rPr>
        <w:t>, payment for a child who is 19 years of age shall be limited to supervised apartment living.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Exceptions. An exception to subparagraphs (1) and (2) shall be granted for all unaccompanied refugee minors. The child’s eligibility for the exception shall be documented in the case record. The service area manager or designee shall grant an exception for other children when the child meets all of the following criteria. </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 xml:space="preserve">The child does not have an intellectual disability. Funding for services for persons with an intellectual disability is the responsibility of the county or state pursuant to Iowa Code section </w:t>
      </w:r>
      <w:hyperlink r:id="rId53">
        <w:r>
          <w:rPr>
            <w:rStyle w:val="Hyperlink"/>
            <w:rFonts w:ascii="Times New Roman" w:hAnsi="Times New Roman"/>
            <w:b w:val="false"/>
            <w:i w:val="false"/>
            <w:color w:val="000000"/>
            <w:sz w:val="22"/>
          </w:rPr>
          <w:t>222.60</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The child is at imminent risk of becoming homeless or of failing to graduate from high school or obtain a general equivalency diploma. “At imminent risk of becoming homeless” shall mean that a less restrictive living arrangement is not available.</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The placement is in the child’s best interests.</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Funds are available in the service area’s allocation. When the service area manager has approved payment for foster care pursuant to this subparagraph, funds that may be necessary to provide payment for the time period of the exception, not to exceed the current fiscal year, shall be considered encumbered and no longer available. Each service area’s funding allocation shall be based on the service area’s portion of the total number of children in foster care on March 31 preceding the beginning of the fiscal year, who would no longer be eligible for foster care during the fiscal year due to age, excluding unaccompanied refugee minors.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A young mother shall be eligible for the extra payment for her young child living with her in care as set forth in paragraph </w:t>
      </w:r>
      <w:r>
        <w:rPr>
          <w:rFonts w:ascii="Times New Roman" w:hAnsi="Times New Roman"/>
          <w:b w:val="false"/>
          <w:i w:val="false"/>
          <w:color w:val="000000"/>
          <w:sz w:val="22"/>
        </w:rPr>
        <w:t>156.6(4)</w:t>
      </w:r>
      <w:r>
        <w:rPr>
          <w:rFonts w:ascii="Times New Roman" w:hAnsi="Times New Roman"/>
          <w:b w:val="false"/>
          <w:i/>
          <w:color w:val="000000"/>
          <w:sz w:val="22"/>
        </w:rPr>
        <w:t>“a”</w:t>
      </w:r>
      <w:r>
        <w:rPr>
          <w:rFonts w:ascii="Times New Roman" w:hAnsi="Times New Roman"/>
          <w:b w:val="false"/>
          <w:i w:val="false"/>
          <w:color w:val="000000"/>
          <w:sz w:val="22"/>
        </w:rPr>
        <w:t xml:space="preserve"> and subrule </w:t>
      </w:r>
      <w:hyperlink r:id="rId54">
        <w:r>
          <w:rPr>
            <w:rStyle w:val="Hyperlink"/>
            <w:rFonts w:ascii="Times New Roman" w:hAnsi="Times New Roman"/>
            <w:b w:val="false"/>
            <w:i w:val="false"/>
            <w:color w:val="000000"/>
            <w:sz w:val="22"/>
          </w:rPr>
          <w:t>156.9(4)</w:t>
        </w:r>
      </w:hyperlink>
      <w:r>
        <w:rPr>
          <w:rFonts w:ascii="Times New Roman" w:hAnsi="Times New Roman"/>
          <w:b w:val="false"/>
          <w:i w:val="false"/>
          <w:color w:val="000000"/>
          <w:sz w:val="22"/>
        </w:rPr>
        <w:t xml:space="preserve"> if all of the following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mother is placed in foster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mother’s custodian determines, as documented in the mother’s case permanency plan, that it is in her best interest and the best interest of the young child that the child remain with her.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placement is available.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mother agrees to refund to the department any child support payments she receives on behalf of the child and to allow the department to be made payee for any other unearned income for the child.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156.20(2)</w:t>
      </w:r>
      <w:r>
        <w:rPr>
          <w:rFonts w:ascii="Times New Roman" w:hAnsi="Times New Roman"/>
          <w:b w:val="false"/>
          <w:i w:val="false"/>
          <w:color w:val="000000"/>
          <w:sz w:val="22"/>
        </w:rPr>
        <w:t> </w:t>
      </w:r>
      <w:r>
        <w:rPr>
          <w:rFonts w:ascii="Times New Roman" w:hAnsi="Times New Roman"/>
          <w:b w:val="false"/>
          <w:i/>
          <w:color w:val="000000"/>
          <w:sz w:val="22"/>
        </w:rPr>
        <w:t xml:space="preserve">Provider eligibility for payment. </w:t>
      </w:r>
      <w:r>
        <w:rPr>
          <w:rFonts w:ascii="Times New Roman" w:hAnsi="Times New Roman"/>
          <w:b w:val="false"/>
          <w:i w:val="false"/>
          <w:color w:val="000000"/>
          <w:sz w:val="22"/>
        </w:rPr>
        <w:t xml:space="preserve">Providers of foster care services shall have a foster care services contract under </w:t>
      </w:r>
      <w:hyperlink r:id="rId55">
        <w:r>
          <w:rPr>
            <w:rStyle w:val="Hyperlink"/>
            <w:rFonts w:ascii="Times New Roman" w:hAnsi="Times New Roman"/>
            <w:b w:val="false"/>
            <w:i w:val="false"/>
            <w:color w:val="000000"/>
            <w:sz w:val="22"/>
          </w:rPr>
          <w:t>441—Chapter 152</w:t>
        </w:r>
      </w:hyperlink>
      <w:r>
        <w:rPr>
          <w:rFonts w:ascii="Times New Roman" w:hAnsi="Times New Roman"/>
          <w:b w:val="false"/>
          <w:i w:val="false"/>
          <w:color w:val="000000"/>
          <w:sz w:val="22"/>
        </w:rPr>
        <w:t xml:space="preserve"> in force.</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56">
        <w:r>
          <w:rPr>
            <w:rStyle w:val="Hyperlink"/>
            <w:rFonts w:ascii="Times New Roman" w:hAnsi="Times New Roman"/>
            <w:b w:val="false"/>
            <w:i w:val="false"/>
            <w:color w:val="000000"/>
            <w:sz w:val="22"/>
          </w:rPr>
          <w:t>232.143</w:t>
        </w:r>
      </w:hyperlink>
      <w:r>
        <w:rPr>
          <w:rFonts w:ascii="Times New Roman" w:hAnsi="Times New Roman"/>
          <w:b w:val="false"/>
          <w:i w:val="false"/>
          <w:color w:val="000000"/>
          <w:sz w:val="22"/>
        </w:rPr>
        <w:t xml:space="preserve">, </w:t>
      </w:r>
      <w:hyperlink r:id="rId57">
        <w:r>
          <w:rPr>
            <w:rStyle w:val="Hyperlink"/>
            <w:rFonts w:ascii="Times New Roman" w:hAnsi="Times New Roman"/>
            <w:b w:val="false"/>
            <w:i w:val="false"/>
            <w:color w:val="000000"/>
            <w:sz w:val="22"/>
          </w:rPr>
          <w:t>234.35</w:t>
        </w:r>
      </w:hyperlink>
      <w:r>
        <w:rPr>
          <w:rFonts w:ascii="Times New Roman" w:hAnsi="Times New Roman"/>
          <w:b w:val="false"/>
          <w:i w:val="false"/>
          <w:color w:val="000000"/>
          <w:sz w:val="22"/>
        </w:rPr>
        <w:t xml:space="preserve"> and </w:t>
      </w:r>
      <w:hyperlink r:id="rId58">
        <w:r>
          <w:rPr>
            <w:rStyle w:val="Hyperlink"/>
            <w:rFonts w:ascii="Times New Roman" w:hAnsi="Times New Roman"/>
            <w:b w:val="false"/>
            <w:i w:val="false"/>
            <w:color w:val="000000"/>
            <w:sz w:val="22"/>
          </w:rPr>
          <w:t>234.38</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8010B</w:t>
      </w:r>
      <w:r>
        <w:rPr>
          <w:rFonts w:ascii="Times New Roman" w:hAnsi="Times New Roman"/>
          <w:b w:val="false"/>
          <w:i w:val="false"/>
          <w:color w:val="000000"/>
          <w:sz w:val="16"/>
        </w:rPr>
        <w:t>, IAB 7/29/09, effective 10/1/09</w:t>
      </w:r>
      <w:r>
        <w:rPr>
          <w:rFonts w:ascii="Times New Roman" w:hAnsi="Times New Roman"/>
          <w:b w:val="false"/>
          <w:i w:val="false"/>
          <w:color w:val="000000"/>
          <w:sz w:val="16"/>
        </w:rPr>
        <w:t xml:space="preserve">; </w:t>
      </w:r>
      <w:r>
        <w:rPr>
          <w:rFonts w:ascii="Times New Roman" w:hAnsi="Times New Roman"/>
          <w:b/>
          <w:i w:val="false"/>
          <w:color w:val="000000"/>
          <w:sz w:val="16"/>
        </w:rPr>
        <w:t>ARC 2885C</w:t>
      </w:r>
      <w:r>
        <w:rPr>
          <w:rFonts w:ascii="Times New Roman" w:hAnsi="Times New Roman"/>
          <w:b w:val="false"/>
          <w:i w:val="false"/>
          <w:color w:val="000000"/>
          <w:sz w:val="16"/>
        </w:rPr>
        <w:t>, IAB 1/4/17, effective 3/1/17</w:t>
      </w:r>
      <w:r>
        <w:rPr>
          <w:rFonts w:ascii="Times New Roman" w:hAnsi="Times New Roman"/>
          <w:b w:val="false"/>
          <w:i w:val="false"/>
          <w:color w:val="000000"/>
          <w:sz w:val="16"/>
        </w:rPr>
        <w:t>]</w:t>
      </w:r>
    </w:p>
    <w:p>
      <w:pPr>
        <w:spacing w:before="0" w:after="0"/>
        <w:ind w:left="120"/>
        <w:jc w:val="center"/>
      </w:pPr>
      <w:r>
        <w:rPr>
          <w:rFonts w:ascii="Times New Roman" w:hAnsi="Times New Roman"/>
          <w:b w:val="false"/>
          <w:i w:val="false"/>
          <w:color w:val="000000"/>
          <w:sz w:val="21"/>
        </w:rPr>
        <w:t>[Filed 7/1/74; amended 9/4/74]</w:t>
      </w:r>
    </w:p>
    <w:p>
      <w:pPr>
        <w:spacing w:before="0" w:after="0"/>
        <w:ind w:left="120"/>
        <w:jc w:val="center"/>
      </w:pPr>
      <w:r>
        <w:rPr>
          <w:rFonts w:ascii="Times New Roman" w:hAnsi="Times New Roman"/>
          <w:b w:val="false"/>
          <w:i w:val="false"/>
          <w:color w:val="000000"/>
          <w:sz w:val="21"/>
        </w:rPr>
        <w:t>[Filed emergency 10/31/75—published 11/17/75, effective 11/1/75]</w:t>
      </w:r>
    </w:p>
    <w:p>
      <w:pPr>
        <w:spacing w:before="0" w:after="0"/>
        <w:ind w:left="120"/>
        <w:jc w:val="center"/>
      </w:pPr>
      <w:r>
        <w:rPr>
          <w:rFonts w:ascii="Times New Roman" w:hAnsi="Times New Roman"/>
          <w:b w:val="false"/>
          <w:i w:val="false"/>
          <w:color w:val="000000"/>
          <w:sz w:val="21"/>
        </w:rPr>
        <w:t>[Filed 12/23/75, Notice 11/17/75—published 1/12/76, effective 2/16/76]</w:t>
      </w:r>
    </w:p>
    <w:p>
      <w:pPr>
        <w:spacing w:before="0" w:after="0"/>
        <w:ind w:left="120"/>
        <w:jc w:val="center"/>
      </w:pPr>
      <w:r>
        <w:rPr>
          <w:rFonts w:ascii="Times New Roman" w:hAnsi="Times New Roman"/>
          <w:b w:val="false"/>
          <w:i w:val="false"/>
          <w:color w:val="000000"/>
          <w:sz w:val="21"/>
        </w:rPr>
        <w:t>[Filed 2/19/76, Notice 1/12/76—published 3/8/76, effective 4/12/76]</w:t>
      </w:r>
    </w:p>
    <w:p>
      <w:pPr>
        <w:spacing w:before="0" w:after="0"/>
        <w:ind w:left="120"/>
        <w:jc w:val="center"/>
      </w:pPr>
      <w:r>
        <w:rPr>
          <w:rFonts w:ascii="Times New Roman" w:hAnsi="Times New Roman"/>
          <w:b w:val="false"/>
          <w:i w:val="false"/>
          <w:color w:val="000000"/>
          <w:sz w:val="21"/>
        </w:rPr>
        <w:t>[Filed emergency 7/29/76—published 8/23/76, effective 9/1/76]</w:t>
      </w:r>
    </w:p>
    <w:p>
      <w:pPr>
        <w:spacing w:before="0" w:after="0"/>
        <w:ind w:left="120"/>
        <w:jc w:val="center"/>
      </w:pPr>
      <w:r>
        <w:rPr>
          <w:rFonts w:ascii="Times New Roman" w:hAnsi="Times New Roman"/>
          <w:b w:val="false"/>
          <w:i w:val="false"/>
          <w:color w:val="000000"/>
          <w:sz w:val="21"/>
        </w:rPr>
        <w:t>[Filed 10/7/76, Notice 8/23/76—published 11/3/76, effective 12/8/76]</w:t>
      </w:r>
    </w:p>
    <w:p>
      <w:pPr>
        <w:spacing w:before="0" w:after="0"/>
        <w:ind w:left="120"/>
        <w:jc w:val="center"/>
      </w:pPr>
      <w:r>
        <w:rPr>
          <w:rFonts w:ascii="Times New Roman" w:hAnsi="Times New Roman"/>
          <w:b w:val="false"/>
          <w:i w:val="false"/>
          <w:color w:val="000000"/>
          <w:sz w:val="21"/>
        </w:rPr>
        <w:t>[Filed 6/10/77, Notice 5/4/77—published 6/29/77, effective 8/3/77]</w:t>
      </w:r>
    </w:p>
    <w:p>
      <w:pPr>
        <w:spacing w:before="0" w:after="0"/>
        <w:ind w:left="120"/>
        <w:jc w:val="center"/>
      </w:pPr>
      <w:r>
        <w:rPr>
          <w:rFonts w:ascii="Times New Roman" w:hAnsi="Times New Roman"/>
          <w:b w:val="false"/>
          <w:i w:val="false"/>
          <w:color w:val="000000"/>
          <w:sz w:val="21"/>
        </w:rPr>
        <w:t>[Filed 5/24/78, Notice 3/22/78—published 6/14/78, effective 7/19/78]</w:t>
      </w:r>
    </w:p>
    <w:p>
      <w:pPr>
        <w:spacing w:before="0" w:after="0"/>
        <w:ind w:left="120"/>
        <w:jc w:val="center"/>
      </w:pPr>
      <w:r>
        <w:rPr>
          <w:rFonts w:ascii="Times New Roman" w:hAnsi="Times New Roman"/>
          <w:b w:val="false"/>
          <w:i w:val="false"/>
          <w:color w:val="000000"/>
          <w:sz w:val="21"/>
        </w:rPr>
        <w:t>[Filed emergency 7/28/78—published 8/23/78, effective 8/1/78]</w:t>
      </w:r>
    </w:p>
    <w:p>
      <w:pPr>
        <w:spacing w:before="0" w:after="0"/>
        <w:ind w:left="120"/>
        <w:jc w:val="center"/>
      </w:pPr>
      <w:r>
        <w:rPr>
          <w:rFonts w:ascii="Times New Roman" w:hAnsi="Times New Roman"/>
          <w:b w:val="false"/>
          <w:i w:val="false"/>
          <w:color w:val="000000"/>
          <w:sz w:val="21"/>
        </w:rPr>
        <w:t>[Filed emergency 6/26/79—published 7/25/79, effective 7/1/79]</w:t>
      </w:r>
    </w:p>
    <w:p>
      <w:pPr>
        <w:spacing w:before="0" w:after="0"/>
        <w:ind w:left="120"/>
        <w:jc w:val="center"/>
      </w:pPr>
      <w:r>
        <w:rPr>
          <w:rFonts w:ascii="Times New Roman" w:hAnsi="Times New Roman"/>
          <w:b w:val="false"/>
          <w:i w:val="false"/>
          <w:color w:val="000000"/>
          <w:sz w:val="21"/>
        </w:rPr>
        <w:t>[Filed emergency 6/30/80—published 7/23/80, effective 7/1/80]</w:t>
      </w:r>
    </w:p>
    <w:p>
      <w:pPr>
        <w:spacing w:before="0" w:after="0"/>
        <w:ind w:left="120"/>
        <w:jc w:val="center"/>
      </w:pPr>
      <w:r>
        <w:rPr>
          <w:rFonts w:ascii="Times New Roman" w:hAnsi="Times New Roman"/>
          <w:b w:val="false"/>
          <w:i w:val="false"/>
          <w:color w:val="000000"/>
          <w:sz w:val="21"/>
        </w:rPr>
        <w:t>[Filed 10/24/80, Notice 9/3/80—published 11/12/80, effective 12/17/80]</w:t>
      </w:r>
    </w:p>
    <w:p>
      <w:pPr>
        <w:spacing w:before="0" w:after="0"/>
        <w:ind w:left="120"/>
        <w:jc w:val="center"/>
      </w:pPr>
      <w:r>
        <w:rPr>
          <w:rFonts w:ascii="Times New Roman" w:hAnsi="Times New Roman"/>
          <w:b w:val="false"/>
          <w:i w:val="false"/>
          <w:color w:val="000000"/>
          <w:sz w:val="21"/>
        </w:rPr>
        <w:t>[Filed emergency 6/30/81—published 7/22/81, effective 7/1/81]</w:t>
      </w:r>
    </w:p>
    <w:p>
      <w:pPr>
        <w:spacing w:before="0" w:after="0"/>
        <w:ind w:left="120"/>
        <w:jc w:val="center"/>
      </w:pPr>
      <w:r>
        <w:rPr>
          <w:rFonts w:ascii="Times New Roman" w:hAnsi="Times New Roman"/>
          <w:b w:val="false"/>
          <w:i w:val="false"/>
          <w:color w:val="000000"/>
          <w:sz w:val="21"/>
        </w:rPr>
        <w:t>[Filed 6/30/81, Notice 4/29/81—published 7/22/81, effective 9/1/81]</w:t>
      </w:r>
    </w:p>
    <w:p>
      <w:pPr>
        <w:spacing w:before="0" w:after="0"/>
        <w:ind w:left="120"/>
        <w:jc w:val="center"/>
      </w:pPr>
      <w:r>
        <w:rPr>
          <w:rFonts w:ascii="Times New Roman" w:hAnsi="Times New Roman"/>
          <w:b w:val="false"/>
          <w:i w:val="false"/>
          <w:color w:val="000000"/>
          <w:sz w:val="21"/>
        </w:rPr>
        <w:t>[Filed emergency 8/20/82—published 9/15/82, effective 9/1/82]</w:t>
      </w:r>
    </w:p>
    <w:p>
      <w:pPr>
        <w:spacing w:before="0" w:after="0"/>
        <w:ind w:left="120"/>
        <w:jc w:val="center"/>
      </w:pPr>
      <w:r>
        <w:rPr>
          <w:rFonts w:ascii="Times New Roman" w:hAnsi="Times New Roman"/>
          <w:b w:val="false"/>
          <w:i w:val="false"/>
          <w:color w:val="000000"/>
          <w:sz w:val="21"/>
        </w:rPr>
        <w:t>[Filed 2/25/83, Notice 12/22/82—published 3/16/83, effective 5/1/83]</w:t>
      </w:r>
    </w:p>
    <w:p>
      <w:pPr>
        <w:spacing w:before="0" w:after="0"/>
        <w:ind w:left="120"/>
        <w:jc w:val="center"/>
      </w:pPr>
      <w:r>
        <w:rPr>
          <w:rFonts w:ascii="Times New Roman" w:hAnsi="Times New Roman"/>
          <w:b w:val="false"/>
          <w:i w:val="false"/>
          <w:color w:val="000000"/>
          <w:sz w:val="21"/>
        </w:rPr>
        <w:t>[Filed emergency after Notice 6/17/83—published 7/6/83, effective 7/1/83]</w:t>
      </w:r>
    </w:p>
    <w:p>
      <w:pPr>
        <w:spacing w:before="0" w:after="0"/>
        <w:ind w:left="120"/>
        <w:jc w:val="center"/>
      </w:pPr>
      <w:r>
        <w:rPr>
          <w:rFonts w:ascii="Times New Roman" w:hAnsi="Times New Roman"/>
          <w:b w:val="false"/>
          <w:i w:val="false"/>
          <w:color w:val="000000"/>
          <w:sz w:val="21"/>
        </w:rPr>
        <w:t>[Filed emergency 6/17/83—published 7/6/83, effective 7/1/83]</w:t>
      </w:r>
    </w:p>
    <w:p>
      <w:pPr>
        <w:spacing w:before="0" w:after="0"/>
        <w:ind w:left="120"/>
        <w:jc w:val="center"/>
      </w:pPr>
      <w:r>
        <w:rPr>
          <w:rFonts w:ascii="Times New Roman" w:hAnsi="Times New Roman"/>
          <w:b w:val="false"/>
          <w:i w:val="false"/>
          <w:color w:val="000000"/>
          <w:sz w:val="21"/>
        </w:rPr>
        <w:t>[Filed emergency 10/7/83—published 10/26/83, effective 11/1/83]</w:t>
      </w:r>
    </w:p>
    <w:p>
      <w:pPr>
        <w:spacing w:before="0" w:after="0"/>
        <w:ind w:left="120"/>
        <w:jc w:val="center"/>
      </w:pPr>
      <w:r>
        <w:rPr>
          <w:rFonts w:ascii="Times New Roman" w:hAnsi="Times New Roman"/>
          <w:b w:val="false"/>
          <w:i w:val="false"/>
          <w:color w:val="000000"/>
          <w:sz w:val="21"/>
        </w:rPr>
        <w:t>[Filed without Notice 10/7/83—published 10/26/83, effective 12/1/83]</w:t>
      </w:r>
    </w:p>
    <w:p>
      <w:pPr>
        <w:spacing w:before="0" w:after="0"/>
        <w:ind w:left="120"/>
        <w:jc w:val="center"/>
      </w:pPr>
      <w:r>
        <w:rPr>
          <w:rFonts w:ascii="Times New Roman" w:hAnsi="Times New Roman"/>
          <w:b w:val="false"/>
          <w:i w:val="false"/>
          <w:color w:val="000000"/>
          <w:sz w:val="21"/>
        </w:rPr>
        <w:t>[Filed 11/18/83, Notice 10/12/83—published 12/7/83, effective 2/1/84]</w:t>
      </w:r>
    </w:p>
    <w:p>
      <w:pPr>
        <w:spacing w:before="0" w:after="0"/>
        <w:ind w:left="120"/>
        <w:jc w:val="center"/>
      </w:pPr>
      <w:r>
        <w:rPr>
          <w:rFonts w:ascii="Times New Roman" w:hAnsi="Times New Roman"/>
          <w:b w:val="false"/>
          <w:i w:val="false"/>
          <w:color w:val="000000"/>
          <w:sz w:val="21"/>
        </w:rPr>
        <w:t>[Filed emergency 2/10/84—published 2/29/84, effective 2/10/84]</w:t>
      </w:r>
    </w:p>
    <w:p>
      <w:pPr>
        <w:spacing w:before="0" w:after="0"/>
        <w:ind w:left="120"/>
        <w:jc w:val="center"/>
      </w:pPr>
      <w:r>
        <w:rPr>
          <w:rFonts w:ascii="Times New Roman" w:hAnsi="Times New Roman"/>
          <w:b w:val="false"/>
          <w:i w:val="false"/>
          <w:color w:val="000000"/>
          <w:sz w:val="21"/>
        </w:rPr>
        <w:t>[Filed emergency 6/15/84—published 7/4/84, effective 7/1/84]</w:t>
      </w:r>
    </w:p>
    <w:p>
      <w:pPr>
        <w:spacing w:before="0" w:after="0"/>
        <w:ind w:left="120"/>
        <w:jc w:val="center"/>
      </w:pPr>
      <w:r>
        <w:rPr>
          <w:rFonts w:ascii="Times New Roman" w:hAnsi="Times New Roman"/>
          <w:b w:val="false"/>
          <w:i w:val="false"/>
          <w:color w:val="000000"/>
          <w:sz w:val="21"/>
        </w:rPr>
        <w:t>[Filed 6/15/84, Notice 5/9/84—published 7/4/84, effective 9/1/84]</w:t>
      </w:r>
    </w:p>
    <w:p>
      <w:pPr>
        <w:spacing w:before="0" w:after="0"/>
        <w:ind w:left="120"/>
        <w:jc w:val="center"/>
      </w:pPr>
      <w:r>
        <w:rPr>
          <w:rFonts w:ascii="Times New Roman" w:hAnsi="Times New Roman"/>
          <w:b w:val="false"/>
          <w:i w:val="false"/>
          <w:color w:val="000000"/>
          <w:sz w:val="21"/>
        </w:rPr>
        <w:t>[Filed emergency 8/31/84—published 9/26/84, effective 10/1/84]</w:t>
      </w:r>
    </w:p>
    <w:p>
      <w:pPr>
        <w:spacing w:before="0" w:after="0"/>
        <w:ind w:left="120"/>
        <w:jc w:val="center"/>
      </w:pPr>
      <w:r>
        <w:rPr>
          <w:rFonts w:ascii="Times New Roman" w:hAnsi="Times New Roman"/>
          <w:b w:val="false"/>
          <w:i w:val="false"/>
          <w:color w:val="000000"/>
          <w:sz w:val="21"/>
        </w:rPr>
        <w:t>[Filed emergency 11/16/84—published 12/5/84, effective 12/1/84]</w:t>
      </w:r>
    </w:p>
    <w:p>
      <w:pPr>
        <w:spacing w:before="0" w:after="0"/>
        <w:ind w:left="120"/>
        <w:jc w:val="center"/>
      </w:pPr>
      <w:r>
        <w:rPr>
          <w:rFonts w:ascii="Times New Roman" w:hAnsi="Times New Roman"/>
          <w:b w:val="false"/>
          <w:i w:val="false"/>
          <w:color w:val="000000"/>
          <w:sz w:val="21"/>
        </w:rPr>
        <w:t>[Filed 1/21/85, Notice 12/5/84—published 2/13/85, effective 4/1/85]</w:t>
      </w:r>
    </w:p>
    <w:p>
      <w:pPr>
        <w:spacing w:before="0" w:after="0"/>
        <w:ind w:left="120"/>
        <w:jc w:val="center"/>
      </w:pPr>
      <w:r>
        <w:rPr>
          <w:rFonts w:ascii="Times New Roman" w:hAnsi="Times New Roman"/>
          <w:b w:val="false"/>
          <w:i w:val="false"/>
          <w:color w:val="000000"/>
          <w:sz w:val="21"/>
        </w:rPr>
        <w:t>[Filed 4/29/85, Notice 2/27/85—published 5/22/85, effective 7/1/85]</w:t>
      </w:r>
    </w:p>
    <w:p>
      <w:pPr>
        <w:spacing w:before="0" w:after="0"/>
        <w:ind w:left="120"/>
        <w:jc w:val="center"/>
      </w:pPr>
      <w:r>
        <w:rPr>
          <w:rFonts w:ascii="Times New Roman" w:hAnsi="Times New Roman"/>
          <w:b w:val="false"/>
          <w:i w:val="false"/>
          <w:color w:val="000000"/>
          <w:sz w:val="21"/>
        </w:rPr>
        <w:t>[Filed emergency 6/14/85—published 7/3/85, effective 7/1/85]</w:t>
      </w:r>
    </w:p>
    <w:p>
      <w:pPr>
        <w:spacing w:before="0" w:after="0"/>
        <w:ind w:left="120"/>
        <w:jc w:val="center"/>
      </w:pPr>
      <w:r>
        <w:rPr>
          <w:rFonts w:ascii="Times New Roman" w:hAnsi="Times New Roman"/>
          <w:b w:val="false"/>
          <w:i w:val="false"/>
          <w:color w:val="000000"/>
          <w:sz w:val="21"/>
        </w:rPr>
        <w:t>[Filed emergency 10/1/85—published 10/23/85, effective 11/1/85]</w:t>
      </w:r>
    </w:p>
    <w:p>
      <w:pPr>
        <w:spacing w:before="0" w:after="0"/>
        <w:ind w:left="120"/>
        <w:jc w:val="center"/>
      </w:pPr>
      <w:r>
        <w:rPr>
          <w:rFonts w:ascii="Times New Roman" w:hAnsi="Times New Roman"/>
          <w:b w:val="false"/>
          <w:i w:val="false"/>
          <w:color w:val="000000"/>
          <w:sz w:val="21"/>
        </w:rPr>
        <w:t>[Filed without Notice 10/1/85—published 10/23/85, effective 12/1/85]</w:t>
      </w:r>
    </w:p>
    <w:p>
      <w:pPr>
        <w:spacing w:before="0" w:after="0"/>
        <w:ind w:left="120"/>
        <w:jc w:val="center"/>
      </w:pPr>
      <w:r>
        <w:rPr>
          <w:rFonts w:ascii="Times New Roman" w:hAnsi="Times New Roman"/>
          <w:b w:val="false"/>
          <w:i w:val="false"/>
          <w:color w:val="000000"/>
          <w:sz w:val="21"/>
        </w:rPr>
        <w:t>[Filed 12/2/85, Notice 10/23/85—published 12/18/85, effective 2/1/86]</w:t>
      </w:r>
    </w:p>
    <w:p>
      <w:pPr>
        <w:spacing w:before="0" w:after="0"/>
        <w:ind w:left="120"/>
        <w:jc w:val="center"/>
      </w:pPr>
      <w:r>
        <w:rPr>
          <w:rFonts w:ascii="Times New Roman" w:hAnsi="Times New Roman"/>
          <w:b w:val="false"/>
          <w:i w:val="false"/>
          <w:color w:val="000000"/>
          <w:sz w:val="21"/>
        </w:rPr>
        <w:t>[Filed 12/12/85, Notice 10/9/85—published 1/1/86, effective 3/1/86]</w:t>
      </w:r>
    </w:p>
    <w:p>
      <w:pPr>
        <w:spacing w:before="0" w:after="0"/>
        <w:ind w:left="120"/>
        <w:jc w:val="center"/>
      </w:pPr>
      <w:r>
        <w:rPr>
          <w:rFonts w:ascii="Times New Roman" w:hAnsi="Times New Roman"/>
          <w:b w:val="false"/>
          <w:i w:val="false"/>
          <w:color w:val="000000"/>
          <w:sz w:val="21"/>
        </w:rPr>
        <w:t>[Filed emergency 6/26/86—published 7/16/86, effective 7/1/86]</w:t>
      </w:r>
    </w:p>
    <w:p>
      <w:pPr>
        <w:spacing w:before="0" w:after="0"/>
        <w:ind w:left="120"/>
        <w:jc w:val="center"/>
      </w:pPr>
      <w:r>
        <w:rPr>
          <w:rFonts w:ascii="Times New Roman" w:hAnsi="Times New Roman"/>
          <w:b w:val="false"/>
          <w:i w:val="false"/>
          <w:color w:val="000000"/>
          <w:sz w:val="21"/>
        </w:rPr>
        <w:t>[Filed emergency 1/15/87—published 2/11/87, effective 1/15/87]</w:t>
      </w:r>
    </w:p>
    <w:p>
      <w:pPr>
        <w:spacing w:before="0" w:after="0"/>
        <w:ind w:left="120"/>
        <w:jc w:val="center"/>
      </w:pPr>
      <w:r>
        <w:rPr>
          <w:rFonts w:ascii="Times New Roman" w:hAnsi="Times New Roman"/>
          <w:b w:val="false"/>
          <w:i w:val="false"/>
          <w:color w:val="000000"/>
          <w:sz w:val="21"/>
        </w:rPr>
        <w:t>[Filed emergency 6/19/87—published 7/15/87, effective 7/1/87]</w:t>
      </w:r>
      <w:r>
        <w:rPr>
          <w:rFonts w:ascii="Times New Roman" w:hAnsi="Times New Roman"/>
          <w:b w:val="false"/>
          <w:i w:val="false"/>
          <w:color w:val="000000"/>
          <w:sz w:val="14"/>
        </w:rPr>
        <w:t>◊</w:t>
      </w:r>
    </w:p>
    <w:p>
      <w:pPr>
        <w:spacing w:before="0" w:after="0"/>
        <w:ind w:left="120"/>
        <w:jc w:val="center"/>
      </w:pPr>
      <w:r>
        <w:rPr>
          <w:rFonts w:ascii="Times New Roman" w:hAnsi="Times New Roman"/>
          <w:b w:val="false"/>
          <w:i w:val="false"/>
          <w:color w:val="000000"/>
          <w:sz w:val="21"/>
        </w:rPr>
        <w:t>[Filed 8/28/87, Notice 7/15/87—published 9/23/87, effective 11/1/87]</w:t>
      </w:r>
      <w:r>
        <w:rPr>
          <w:rFonts w:ascii="Times New Roman" w:hAnsi="Times New Roman"/>
          <w:b w:val="false"/>
          <w:i w:val="false"/>
          <w:color w:val="000000"/>
          <w:sz w:val="14"/>
        </w:rPr>
        <w:t>◊</w:t>
      </w:r>
    </w:p>
    <w:p>
      <w:pPr>
        <w:spacing w:before="0" w:after="0"/>
        <w:ind w:left="120"/>
        <w:jc w:val="center"/>
      </w:pPr>
      <w:r>
        <w:rPr>
          <w:rFonts w:ascii="Times New Roman" w:hAnsi="Times New Roman"/>
          <w:b w:val="false"/>
          <w:i w:val="false"/>
          <w:color w:val="000000"/>
          <w:sz w:val="21"/>
        </w:rPr>
        <w:t>[Filed emergency 9/21/87—published 10/21/87, effective 9/22/87]</w:t>
      </w:r>
    </w:p>
    <w:p>
      <w:pPr>
        <w:spacing w:before="0" w:after="0"/>
        <w:ind w:left="120"/>
        <w:jc w:val="center"/>
      </w:pPr>
      <w:r>
        <w:rPr>
          <w:rFonts w:ascii="Times New Roman" w:hAnsi="Times New Roman"/>
          <w:b w:val="false"/>
          <w:i w:val="false"/>
          <w:color w:val="000000"/>
          <w:sz w:val="21"/>
        </w:rPr>
        <w:t>[Filed 10/23/87, Notice 7/15/87—published 11/18/87, effective 1/1/88]</w:t>
      </w:r>
    </w:p>
    <w:p>
      <w:pPr>
        <w:spacing w:before="0" w:after="0"/>
        <w:ind w:left="120"/>
        <w:jc w:val="center"/>
      </w:pPr>
      <w:r>
        <w:rPr>
          <w:rFonts w:ascii="Times New Roman" w:hAnsi="Times New Roman"/>
          <w:b w:val="false"/>
          <w:i w:val="false"/>
          <w:color w:val="000000"/>
          <w:sz w:val="21"/>
        </w:rPr>
        <w:t>[Filed 12/10/87, Notice 10/21/87—published 12/30/87, effective 3/1/88]</w:t>
      </w:r>
    </w:p>
    <w:p>
      <w:pPr>
        <w:spacing w:before="0" w:after="0"/>
        <w:ind w:left="120"/>
        <w:jc w:val="center"/>
      </w:pPr>
      <w:r>
        <w:rPr>
          <w:rFonts w:ascii="Times New Roman" w:hAnsi="Times New Roman"/>
          <w:b w:val="false"/>
          <w:i w:val="false"/>
          <w:color w:val="000000"/>
          <w:sz w:val="21"/>
        </w:rPr>
        <w:t>[Filed emergency 6/9/88—published 6/29/88, effective 7/1/88]</w:t>
      </w:r>
    </w:p>
    <w:p>
      <w:pPr>
        <w:spacing w:before="0" w:after="0"/>
        <w:ind w:left="120"/>
        <w:jc w:val="center"/>
      </w:pPr>
      <w:r>
        <w:rPr>
          <w:rFonts w:ascii="Times New Roman" w:hAnsi="Times New Roman"/>
          <w:b w:val="false"/>
          <w:i w:val="false"/>
          <w:color w:val="000000"/>
          <w:sz w:val="21"/>
        </w:rPr>
        <w:t>[Filed 4/13/89, Notice 1/11/89—published 5/3/89, effective 7/1/89]</w:t>
      </w:r>
    </w:p>
    <w:p>
      <w:pPr>
        <w:spacing w:before="0" w:after="0"/>
        <w:ind w:left="120"/>
        <w:jc w:val="center"/>
      </w:pPr>
      <w:r>
        <w:rPr>
          <w:rFonts w:ascii="Times New Roman" w:hAnsi="Times New Roman"/>
          <w:b w:val="false"/>
          <w:i w:val="false"/>
          <w:color w:val="000000"/>
          <w:sz w:val="21"/>
        </w:rPr>
        <w:t>[Filed emergency 6/9/89—published 6/28/89, effective 7/1/89]</w:t>
      </w:r>
    </w:p>
    <w:p>
      <w:pPr>
        <w:spacing w:before="0" w:after="0"/>
        <w:ind w:left="120"/>
        <w:jc w:val="center"/>
      </w:pPr>
      <w:r>
        <w:rPr>
          <w:rFonts w:ascii="Times New Roman" w:hAnsi="Times New Roman"/>
          <w:b w:val="false"/>
          <w:i w:val="false"/>
          <w:color w:val="000000"/>
          <w:sz w:val="21"/>
        </w:rPr>
        <w:t>[Filed 7/13/89, Notice 5/31/89—published 8/9/89, effective 10/1/89]</w:t>
      </w:r>
    </w:p>
    <w:p>
      <w:pPr>
        <w:spacing w:before="0" w:after="0"/>
        <w:ind w:left="120"/>
        <w:jc w:val="center"/>
      </w:pPr>
      <w:r>
        <w:rPr>
          <w:rFonts w:ascii="Times New Roman" w:hAnsi="Times New Roman"/>
          <w:b w:val="false"/>
          <w:i w:val="false"/>
          <w:color w:val="000000"/>
          <w:sz w:val="21"/>
        </w:rPr>
        <w:t>[Filed 7/14/89, Notice 4/19/89—published 8/9/89, effective 10/1/89]</w:t>
      </w:r>
    </w:p>
    <w:p>
      <w:pPr>
        <w:spacing w:before="0" w:after="0"/>
        <w:ind w:left="120"/>
        <w:jc w:val="center"/>
      </w:pPr>
      <w:r>
        <w:rPr>
          <w:rFonts w:ascii="Times New Roman" w:hAnsi="Times New Roman"/>
          <w:b w:val="false"/>
          <w:i w:val="false"/>
          <w:color w:val="000000"/>
          <w:sz w:val="21"/>
        </w:rPr>
        <w:t>[Filed 8/17/89, Notice 6/28/89—published 9/6/89, effective 11/1/89]</w:t>
      </w:r>
    </w:p>
    <w:p>
      <w:pPr>
        <w:spacing w:before="0" w:after="0"/>
        <w:ind w:left="120"/>
        <w:jc w:val="center"/>
      </w:pPr>
      <w:r>
        <w:rPr>
          <w:rFonts w:ascii="Times New Roman" w:hAnsi="Times New Roman"/>
          <w:b w:val="false"/>
          <w:i w:val="false"/>
          <w:color w:val="000000"/>
          <w:sz w:val="21"/>
        </w:rPr>
        <w:t>[Filed emergency 6/20/90—published 7/11/90, effective 7/1/90]</w:t>
      </w:r>
    </w:p>
    <w:p>
      <w:pPr>
        <w:spacing w:before="0" w:after="0"/>
        <w:ind w:left="120"/>
        <w:jc w:val="center"/>
      </w:pPr>
      <w:r>
        <w:rPr>
          <w:rFonts w:ascii="Times New Roman" w:hAnsi="Times New Roman"/>
          <w:b w:val="false"/>
          <w:i w:val="false"/>
          <w:color w:val="000000"/>
          <w:sz w:val="21"/>
        </w:rPr>
        <w:t>[Filed 8/16/90, Notice 7/11/90—published 9/5/90, effective 11/1/90]</w:t>
      </w:r>
    </w:p>
    <w:p>
      <w:pPr>
        <w:spacing w:before="0" w:after="0"/>
        <w:ind w:left="120"/>
        <w:jc w:val="center"/>
      </w:pPr>
      <w:r>
        <w:rPr>
          <w:rFonts w:ascii="Times New Roman" w:hAnsi="Times New Roman"/>
          <w:b w:val="false"/>
          <w:i w:val="false"/>
          <w:color w:val="000000"/>
          <w:sz w:val="21"/>
        </w:rPr>
        <w:t>[Filed 10/12/90, Notice 7/11/90—published 10/31/90, effective 1/1/91]</w:t>
      </w:r>
    </w:p>
    <w:p>
      <w:pPr>
        <w:spacing w:before="0" w:after="0"/>
        <w:ind w:left="120"/>
        <w:jc w:val="center"/>
      </w:pPr>
      <w:r>
        <w:rPr>
          <w:rFonts w:ascii="Times New Roman" w:hAnsi="Times New Roman"/>
          <w:b w:val="false"/>
          <w:i w:val="false"/>
          <w:color w:val="000000"/>
          <w:sz w:val="21"/>
        </w:rPr>
        <w:t>[Filed 11/15/91, Notice 9/18/91—published 12/11/91, effective 2/1/92]</w:t>
      </w:r>
    </w:p>
    <w:p>
      <w:pPr>
        <w:spacing w:before="0" w:after="0"/>
        <w:ind w:left="120"/>
        <w:jc w:val="center"/>
      </w:pPr>
      <w:r>
        <w:rPr>
          <w:rFonts w:ascii="Times New Roman" w:hAnsi="Times New Roman"/>
          <w:b w:val="false"/>
          <w:i w:val="false"/>
          <w:color w:val="000000"/>
          <w:sz w:val="21"/>
        </w:rPr>
        <w:t>[Filed 12/11/91, Notice 10/16/91—published 1/8/92, effective 3/1/92]</w:t>
      </w:r>
      <w:r>
        <w:rPr>
          <w:rFonts w:ascii="Times New Roman" w:hAnsi="Times New Roman"/>
          <w:b w:val="false"/>
          <w:i w:val="false"/>
          <w:color w:val="000000"/>
          <w:sz w:val="10"/>
        </w:rPr>
        <w:t>1</w:t>
      </w:r>
    </w:p>
    <w:p>
      <w:pPr>
        <w:spacing w:before="0" w:after="0"/>
        <w:ind w:left="120"/>
        <w:jc w:val="center"/>
      </w:pPr>
      <w:r>
        <w:rPr>
          <w:rFonts w:ascii="Times New Roman" w:hAnsi="Times New Roman"/>
          <w:b w:val="false"/>
          <w:i w:val="false"/>
          <w:color w:val="000000"/>
          <w:sz w:val="21"/>
        </w:rPr>
        <w:t>[Filed emergency 4/15/92—published 5/13/92, effective 4/16/92]</w:t>
      </w:r>
    </w:p>
    <w:p>
      <w:pPr>
        <w:spacing w:before="0" w:after="0"/>
        <w:ind w:left="120"/>
        <w:jc w:val="center"/>
      </w:pPr>
      <w:r>
        <w:rPr>
          <w:rFonts w:ascii="Times New Roman" w:hAnsi="Times New Roman"/>
          <w:b w:val="false"/>
          <w:i w:val="false"/>
          <w:color w:val="000000"/>
          <w:sz w:val="21"/>
        </w:rPr>
        <w:t>[Filed emergency 6/12/92—published 7/8/92, effective 7/1/92]</w:t>
      </w:r>
    </w:p>
    <w:p>
      <w:pPr>
        <w:spacing w:before="0" w:after="0"/>
        <w:ind w:left="120"/>
        <w:jc w:val="center"/>
      </w:pPr>
      <w:r>
        <w:rPr>
          <w:rFonts w:ascii="Times New Roman" w:hAnsi="Times New Roman"/>
          <w:b w:val="false"/>
          <w:i w:val="false"/>
          <w:color w:val="000000"/>
          <w:sz w:val="21"/>
        </w:rPr>
        <w:t>[Filed 8/14/92, Notice 7/8/92—published 9/2/92, effective 11/1/92]</w:t>
      </w:r>
    </w:p>
    <w:p>
      <w:pPr>
        <w:spacing w:before="0" w:after="0"/>
        <w:ind w:left="120"/>
        <w:jc w:val="center"/>
      </w:pPr>
      <w:r>
        <w:rPr>
          <w:rFonts w:ascii="Times New Roman" w:hAnsi="Times New Roman"/>
          <w:b w:val="false"/>
          <w:i w:val="false"/>
          <w:color w:val="000000"/>
          <w:sz w:val="21"/>
        </w:rPr>
        <w:t>[Filed 5/14/93, Notice 3/17/93—published 6/9/93, effective 8/1/93]</w:t>
      </w:r>
    </w:p>
    <w:p>
      <w:pPr>
        <w:spacing w:before="0" w:after="0"/>
        <w:ind w:left="120"/>
        <w:jc w:val="center"/>
      </w:pPr>
      <w:r>
        <w:rPr>
          <w:rFonts w:ascii="Times New Roman" w:hAnsi="Times New Roman"/>
          <w:b w:val="false"/>
          <w:i w:val="false"/>
          <w:color w:val="000000"/>
          <w:sz w:val="21"/>
        </w:rPr>
        <w:t>[Filed emergency 6/11/93—published 7/7/93, effective 7/1/93]</w:t>
      </w:r>
    </w:p>
    <w:p>
      <w:pPr>
        <w:spacing w:before="0" w:after="0"/>
        <w:ind w:left="120"/>
        <w:jc w:val="center"/>
      </w:pPr>
      <w:r>
        <w:rPr>
          <w:rFonts w:ascii="Times New Roman" w:hAnsi="Times New Roman"/>
          <w:b w:val="false"/>
          <w:i w:val="false"/>
          <w:color w:val="000000"/>
          <w:sz w:val="21"/>
        </w:rPr>
        <w:t>[Filed without Notice 8/12/93—published 9/1/93, effective 11/1/93]</w:t>
      </w:r>
    </w:p>
    <w:p>
      <w:pPr>
        <w:spacing w:before="0" w:after="0"/>
        <w:ind w:left="120"/>
        <w:jc w:val="center"/>
      </w:pPr>
      <w:r>
        <w:rPr>
          <w:rFonts w:ascii="Times New Roman" w:hAnsi="Times New Roman"/>
          <w:b w:val="false"/>
          <w:i w:val="false"/>
          <w:color w:val="000000"/>
          <w:sz w:val="21"/>
        </w:rPr>
        <w:t>[Filed 8/12/93, Notice 2/17/93—published 9/1/93, effective 11/1/93]</w:t>
      </w:r>
    </w:p>
    <w:p>
      <w:pPr>
        <w:spacing w:before="0" w:after="0"/>
        <w:ind w:left="120"/>
        <w:jc w:val="center"/>
      </w:pPr>
      <w:r>
        <w:rPr>
          <w:rFonts w:ascii="Times New Roman" w:hAnsi="Times New Roman"/>
          <w:b w:val="false"/>
          <w:i w:val="false"/>
          <w:color w:val="000000"/>
          <w:sz w:val="21"/>
        </w:rPr>
        <w:t>[Filed 9/17/93, Notice 7/21/93—published 10/13/93, effective 1/1/94]</w:t>
      </w:r>
    </w:p>
    <w:p>
      <w:pPr>
        <w:spacing w:before="0" w:after="0"/>
        <w:ind w:left="120"/>
        <w:jc w:val="center"/>
      </w:pPr>
      <w:r>
        <w:rPr>
          <w:rFonts w:ascii="Times New Roman" w:hAnsi="Times New Roman"/>
          <w:b w:val="false"/>
          <w:i w:val="false"/>
          <w:color w:val="000000"/>
          <w:sz w:val="21"/>
        </w:rPr>
        <w:t>[Filed emergency 10/14/93—published 11/10/93, effective 11/1/93]</w:t>
      </w:r>
    </w:p>
    <w:p>
      <w:pPr>
        <w:spacing w:before="0" w:after="0"/>
        <w:ind w:left="120"/>
        <w:jc w:val="center"/>
      </w:pPr>
      <w:r>
        <w:rPr>
          <w:rFonts w:ascii="Times New Roman" w:hAnsi="Times New Roman"/>
          <w:b w:val="false"/>
          <w:i w:val="false"/>
          <w:color w:val="000000"/>
          <w:sz w:val="21"/>
        </w:rPr>
        <w:t>[Filed 11/12/93, Notice 9/15/93—published 12/8/93, effective 2/1/94]</w:t>
      </w:r>
    </w:p>
    <w:p>
      <w:pPr>
        <w:spacing w:before="0" w:after="0"/>
        <w:ind w:left="120"/>
        <w:jc w:val="center"/>
      </w:pPr>
      <w:r>
        <w:rPr>
          <w:rFonts w:ascii="Times New Roman" w:hAnsi="Times New Roman"/>
          <w:b w:val="false"/>
          <w:i w:val="false"/>
          <w:color w:val="000000"/>
          <w:sz w:val="21"/>
        </w:rPr>
        <w:t>[Filed 12/16/93, Notices 10/13/93, 11/10/93—published 1/5/94, effective 3/1/94]</w:t>
      </w:r>
    </w:p>
    <w:p>
      <w:pPr>
        <w:spacing w:before="0" w:after="0"/>
        <w:ind w:left="120"/>
        <w:jc w:val="center"/>
      </w:pPr>
      <w:r>
        <w:rPr>
          <w:rFonts w:ascii="Times New Roman" w:hAnsi="Times New Roman"/>
          <w:b w:val="false"/>
          <w:i w:val="false"/>
          <w:color w:val="000000"/>
          <w:sz w:val="21"/>
        </w:rPr>
        <w:t>[Filed emergency 5/11/94 after Notice 3/16/94—published 6/8/94, effective 6/1/94]</w:t>
      </w:r>
    </w:p>
    <w:p>
      <w:pPr>
        <w:spacing w:before="0" w:after="0"/>
        <w:ind w:left="120"/>
        <w:jc w:val="center"/>
      </w:pPr>
      <w:r>
        <w:rPr>
          <w:rFonts w:ascii="Times New Roman" w:hAnsi="Times New Roman"/>
          <w:b w:val="false"/>
          <w:i w:val="false"/>
          <w:color w:val="000000"/>
          <w:sz w:val="21"/>
        </w:rPr>
        <w:t>[Filed emergency 6/16/94—published 7/6/94, effective 7/1/94]</w:t>
      </w:r>
    </w:p>
    <w:p>
      <w:pPr>
        <w:spacing w:before="0" w:after="0"/>
        <w:ind w:left="120"/>
        <w:jc w:val="center"/>
      </w:pPr>
      <w:r>
        <w:rPr>
          <w:rFonts w:ascii="Times New Roman" w:hAnsi="Times New Roman"/>
          <w:b w:val="false"/>
          <w:i w:val="false"/>
          <w:color w:val="000000"/>
          <w:sz w:val="21"/>
        </w:rPr>
        <w:t>[Filed 8/12/94, Notice 7/6/94—published 8/31/94, effective 11/1/94]</w:t>
      </w:r>
    </w:p>
    <w:p>
      <w:pPr>
        <w:spacing w:before="0" w:after="0"/>
        <w:ind w:left="120"/>
        <w:jc w:val="center"/>
      </w:pPr>
      <w:r>
        <w:rPr>
          <w:rFonts w:ascii="Times New Roman" w:hAnsi="Times New Roman"/>
          <w:b w:val="false"/>
          <w:i w:val="false"/>
          <w:color w:val="000000"/>
          <w:sz w:val="21"/>
        </w:rPr>
        <w:t>[Filed emergency 12/15/94—published 1/4/95, effective 2/1/95]</w:t>
      </w:r>
    </w:p>
    <w:p>
      <w:pPr>
        <w:spacing w:before="0" w:after="0"/>
        <w:ind w:left="120"/>
        <w:jc w:val="center"/>
      </w:pPr>
      <w:r>
        <w:rPr>
          <w:rFonts w:ascii="Times New Roman" w:hAnsi="Times New Roman"/>
          <w:b w:val="false"/>
          <w:i w:val="false"/>
          <w:color w:val="000000"/>
          <w:sz w:val="21"/>
        </w:rPr>
        <w:t>[Filed 12/15/94, Notice 10/26/94—published 1/4/95, effective 3/1/95]</w:t>
      </w:r>
    </w:p>
    <w:p>
      <w:pPr>
        <w:spacing w:before="0" w:after="0"/>
        <w:ind w:left="120"/>
        <w:jc w:val="center"/>
      </w:pPr>
      <w:r>
        <w:rPr>
          <w:rFonts w:ascii="Times New Roman" w:hAnsi="Times New Roman"/>
          <w:b w:val="false"/>
          <w:i w:val="false"/>
          <w:color w:val="000000"/>
          <w:sz w:val="21"/>
        </w:rPr>
        <w:t>[Filed 2/16/95, Notice 1/4/95—published 3/15/95, effective 5/1/95]</w:t>
      </w:r>
    </w:p>
    <w:p>
      <w:pPr>
        <w:spacing w:before="0" w:after="0"/>
        <w:ind w:left="120"/>
        <w:jc w:val="center"/>
      </w:pPr>
      <w:r>
        <w:rPr>
          <w:rFonts w:ascii="Times New Roman" w:hAnsi="Times New Roman"/>
          <w:b w:val="false"/>
          <w:i w:val="false"/>
          <w:color w:val="000000"/>
          <w:sz w:val="21"/>
        </w:rPr>
        <w:t>[Filed 3/20/95, Notice 1/18/95—published 4/12/95, effective 6/1/95]</w:t>
      </w:r>
    </w:p>
    <w:p>
      <w:pPr>
        <w:spacing w:before="0" w:after="0"/>
        <w:ind w:left="120"/>
        <w:jc w:val="center"/>
      </w:pPr>
      <w:r>
        <w:rPr>
          <w:rFonts w:ascii="Times New Roman" w:hAnsi="Times New Roman"/>
          <w:b w:val="false"/>
          <w:i w:val="false"/>
          <w:color w:val="000000"/>
          <w:sz w:val="21"/>
        </w:rPr>
        <w:t>[Filed 4/13/95, Notices 2/15/95, 3/1/95—published 5/10/95, effective 7/1/95]</w:t>
      </w:r>
    </w:p>
    <w:p>
      <w:pPr>
        <w:spacing w:before="0" w:after="0"/>
        <w:ind w:left="120"/>
        <w:jc w:val="center"/>
      </w:pPr>
      <w:r>
        <w:rPr>
          <w:rFonts w:ascii="Times New Roman" w:hAnsi="Times New Roman"/>
          <w:b w:val="false"/>
          <w:i w:val="false"/>
          <w:color w:val="000000"/>
          <w:sz w:val="21"/>
        </w:rPr>
        <w:t>[Filed emergency 6/7/95—published 7/5/95, effective 7/1/95]</w:t>
      </w:r>
    </w:p>
    <w:p>
      <w:pPr>
        <w:spacing w:before="0" w:after="0"/>
        <w:ind w:left="120"/>
        <w:jc w:val="center"/>
      </w:pPr>
      <w:r>
        <w:rPr>
          <w:rFonts w:ascii="Times New Roman" w:hAnsi="Times New Roman"/>
          <w:b w:val="false"/>
          <w:i w:val="false"/>
          <w:color w:val="000000"/>
          <w:sz w:val="21"/>
        </w:rPr>
        <w:t>[Filed emergency 7/12/95—published 8/2/95, effective 9/1/95]</w:t>
      </w:r>
    </w:p>
    <w:p>
      <w:pPr>
        <w:spacing w:before="0" w:after="0"/>
        <w:ind w:left="120"/>
        <w:jc w:val="center"/>
      </w:pPr>
      <w:r>
        <w:rPr>
          <w:rFonts w:ascii="Times New Roman" w:hAnsi="Times New Roman"/>
          <w:b w:val="false"/>
          <w:i w:val="false"/>
          <w:color w:val="000000"/>
          <w:sz w:val="21"/>
        </w:rPr>
        <w:t>[Filed 8/10/95, Notice 7/5/95—published 8/30/95, effective 11/1/95]</w:t>
      </w:r>
    </w:p>
    <w:p>
      <w:pPr>
        <w:spacing w:before="0" w:after="0"/>
        <w:ind w:left="120"/>
        <w:jc w:val="center"/>
      </w:pPr>
      <w:r>
        <w:rPr>
          <w:rFonts w:ascii="Times New Roman" w:hAnsi="Times New Roman"/>
          <w:b w:val="false"/>
          <w:i w:val="false"/>
          <w:color w:val="000000"/>
          <w:sz w:val="21"/>
        </w:rPr>
        <w:t>[Filed 9/25/95, Notice 8/2/95—published 10/11/95, effective 12/1/95]</w:t>
      </w:r>
    </w:p>
    <w:p>
      <w:pPr>
        <w:spacing w:before="0" w:after="0"/>
        <w:ind w:left="120"/>
        <w:jc w:val="center"/>
      </w:pPr>
      <w:r>
        <w:rPr>
          <w:rFonts w:ascii="Times New Roman" w:hAnsi="Times New Roman"/>
          <w:b w:val="false"/>
          <w:i w:val="false"/>
          <w:color w:val="000000"/>
          <w:sz w:val="21"/>
        </w:rPr>
        <w:t>[Filed 2/14/96, Notice 12/20/95—published 3/13/96, effective 5/1/96]</w:t>
      </w:r>
    </w:p>
    <w:p>
      <w:pPr>
        <w:spacing w:before="0" w:after="0"/>
        <w:ind w:left="120"/>
        <w:jc w:val="center"/>
      </w:pPr>
      <w:r>
        <w:rPr>
          <w:rFonts w:ascii="Times New Roman" w:hAnsi="Times New Roman"/>
          <w:b w:val="false"/>
          <w:i w:val="false"/>
          <w:color w:val="000000"/>
          <w:sz w:val="21"/>
        </w:rPr>
        <w:t>[Filed emergency 6/13/96—published 7/3/96, effective 7/1/96]</w:t>
      </w:r>
    </w:p>
    <w:p>
      <w:pPr>
        <w:spacing w:before="0" w:after="0"/>
        <w:ind w:left="120"/>
        <w:jc w:val="center"/>
      </w:pPr>
      <w:r>
        <w:rPr>
          <w:rFonts w:ascii="Times New Roman" w:hAnsi="Times New Roman"/>
          <w:b w:val="false"/>
          <w:i w:val="false"/>
          <w:color w:val="000000"/>
          <w:sz w:val="21"/>
        </w:rPr>
        <w:t>[Filed emergency 6/13/96—published 7/3/96, effective 8/1/96]</w:t>
      </w:r>
    </w:p>
    <w:p>
      <w:pPr>
        <w:spacing w:before="0" w:after="0"/>
        <w:ind w:left="120"/>
        <w:jc w:val="center"/>
      </w:pPr>
      <w:r>
        <w:rPr>
          <w:rFonts w:ascii="Times New Roman" w:hAnsi="Times New Roman"/>
          <w:b w:val="false"/>
          <w:i w:val="false"/>
          <w:color w:val="000000"/>
          <w:sz w:val="21"/>
        </w:rPr>
        <w:t>[Filed 8/15/96, Notices 6/19/96, 7/3/96—published 9/11/96, effective 11/1/96]</w:t>
      </w:r>
    </w:p>
    <w:p>
      <w:pPr>
        <w:spacing w:before="0" w:after="0"/>
        <w:ind w:left="120"/>
        <w:jc w:val="center"/>
      </w:pPr>
      <w:r>
        <w:rPr>
          <w:rFonts w:ascii="Times New Roman" w:hAnsi="Times New Roman"/>
          <w:b w:val="false"/>
          <w:i w:val="false"/>
          <w:color w:val="000000"/>
          <w:sz w:val="21"/>
        </w:rPr>
        <w:t>[Filed 9/17/96, Notice 7/17/96—published 10/9/96, effective 12/1/96]</w:t>
      </w:r>
    </w:p>
    <w:p>
      <w:pPr>
        <w:spacing w:before="0" w:after="0"/>
        <w:ind w:left="120"/>
        <w:jc w:val="center"/>
      </w:pPr>
      <w:r>
        <w:rPr>
          <w:rFonts w:ascii="Times New Roman" w:hAnsi="Times New Roman"/>
          <w:b w:val="false"/>
          <w:i w:val="false"/>
          <w:color w:val="000000"/>
          <w:sz w:val="21"/>
        </w:rPr>
        <w:t>[Filed emergency 6/12/97—published 7/2/97, effective 7/1/97]</w:t>
      </w:r>
    </w:p>
    <w:p>
      <w:pPr>
        <w:spacing w:before="0" w:after="0"/>
        <w:ind w:left="120"/>
        <w:jc w:val="center"/>
      </w:pPr>
      <w:r>
        <w:rPr>
          <w:rFonts w:ascii="Times New Roman" w:hAnsi="Times New Roman"/>
          <w:b w:val="false"/>
          <w:i w:val="false"/>
          <w:color w:val="000000"/>
          <w:sz w:val="21"/>
        </w:rPr>
        <w:t>[Filed 8/13/97, Notice 7/2/97—published 9/10/97, effective 11/1/97]</w:t>
      </w:r>
    </w:p>
    <w:p>
      <w:pPr>
        <w:spacing w:before="0" w:after="0"/>
        <w:ind w:left="120"/>
        <w:jc w:val="center"/>
      </w:pPr>
      <w:r>
        <w:rPr>
          <w:rFonts w:ascii="Times New Roman" w:hAnsi="Times New Roman"/>
          <w:b w:val="false"/>
          <w:i w:val="false"/>
          <w:color w:val="000000"/>
          <w:sz w:val="21"/>
        </w:rPr>
        <w:t>[Filed 10/15/97, Notice 7/30/97—published 11/5/97, effective 1/1/98]</w:t>
      </w:r>
    </w:p>
    <w:p>
      <w:pPr>
        <w:spacing w:before="0" w:after="0"/>
        <w:ind w:left="120"/>
        <w:jc w:val="center"/>
      </w:pPr>
      <w:r>
        <w:rPr>
          <w:rFonts w:ascii="Times New Roman" w:hAnsi="Times New Roman"/>
          <w:b w:val="false"/>
          <w:i w:val="false"/>
          <w:color w:val="000000"/>
          <w:sz w:val="21"/>
        </w:rPr>
        <w:t>[Filed emergency 6/10/98—published 7/1/98, effective 7/1/98]</w:t>
      </w:r>
    </w:p>
    <w:p>
      <w:pPr>
        <w:spacing w:before="0" w:after="0"/>
        <w:ind w:left="120"/>
        <w:jc w:val="center"/>
      </w:pPr>
      <w:r>
        <w:rPr>
          <w:rFonts w:ascii="Times New Roman" w:hAnsi="Times New Roman"/>
          <w:b w:val="false"/>
          <w:i w:val="false"/>
          <w:color w:val="000000"/>
          <w:sz w:val="21"/>
        </w:rPr>
        <w:t>[Filed without Notice 6/10/98—published 7/1/98, effective 8/15/98]</w:t>
      </w:r>
    </w:p>
    <w:p>
      <w:pPr>
        <w:spacing w:before="0" w:after="0"/>
        <w:ind w:left="120"/>
        <w:jc w:val="center"/>
      </w:pPr>
      <w:r>
        <w:rPr>
          <w:rFonts w:ascii="Times New Roman" w:hAnsi="Times New Roman"/>
          <w:b w:val="false"/>
          <w:i w:val="false"/>
          <w:color w:val="000000"/>
          <w:sz w:val="21"/>
        </w:rPr>
        <w:t>[Filed 8/12/98, Notice 7/1/98—published 9/9/98, effective 11/1/98]</w:t>
      </w:r>
    </w:p>
    <w:p>
      <w:pPr>
        <w:spacing w:before="0" w:after="0"/>
        <w:ind w:left="120"/>
        <w:jc w:val="center"/>
      </w:pPr>
      <w:r>
        <w:rPr>
          <w:rFonts w:ascii="Times New Roman" w:hAnsi="Times New Roman"/>
          <w:b w:val="false"/>
          <w:i w:val="false"/>
          <w:color w:val="000000"/>
          <w:sz w:val="21"/>
        </w:rPr>
        <w:t>[Filed emergency 10/14/98 after Notice 8/26/98—published 11/4/98, effective 11/1/98]</w:t>
      </w:r>
    </w:p>
    <w:p>
      <w:pPr>
        <w:spacing w:before="0" w:after="0"/>
        <w:ind w:left="120"/>
        <w:jc w:val="center"/>
      </w:pPr>
      <w:r>
        <w:rPr>
          <w:rFonts w:ascii="Times New Roman" w:hAnsi="Times New Roman"/>
          <w:b w:val="false"/>
          <w:i w:val="false"/>
          <w:color w:val="000000"/>
          <w:sz w:val="21"/>
        </w:rPr>
        <w:t>[Filed emergency 6/10/99—published 6/30/99, effective 7/1/99]</w:t>
      </w:r>
    </w:p>
    <w:p>
      <w:pPr>
        <w:spacing w:before="0" w:after="0"/>
        <w:ind w:left="120"/>
        <w:jc w:val="center"/>
      </w:pPr>
      <w:r>
        <w:rPr>
          <w:rFonts w:ascii="Times New Roman" w:hAnsi="Times New Roman"/>
          <w:b w:val="false"/>
          <w:i w:val="false"/>
          <w:color w:val="000000"/>
          <w:sz w:val="21"/>
        </w:rPr>
        <w:t>[Filed 7/15/99, Notice 6/2/99—published 8/11/99, effective 10/1/99]</w:t>
      </w:r>
    </w:p>
    <w:p>
      <w:pPr>
        <w:spacing w:before="0" w:after="0"/>
        <w:ind w:left="120"/>
        <w:jc w:val="center"/>
      </w:pPr>
      <w:r>
        <w:rPr>
          <w:rFonts w:ascii="Times New Roman" w:hAnsi="Times New Roman"/>
          <w:b w:val="false"/>
          <w:i w:val="false"/>
          <w:color w:val="000000"/>
          <w:sz w:val="21"/>
        </w:rPr>
        <w:t>[Filed 8/12/99, Notice 6/30/99—published 9/8/99, effective 11/1/99]</w:t>
      </w:r>
    </w:p>
    <w:p>
      <w:pPr>
        <w:spacing w:before="0" w:after="0"/>
        <w:ind w:left="120"/>
        <w:jc w:val="center"/>
      </w:pPr>
      <w:r>
        <w:rPr>
          <w:rFonts w:ascii="Times New Roman" w:hAnsi="Times New Roman"/>
          <w:b w:val="false"/>
          <w:i w:val="false"/>
          <w:color w:val="000000"/>
          <w:sz w:val="21"/>
        </w:rPr>
        <w:t>[Filed emergency 10/13/99 after Notice 8/25/99—published 11/3/99, effective 11/1/99]</w:t>
      </w:r>
    </w:p>
    <w:p>
      <w:pPr>
        <w:spacing w:before="0" w:after="0"/>
        <w:ind w:left="120"/>
        <w:jc w:val="center"/>
      </w:pPr>
      <w:r>
        <w:rPr>
          <w:rFonts w:ascii="Times New Roman" w:hAnsi="Times New Roman"/>
          <w:b w:val="false"/>
          <w:i w:val="false"/>
          <w:color w:val="000000"/>
          <w:sz w:val="21"/>
        </w:rPr>
        <w:t>[Filed emergency 6/8/00—published 6/28/00, effective 7/1/00]</w:t>
      </w:r>
    </w:p>
    <w:p>
      <w:pPr>
        <w:spacing w:before="0" w:after="0"/>
        <w:ind w:left="120"/>
        <w:jc w:val="center"/>
      </w:pPr>
      <w:r>
        <w:rPr>
          <w:rFonts w:ascii="Times New Roman" w:hAnsi="Times New Roman"/>
          <w:b w:val="false"/>
          <w:i w:val="false"/>
          <w:color w:val="000000"/>
          <w:sz w:val="21"/>
        </w:rPr>
        <w:t>[Filed 8/9/00, Notice 6/14/00—published 9/6/00, effective 11/1/00]</w:t>
      </w:r>
    </w:p>
    <w:p>
      <w:pPr>
        <w:spacing w:before="0" w:after="0"/>
        <w:ind w:left="120"/>
        <w:jc w:val="center"/>
      </w:pPr>
      <w:r>
        <w:rPr>
          <w:rFonts w:ascii="Times New Roman" w:hAnsi="Times New Roman"/>
          <w:b w:val="false"/>
          <w:i w:val="false"/>
          <w:color w:val="000000"/>
          <w:sz w:val="21"/>
        </w:rPr>
        <w:t>[Filed 1/10/01, Notice 11/15/00—published 2/7/01, effective 4/1/01]</w:t>
      </w:r>
    </w:p>
    <w:p>
      <w:pPr>
        <w:spacing w:before="0" w:after="0"/>
        <w:ind w:left="120"/>
        <w:jc w:val="center"/>
      </w:pPr>
      <w:r>
        <w:rPr>
          <w:rFonts w:ascii="Times New Roman" w:hAnsi="Times New Roman"/>
          <w:b w:val="false"/>
          <w:i w:val="false"/>
          <w:color w:val="000000"/>
          <w:sz w:val="21"/>
        </w:rPr>
        <w:t>[Filed emergency 6/13/01—published 7/11/01, effective 7/1/01]</w:t>
      </w:r>
    </w:p>
    <w:p>
      <w:pPr>
        <w:spacing w:before="0" w:after="0"/>
        <w:ind w:left="120"/>
        <w:jc w:val="center"/>
      </w:pPr>
      <w:r>
        <w:rPr>
          <w:rFonts w:ascii="Times New Roman" w:hAnsi="Times New Roman"/>
          <w:b w:val="false"/>
          <w:i w:val="false"/>
          <w:color w:val="000000"/>
          <w:sz w:val="21"/>
        </w:rPr>
        <w:t>[Filed 9/11/01, Notice 7/11/01—published 10/3/01, effective 12/1/01]</w:t>
      </w:r>
    </w:p>
    <w:p>
      <w:pPr>
        <w:spacing w:before="0" w:after="0"/>
        <w:ind w:left="120"/>
        <w:jc w:val="center"/>
      </w:pPr>
      <w:r>
        <w:rPr>
          <w:rFonts w:ascii="Times New Roman" w:hAnsi="Times New Roman"/>
          <w:b w:val="false"/>
          <w:i w:val="false"/>
          <w:color w:val="000000"/>
          <w:sz w:val="21"/>
        </w:rPr>
        <w:t>[Filed 11/18/02, Notice 8/21/02—published 12/11/02, effective 2/1/03]</w:t>
      </w:r>
    </w:p>
    <w:p>
      <w:pPr>
        <w:spacing w:before="0" w:after="0"/>
        <w:ind w:left="120"/>
        <w:jc w:val="center"/>
      </w:pPr>
      <w:r>
        <w:rPr>
          <w:rFonts w:ascii="Times New Roman" w:hAnsi="Times New Roman"/>
          <w:b w:val="false"/>
          <w:i w:val="false"/>
          <w:color w:val="000000"/>
          <w:sz w:val="21"/>
        </w:rPr>
        <w:t>[Filed 3/11/04, Notice 1/21/04—published 3/31/04, effective 6/1/04]</w:t>
      </w:r>
    </w:p>
    <w:p>
      <w:pPr>
        <w:spacing w:before="0" w:after="0"/>
        <w:ind w:left="120"/>
        <w:jc w:val="center"/>
      </w:pPr>
      <w:r>
        <w:rPr>
          <w:rFonts w:ascii="Times New Roman" w:hAnsi="Times New Roman"/>
          <w:b w:val="false"/>
          <w:i w:val="false"/>
          <w:color w:val="000000"/>
          <w:sz w:val="21"/>
        </w:rPr>
        <w:t>[Filed emergency 6/17/05—published 7/6/05, effective 7/1/05]</w:t>
      </w:r>
    </w:p>
    <w:p>
      <w:pPr>
        <w:spacing w:before="0" w:after="0"/>
        <w:ind w:left="120"/>
        <w:jc w:val="center"/>
      </w:pPr>
      <w:r>
        <w:rPr>
          <w:rFonts w:ascii="Times New Roman" w:hAnsi="Times New Roman"/>
          <w:b w:val="false"/>
          <w:i w:val="false"/>
          <w:color w:val="000000"/>
          <w:sz w:val="21"/>
        </w:rPr>
        <w:t>[Filed 10/21/05, Notice 7/6/05—published 11/9/05, effective 12/14/05]</w:t>
      </w:r>
    </w:p>
    <w:p>
      <w:pPr>
        <w:spacing w:before="0" w:after="0"/>
        <w:ind w:left="120"/>
        <w:jc w:val="center"/>
      </w:pPr>
      <w:r>
        <w:rPr>
          <w:rFonts w:ascii="Times New Roman" w:hAnsi="Times New Roman"/>
          <w:b w:val="false"/>
          <w:i w:val="false"/>
          <w:color w:val="000000"/>
          <w:sz w:val="21"/>
        </w:rPr>
        <w:t>[Filed emergency 6/16/06—published 7/5/06, effective 7/1/06]</w:t>
      </w:r>
      <w:r>
        <w:rPr>
          <w:rFonts w:ascii="Times New Roman" w:hAnsi="Times New Roman"/>
          <w:b w:val="false"/>
          <w:i w:val="false"/>
          <w:color w:val="000000"/>
          <w:sz w:val="14"/>
        </w:rPr>
        <w:t>◊</w:t>
      </w:r>
    </w:p>
    <w:p>
      <w:pPr>
        <w:spacing w:before="0" w:after="0"/>
        <w:ind w:left="120"/>
        <w:jc w:val="center"/>
      </w:pPr>
      <w:r>
        <w:rPr>
          <w:rFonts w:ascii="Times New Roman" w:hAnsi="Times New Roman"/>
          <w:b w:val="false"/>
          <w:i w:val="false"/>
          <w:color w:val="000000"/>
          <w:sz w:val="21"/>
        </w:rPr>
        <w:t>[Filed 9/19/06, Notices 7/5/06—published 10/11/06, effective 11/16/06]</w:t>
      </w:r>
    </w:p>
    <w:p>
      <w:pPr>
        <w:spacing w:before="0" w:after="0"/>
        <w:ind w:left="120"/>
        <w:jc w:val="center"/>
      </w:pPr>
      <w:r>
        <w:rPr>
          <w:rFonts w:ascii="Times New Roman" w:hAnsi="Times New Roman"/>
          <w:b w:val="false"/>
          <w:i w:val="false"/>
          <w:color w:val="000000"/>
          <w:sz w:val="21"/>
        </w:rPr>
        <w:t>[Filed emergency 10/12/06—published 11/8/06, effective 11/1/06]</w:t>
      </w:r>
    </w:p>
    <w:p>
      <w:pPr>
        <w:spacing w:before="0" w:after="0"/>
        <w:ind w:left="120"/>
        <w:jc w:val="center"/>
      </w:pPr>
      <w:r>
        <w:rPr>
          <w:rFonts w:ascii="Times New Roman" w:hAnsi="Times New Roman"/>
          <w:b w:val="false"/>
          <w:i w:val="false"/>
          <w:color w:val="000000"/>
          <w:sz w:val="21"/>
        </w:rPr>
        <w:t>[Filed emergency 12/13/06 after Notice 11/8/06—published 1/3/07, effective 1/1/07]</w:t>
      </w:r>
    </w:p>
    <w:p>
      <w:pPr>
        <w:spacing w:before="0" w:after="0"/>
        <w:ind w:left="120"/>
        <w:jc w:val="center"/>
      </w:pPr>
      <w:r>
        <w:rPr>
          <w:rFonts w:ascii="Times New Roman" w:hAnsi="Times New Roman"/>
          <w:b w:val="false"/>
          <w:i w:val="false"/>
          <w:color w:val="000000"/>
          <w:sz w:val="21"/>
        </w:rPr>
        <w:t>[Filed 3/14/07, Notice 8/30/06—published 4/11/07, effective 7/1/07]</w:t>
      </w:r>
    </w:p>
    <w:p>
      <w:pPr>
        <w:spacing w:before="0" w:after="0"/>
        <w:ind w:left="120"/>
        <w:jc w:val="center"/>
      </w:pPr>
      <w:r>
        <w:rPr>
          <w:rFonts w:ascii="Times New Roman" w:hAnsi="Times New Roman"/>
          <w:b w:val="false"/>
          <w:i w:val="false"/>
          <w:color w:val="000000"/>
          <w:sz w:val="21"/>
        </w:rPr>
        <w:t>[Filed emergency 6/13/07—published 7/4/07, effective 7/1/07]</w:t>
      </w:r>
    </w:p>
    <w:p>
      <w:pPr>
        <w:spacing w:before="0" w:after="0"/>
        <w:ind w:left="120"/>
        <w:jc w:val="center"/>
      </w:pPr>
      <w:r>
        <w:rPr>
          <w:rFonts w:ascii="Times New Roman" w:hAnsi="Times New Roman"/>
          <w:b w:val="false"/>
          <w:i w:val="false"/>
          <w:color w:val="000000"/>
          <w:sz w:val="21"/>
        </w:rPr>
        <w:t>[Filed 9/12/07, Notice 7/4/07—published 10/10/07, effective 11/14/07]</w:t>
      </w:r>
    </w:p>
    <w:p>
      <w:pPr>
        <w:spacing w:before="0" w:after="0"/>
        <w:ind w:left="120"/>
        <w:jc w:val="center"/>
      </w:pPr>
      <w:r>
        <w:rPr>
          <w:rFonts w:ascii="Times New Roman" w:hAnsi="Times New Roman"/>
          <w:b w:val="false"/>
          <w:i w:val="false"/>
          <w:color w:val="000000"/>
          <w:sz w:val="21"/>
        </w:rPr>
        <w:t xml:space="preserve">[Filed emergency </w:t>
      </w:r>
      <w:r>
        <w:rPr>
          <w:rFonts w:ascii="Times New Roman" w:hAnsi="Times New Roman"/>
          <w:b w:val="false"/>
          <w:i w:val="false"/>
          <w:color w:val="000000"/>
          <w:sz w:val="21"/>
        </w:rPr>
        <w:t>6/12/08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7/2/08</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7/1/08</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 xml:space="preserve">[Filed </w:t>
      </w:r>
      <w:r>
        <w:rPr>
          <w:rFonts w:ascii="Times New Roman" w:hAnsi="Times New Roman"/>
          <w:b w:val="false"/>
          <w:i w:val="false"/>
          <w:color w:val="000000"/>
          <w:sz w:val="21"/>
        </w:rPr>
        <w:t>8/19/08</w:t>
      </w:r>
      <w:r>
        <w:rPr>
          <w:rFonts w:ascii="Times New Roman" w:hAnsi="Times New Roman"/>
          <w:b w:val="false"/>
          <w:i w:val="false"/>
          <w:color w:val="000000"/>
          <w:sz w:val="21"/>
        </w:rPr>
        <w:t xml:space="preserve">, Notice </w:t>
      </w:r>
      <w:r>
        <w:rPr>
          <w:rFonts w:ascii="Times New Roman" w:hAnsi="Times New Roman"/>
          <w:b w:val="false"/>
          <w:i w:val="false"/>
          <w:color w:val="000000"/>
          <w:sz w:val="21"/>
        </w:rPr>
        <w:t>7/2/08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9/10/08</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10/15/08</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[Filed ARC 7606B</w:t>
      </w:r>
      <w:r>
        <w:rPr>
          <w:rFonts w:ascii="Times New Roman" w:hAnsi="Times New Roman"/>
          <w:b w:val="false"/>
          <w:i w:val="false"/>
          <w:color w:val="000000"/>
          <w:sz w:val="21"/>
        </w:rPr>
        <w:t xml:space="preserve"> (Notice ARC 7372B, IAB 12/3/08)</w:t>
      </w:r>
      <w:r>
        <w:rPr>
          <w:rFonts w:ascii="Times New Roman" w:hAnsi="Times New Roman"/>
          <w:b w:val="false"/>
          <w:i w:val="false"/>
          <w:color w:val="000000"/>
          <w:sz w:val="21"/>
        </w:rPr>
        <w:t>, IAB 3/11/09, effective 5/1/09]</w:t>
      </w:r>
    </w:p>
    <w:p>
      <w:pPr>
        <w:spacing w:before="0" w:after="0"/>
        <w:ind w:left="120"/>
        <w:jc w:val="center"/>
      </w:pPr>
      <w:r>
        <w:rPr>
          <w:rFonts w:ascii="Times New Roman" w:hAnsi="Times New Roman"/>
          <w:b w:val="false"/>
          <w:i w:val="false"/>
          <w:color w:val="000000"/>
          <w:sz w:val="21"/>
        </w:rPr>
        <w:t>[Filed ARC 7741B</w:t>
      </w:r>
      <w:r>
        <w:rPr>
          <w:rFonts w:ascii="Times New Roman" w:hAnsi="Times New Roman"/>
          <w:b w:val="false"/>
          <w:i w:val="false"/>
          <w:color w:val="000000"/>
          <w:sz w:val="21"/>
        </w:rPr>
        <w:t xml:space="preserve"> (Notice ARC 7526B, IAB 1/28/09)</w:t>
      </w:r>
      <w:r>
        <w:rPr>
          <w:rFonts w:ascii="Times New Roman" w:hAnsi="Times New Roman"/>
          <w:b w:val="false"/>
          <w:i w:val="false"/>
          <w:color w:val="000000"/>
          <w:sz w:val="21"/>
        </w:rPr>
        <w:t>, IAB 5/6/09, effective 7/1/09]</w:t>
      </w:r>
    </w:p>
    <w:p>
      <w:pPr>
        <w:spacing w:before="0" w:after="0"/>
        <w:ind w:left="120"/>
        <w:jc w:val="center"/>
      </w:pPr>
      <w:r>
        <w:rPr>
          <w:rFonts w:ascii="Times New Roman" w:hAnsi="Times New Roman"/>
          <w:b w:val="false"/>
          <w:i w:val="false"/>
          <w:color w:val="000000"/>
          <w:sz w:val="21"/>
        </w:rPr>
        <w:t>[Filed ARC 8010B</w:t>
      </w:r>
      <w:r>
        <w:rPr>
          <w:rFonts w:ascii="Times New Roman" w:hAnsi="Times New Roman"/>
          <w:b w:val="false"/>
          <w:i w:val="false"/>
          <w:color w:val="000000"/>
          <w:sz w:val="21"/>
        </w:rPr>
        <w:t xml:space="preserve"> (Notice ARC 7712B, IAB 4/8/09)</w:t>
      </w:r>
      <w:r>
        <w:rPr>
          <w:rFonts w:ascii="Times New Roman" w:hAnsi="Times New Roman"/>
          <w:b w:val="false"/>
          <w:i w:val="false"/>
          <w:color w:val="000000"/>
          <w:sz w:val="21"/>
        </w:rPr>
        <w:t>, IAB 7/29/09, effective 10/1/09]</w:t>
      </w:r>
    </w:p>
    <w:p>
      <w:pPr>
        <w:spacing w:before="0" w:after="0"/>
        <w:ind w:left="120"/>
        <w:jc w:val="center"/>
      </w:pPr>
      <w:r>
        <w:rPr>
          <w:rFonts w:ascii="Times New Roman" w:hAnsi="Times New Roman"/>
          <w:b w:val="false"/>
          <w:i w:val="false"/>
          <w:color w:val="000000"/>
          <w:sz w:val="21"/>
        </w:rPr>
        <w:t>[Filed Emergency ARC 8451B, IAB 1/13/10, effective 1/1/10]</w:t>
      </w:r>
    </w:p>
    <w:p>
      <w:pPr>
        <w:spacing w:before="0" w:after="0"/>
        <w:ind w:left="120"/>
        <w:jc w:val="center"/>
      </w:pPr>
      <w:r>
        <w:rPr>
          <w:rFonts w:ascii="Times New Roman" w:hAnsi="Times New Roman"/>
          <w:b w:val="false"/>
          <w:i w:val="false"/>
          <w:color w:val="000000"/>
          <w:sz w:val="21"/>
        </w:rPr>
        <w:t>[Filed ARC 8653B</w:t>
      </w:r>
      <w:r>
        <w:rPr>
          <w:rFonts w:ascii="Times New Roman" w:hAnsi="Times New Roman"/>
          <w:b w:val="false"/>
          <w:i w:val="false"/>
          <w:color w:val="000000"/>
          <w:sz w:val="21"/>
        </w:rPr>
        <w:t xml:space="preserve"> (Notice ARC 8452B, IAB 1/13/10)</w:t>
      </w:r>
      <w:r>
        <w:rPr>
          <w:rFonts w:ascii="Times New Roman" w:hAnsi="Times New Roman"/>
          <w:b w:val="false"/>
          <w:i w:val="false"/>
          <w:color w:val="000000"/>
          <w:sz w:val="21"/>
        </w:rPr>
        <w:t>, IAB 4/7/10, effective 5/12/10]</w:t>
      </w:r>
    </w:p>
    <w:p>
      <w:pPr>
        <w:spacing w:before="0" w:after="0"/>
        <w:ind w:left="120"/>
        <w:jc w:val="center"/>
      </w:pPr>
      <w:r>
        <w:rPr>
          <w:rFonts w:ascii="Times New Roman" w:hAnsi="Times New Roman"/>
          <w:b w:val="false"/>
          <w:i w:val="false"/>
          <w:color w:val="000000"/>
          <w:sz w:val="21"/>
        </w:rPr>
        <w:t>[Filed ARC 8715B</w:t>
      </w:r>
      <w:r>
        <w:rPr>
          <w:rFonts w:ascii="Times New Roman" w:hAnsi="Times New Roman"/>
          <w:b w:val="false"/>
          <w:i w:val="false"/>
          <w:color w:val="000000"/>
          <w:sz w:val="21"/>
        </w:rPr>
        <w:t xml:space="preserve"> (Notice ARC 8490B, IAB 1/27/10)</w:t>
      </w:r>
      <w:r>
        <w:rPr>
          <w:rFonts w:ascii="Times New Roman" w:hAnsi="Times New Roman"/>
          <w:b w:val="false"/>
          <w:i w:val="false"/>
          <w:color w:val="000000"/>
          <w:sz w:val="21"/>
        </w:rPr>
        <w:t>, IAB 5/5/10, effective 7/1/10]</w:t>
      </w:r>
    </w:p>
    <w:p>
      <w:pPr>
        <w:spacing w:before="0" w:after="0"/>
        <w:ind w:left="120"/>
        <w:jc w:val="center"/>
      </w:pPr>
      <w:r>
        <w:rPr>
          <w:rFonts w:ascii="Times New Roman" w:hAnsi="Times New Roman"/>
          <w:b w:val="false"/>
          <w:i w:val="false"/>
          <w:color w:val="000000"/>
          <w:sz w:val="21"/>
        </w:rPr>
        <w:t>[Filed Emergency ARC 8904B, IAB 6/30/10, effective 7/1/10]</w:t>
      </w:r>
    </w:p>
    <w:p>
      <w:pPr>
        <w:spacing w:before="0" w:after="0"/>
        <w:ind w:left="120"/>
        <w:jc w:val="center"/>
      </w:pPr>
      <w:r>
        <w:rPr>
          <w:rFonts w:ascii="Times New Roman" w:hAnsi="Times New Roman"/>
          <w:b w:val="false"/>
          <w:i w:val="false"/>
          <w:color w:val="000000"/>
          <w:sz w:val="21"/>
        </w:rPr>
        <w:t>[Filed ARC 9778B</w:t>
      </w:r>
      <w:r>
        <w:rPr>
          <w:rFonts w:ascii="Times New Roman" w:hAnsi="Times New Roman"/>
          <w:b w:val="false"/>
          <w:i w:val="false"/>
          <w:color w:val="000000"/>
          <w:sz w:val="21"/>
        </w:rPr>
        <w:t xml:space="preserve"> (Notice ARC 9625B, IAB 7/27/11)</w:t>
      </w:r>
      <w:r>
        <w:rPr>
          <w:rFonts w:ascii="Times New Roman" w:hAnsi="Times New Roman"/>
          <w:b w:val="false"/>
          <w:i w:val="false"/>
          <w:color w:val="000000"/>
          <w:sz w:val="21"/>
        </w:rPr>
        <w:t>, IAB 10/5/11, effective 11/9/11]</w:t>
      </w:r>
    </w:p>
    <w:p>
      <w:pPr>
        <w:spacing w:before="0" w:after="0"/>
        <w:ind w:left="120"/>
        <w:jc w:val="center"/>
      </w:pPr>
      <w:r>
        <w:rPr>
          <w:rFonts w:ascii="Times New Roman" w:hAnsi="Times New Roman"/>
          <w:b w:val="false"/>
          <w:i w:val="false"/>
          <w:color w:val="000000"/>
          <w:sz w:val="21"/>
        </w:rPr>
        <w:t>[Filed Emergency ARC 0240C, IAB 8/8/12, effective 7/11/12]</w:t>
      </w:r>
    </w:p>
    <w:p>
      <w:pPr>
        <w:spacing w:before="0" w:after="0"/>
        <w:ind w:left="120"/>
        <w:jc w:val="center"/>
      </w:pPr>
      <w:r>
        <w:rPr>
          <w:rFonts w:ascii="Times New Roman" w:hAnsi="Times New Roman"/>
          <w:b w:val="false"/>
          <w:i w:val="false"/>
          <w:color w:val="000000"/>
          <w:sz w:val="21"/>
        </w:rPr>
        <w:t>[Filed ARC 0419C</w:t>
      </w:r>
      <w:r>
        <w:rPr>
          <w:rFonts w:ascii="Times New Roman" w:hAnsi="Times New Roman"/>
          <w:b w:val="false"/>
          <w:i w:val="false"/>
          <w:color w:val="000000"/>
          <w:sz w:val="21"/>
        </w:rPr>
        <w:t xml:space="preserve"> (Notice ARC 0241C, IAB 8/8/12)</w:t>
      </w:r>
      <w:r>
        <w:rPr>
          <w:rFonts w:ascii="Times New Roman" w:hAnsi="Times New Roman"/>
          <w:b w:val="false"/>
          <w:i w:val="false"/>
          <w:color w:val="000000"/>
          <w:sz w:val="21"/>
        </w:rPr>
        <w:t>, IAB 10/31/12, effective 12/5/12]</w:t>
      </w:r>
    </w:p>
    <w:p>
      <w:pPr>
        <w:spacing w:before="0" w:after="0"/>
        <w:ind w:left="120"/>
        <w:jc w:val="center"/>
      </w:pPr>
      <w:r>
        <w:rPr>
          <w:rFonts w:ascii="Times New Roman" w:hAnsi="Times New Roman"/>
          <w:b w:val="false"/>
          <w:i w:val="false"/>
          <w:color w:val="000000"/>
          <w:sz w:val="21"/>
        </w:rPr>
        <w:t>[Filed Emergency ARC 0858C, IAB 7/24/13, effective 7/1/13]</w:t>
      </w:r>
      <w:r>
        <w:br/>
      </w:r>
      <w:r>
        <w:rPr>
          <w:rFonts w:ascii="Times New Roman" w:hAnsi="Times New Roman"/>
          <w:b w:val="false"/>
          <w:i w:val="false"/>
          <w:color w:val="000000"/>
          <w:sz w:val="21"/>
        </w:rPr>
        <w:t>[Filed Emergency ARC 0856C, IAB 7/24/13, effective 7/1/13]</w:t>
      </w:r>
    </w:p>
    <w:p>
      <w:pPr>
        <w:spacing w:before="0" w:after="0"/>
        <w:ind w:left="120"/>
        <w:jc w:val="center"/>
      </w:pPr>
      <w:r>
        <w:rPr>
          <w:rFonts w:ascii="Times New Roman" w:hAnsi="Times New Roman"/>
          <w:b w:val="false"/>
          <w:i w:val="false"/>
          <w:color w:val="000000"/>
          <w:sz w:val="21"/>
        </w:rPr>
        <w:t>[Filed ARC 1061C</w:t>
      </w:r>
      <w:r>
        <w:rPr>
          <w:rFonts w:ascii="Times New Roman" w:hAnsi="Times New Roman"/>
          <w:b w:val="false"/>
          <w:i w:val="false"/>
          <w:color w:val="000000"/>
          <w:sz w:val="21"/>
        </w:rPr>
        <w:t xml:space="preserve"> (Notice ARC 0857C, IAB 7/24/13)</w:t>
      </w:r>
      <w:r>
        <w:rPr>
          <w:rFonts w:ascii="Times New Roman" w:hAnsi="Times New Roman"/>
          <w:b w:val="false"/>
          <w:i w:val="false"/>
          <w:color w:val="000000"/>
          <w:sz w:val="21"/>
        </w:rPr>
        <w:t>, IAB 10/2/13, effective 11/6/13]</w:t>
      </w:r>
      <w:r>
        <w:br/>
      </w:r>
      <w:r>
        <w:rPr>
          <w:rFonts w:ascii="Times New Roman" w:hAnsi="Times New Roman"/>
          <w:b w:val="false"/>
          <w:i w:val="false"/>
          <w:color w:val="000000"/>
          <w:sz w:val="21"/>
        </w:rPr>
        <w:t>[Filed ARC 1062C</w:t>
      </w:r>
      <w:r>
        <w:rPr>
          <w:rFonts w:ascii="Times New Roman" w:hAnsi="Times New Roman"/>
          <w:b w:val="false"/>
          <w:i w:val="false"/>
          <w:color w:val="000000"/>
          <w:sz w:val="21"/>
        </w:rPr>
        <w:t xml:space="preserve"> (Notice ARC 0855C, IAB 7/24/13)</w:t>
      </w:r>
      <w:r>
        <w:rPr>
          <w:rFonts w:ascii="Times New Roman" w:hAnsi="Times New Roman"/>
          <w:b w:val="false"/>
          <w:i w:val="false"/>
          <w:color w:val="000000"/>
          <w:sz w:val="21"/>
        </w:rPr>
        <w:t>, IAB 10/2/13, effective 11/6/13]</w:t>
      </w:r>
    </w:p>
    <w:p>
      <w:pPr>
        <w:spacing w:before="0" w:after="0"/>
        <w:ind w:left="120"/>
        <w:jc w:val="center"/>
      </w:pPr>
      <w:r>
        <w:rPr>
          <w:rFonts w:ascii="Times New Roman" w:hAnsi="Times New Roman"/>
          <w:b w:val="false"/>
          <w:i w:val="false"/>
          <w:color w:val="000000"/>
          <w:sz w:val="21"/>
        </w:rPr>
        <w:t>[Filed Emergency ARC 1523C, IAB 7/9/14, effective 7/1/14]</w:t>
      </w:r>
    </w:p>
    <w:p>
      <w:pPr>
        <w:spacing w:before="0" w:after="0"/>
        <w:ind w:left="120"/>
        <w:jc w:val="center"/>
      </w:pPr>
      <w:r>
        <w:rPr>
          <w:rFonts w:ascii="Times New Roman" w:hAnsi="Times New Roman"/>
          <w:b w:val="false"/>
          <w:i w:val="false"/>
          <w:color w:val="000000"/>
          <w:sz w:val="21"/>
        </w:rPr>
        <w:t>[Filed ARC 1607C</w:t>
      </w:r>
      <w:r>
        <w:rPr>
          <w:rFonts w:ascii="Times New Roman" w:hAnsi="Times New Roman"/>
          <w:b w:val="false"/>
          <w:i w:val="false"/>
          <w:color w:val="000000"/>
          <w:sz w:val="21"/>
        </w:rPr>
        <w:t xml:space="preserve"> (Notice ARC 1522C, IAB 7/9/14)</w:t>
      </w:r>
      <w:r>
        <w:rPr>
          <w:rFonts w:ascii="Times New Roman" w:hAnsi="Times New Roman"/>
          <w:b w:val="false"/>
          <w:i w:val="false"/>
          <w:color w:val="000000"/>
          <w:sz w:val="21"/>
        </w:rPr>
        <w:t>, IAB 9/3/14, effective 10/8/14]</w:t>
      </w:r>
    </w:p>
    <w:p>
      <w:pPr>
        <w:spacing w:before="0" w:after="0"/>
        <w:ind w:left="120"/>
        <w:jc w:val="center"/>
      </w:pPr>
      <w:r>
        <w:rPr>
          <w:rFonts w:ascii="Times New Roman" w:hAnsi="Times New Roman"/>
          <w:b w:val="false"/>
          <w:i w:val="false"/>
          <w:color w:val="000000"/>
          <w:sz w:val="21"/>
        </w:rPr>
        <w:t>[Filed ARC 2885C</w:t>
      </w:r>
      <w:r>
        <w:rPr>
          <w:rFonts w:ascii="Times New Roman" w:hAnsi="Times New Roman"/>
          <w:b w:val="false"/>
          <w:i w:val="false"/>
          <w:color w:val="000000"/>
          <w:sz w:val="21"/>
        </w:rPr>
        <w:t xml:space="preserve"> (Notice ARC 2771C, IAB 10/12/16)</w:t>
      </w:r>
      <w:r>
        <w:rPr>
          <w:rFonts w:ascii="Times New Roman" w:hAnsi="Times New Roman"/>
          <w:b w:val="false"/>
          <w:i w:val="false"/>
          <w:color w:val="000000"/>
          <w:sz w:val="21"/>
        </w:rPr>
        <w:t>, IAB 1/4/17, effective 3/1/17]</w:t>
      </w:r>
    </w:p>
    <w:p>
      <w:pPr>
        <w:spacing w:before="0" w:after="0"/>
        <w:ind w:left="120"/>
        <w:jc w:val="center"/>
      </w:pPr>
      <w:r>
        <w:rPr>
          <w:rFonts w:ascii="Times New Roman" w:hAnsi="Times New Roman"/>
          <w:b w:val="false"/>
          <w:i w:val="false"/>
          <w:color w:val="000000"/>
          <w:sz w:val="21"/>
        </w:rPr>
        <w:t>[Filed ARC 3185C</w:t>
      </w:r>
      <w:r>
        <w:rPr>
          <w:rFonts w:ascii="Times New Roman" w:hAnsi="Times New Roman"/>
          <w:b w:val="false"/>
          <w:i w:val="false"/>
          <w:color w:val="000000"/>
          <w:sz w:val="21"/>
        </w:rPr>
        <w:t xml:space="preserve"> (Notice ARC 3040C, IAB 4/26/17)</w:t>
      </w:r>
      <w:r>
        <w:rPr>
          <w:rFonts w:ascii="Times New Roman" w:hAnsi="Times New Roman"/>
          <w:b w:val="false"/>
          <w:i w:val="false"/>
          <w:color w:val="000000"/>
          <w:sz w:val="21"/>
        </w:rPr>
        <w:t>, IAB 7/5/17, effective 9/1/17]</w:t>
      </w:r>
    </w:p>
    <w:p>
      <w:pPr>
        <w:spacing w:before="0" w:after="0"/>
        <w:ind w:left="120"/>
        <w:jc w:val="center"/>
      </w:pPr>
      <w:r>
        <w:rPr>
          <w:rFonts w:ascii="Times New Roman" w:hAnsi="Times New Roman"/>
          <w:b w:val="false"/>
          <w:i w:val="false"/>
          <w:color w:val="000000"/>
          <w:sz w:val="21"/>
        </w:rPr>
        <w:t>[Filed ARC 3442C</w:t>
      </w:r>
      <w:r>
        <w:rPr>
          <w:rFonts w:ascii="Times New Roman" w:hAnsi="Times New Roman"/>
          <w:b w:val="false"/>
          <w:i w:val="false"/>
          <w:color w:val="000000"/>
          <w:sz w:val="21"/>
        </w:rPr>
        <w:t xml:space="preserve"> (Notice ARC 3260C, IAB 8/16/17)</w:t>
      </w:r>
      <w:r>
        <w:rPr>
          <w:rFonts w:ascii="Times New Roman" w:hAnsi="Times New Roman"/>
          <w:b w:val="false"/>
          <w:i w:val="false"/>
          <w:color w:val="000000"/>
          <w:sz w:val="21"/>
        </w:rPr>
        <w:t>, IAB 11/8/17, effective 1/1/18]</w:t>
      </w:r>
    </w:p>
    <w:p>
      <w:pPr>
        <w:spacing w:before="0" w:after="0"/>
        <w:ind w:left="120"/>
        <w:jc w:val="center"/>
      </w:pPr>
      <w:r>
        <w:rPr>
          <w:rFonts w:ascii="Times New Roman" w:hAnsi="Times New Roman"/>
          <w:b w:val="false"/>
          <w:i w:val="false"/>
          <w:color w:val="000000"/>
          <w:sz w:val="21"/>
        </w:rPr>
        <w:t>[Filed ARC 5540C</w:t>
      </w:r>
      <w:r>
        <w:rPr>
          <w:rFonts w:ascii="Times New Roman" w:hAnsi="Times New Roman"/>
          <w:b w:val="false"/>
          <w:i w:val="false"/>
          <w:color w:val="000000"/>
          <w:sz w:val="21"/>
        </w:rPr>
        <w:t xml:space="preserve"> (Notice ARC 5406C, IAB 1/27/21)</w:t>
      </w:r>
      <w:r>
        <w:rPr>
          <w:rFonts w:ascii="Times New Roman" w:hAnsi="Times New Roman"/>
          <w:b w:val="false"/>
          <w:i w:val="false"/>
          <w:color w:val="000000"/>
          <w:sz w:val="21"/>
        </w:rPr>
        <w:t>, IAB 4/7/21, effective 7/1/21]</w:t>
      </w:r>
    </w:p>
    <w:p>
      <w:pPr>
        <w:spacing w:before="0" w:after="0"/>
        <w:ind w:left="120"/>
        <w:jc w:val="center"/>
      </w:pPr>
      <w:r>
        <w:rPr>
          <w:rFonts w:ascii="Times New Roman" w:hAnsi="Times New Roman"/>
          <w:b w:val="false"/>
          <w:i w:val="false"/>
          <w:color w:val="000000"/>
          <w:sz w:val="21"/>
        </w:rPr>
        <w:t>[Filed ARC 6964C</w:t>
      </w:r>
      <w:r>
        <w:rPr>
          <w:rFonts w:ascii="Times New Roman" w:hAnsi="Times New Roman"/>
          <w:b w:val="false"/>
          <w:i w:val="false"/>
          <w:color w:val="000000"/>
          <w:sz w:val="21"/>
        </w:rPr>
        <w:t xml:space="preserve"> (Notice ARC 6810C, IAB 1/11/23)</w:t>
      </w:r>
      <w:r>
        <w:rPr>
          <w:rFonts w:ascii="Times New Roman" w:hAnsi="Times New Roman"/>
          <w:b w:val="false"/>
          <w:i w:val="false"/>
          <w:color w:val="000000"/>
          <w:sz w:val="21"/>
        </w:rPr>
        <w:t>, IAB 4/5/23, effective 6/1/23]</w:t>
      </w:r>
    </w:p>
    <w:p>
      <w:pPr>
        <w:spacing w:before="0" w:after="0"/>
        <w:ind w:left="120"/>
        <w:jc w:val="center"/>
      </w:pPr>
      <w:r>
        <w:rPr>
          <w:rFonts w:ascii="Times New Roman" w:hAnsi="Times New Roman"/>
          <w:b w:val="false"/>
          <w:i w:val="false"/>
          <w:color w:val="000000"/>
          <w:sz w:val="21"/>
        </w:rPr>
        <w:t>[Filed ARC 8969C</w:t>
      </w:r>
      <w:r>
        <w:rPr>
          <w:rFonts w:ascii="Times New Roman" w:hAnsi="Times New Roman"/>
          <w:b w:val="false"/>
          <w:i w:val="false"/>
          <w:color w:val="000000"/>
          <w:sz w:val="21"/>
        </w:rPr>
        <w:t xml:space="preserve"> (Notice ARC 8469C, IAB 12/11/24)</w:t>
      </w:r>
      <w:r>
        <w:rPr>
          <w:rFonts w:ascii="Times New Roman" w:hAnsi="Times New Roman"/>
          <w:b w:val="false"/>
          <w:i w:val="false"/>
          <w:color w:val="000000"/>
          <w:sz w:val="21"/>
        </w:rPr>
        <w:t>, IAB 2/19/25, effective 4/1/25]</w:t>
      </w:r>
    </w:p>
    <w:p>
      <w:pPr>
        <w:pBdr>
          <w:bottom w:space="2"/>
        </w:pBdr>
        <w:spacing w:before="0" w:after="0"/>
        <w:ind w:left="120"/>
        <w:jc w:val="both"/>
      </w:pPr>
      <w:r>
        <w:rPr>
          <w:rFonts w:ascii="Times New Roman" w:hAnsi="Times New Roman"/>
          <w:b w:val="false"/>
          <w:i w:val="false"/>
          <w:color w:val="000000"/>
          <w:sz w:val="22"/>
        </w:rPr>
        <w:t>Two or more ARCs</w:t>
      </w:r>
    </w:p>
    <w:p>
      <w:pPr>
        <w:pBdr>
          <w:bottom w:space="2"/>
        </w:pBdr>
        <w:spacing w:before="0" w:after="0"/>
        <w:ind w:left="120"/>
        <w:jc w:val="both"/>
      </w:pPr>
      <w:r>
        <w:rPr>
          <w:rFonts w:ascii="Times New Roman" w:hAnsi="Times New Roman"/>
          <w:b w:val="false"/>
          <w:i w:val="false"/>
          <w:color w:val="000000"/>
          <w:sz w:val="22"/>
        </w:rPr>
        <w:t>Effective date of 3/1/92 delayed until adjournment of the 1992 General Assembly by the Administrative Rules Review Committee at its meeting held February 3, 1992.</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ac/chapter/441.113.pdf" Type="http://schemas.openxmlformats.org/officeDocument/2006/relationships/hyperlink" Id="rId5"/>
    <Relationship TargetMode="External" Target="https://www.legis.iowa.gov/docs/ico/chapter/232.pdf" Type="http://schemas.openxmlformats.org/officeDocument/2006/relationships/hyperlink" Id="rId6"/>
    <Relationship TargetMode="External" Target="https://www.legis.iowa.gov/docs/iac/chapter/441.99.pdf" Type="http://schemas.openxmlformats.org/officeDocument/2006/relationships/hyperlink" Id="rId7"/>
    <Relationship TargetMode="External" Target="https://www.legis.iowa.gov/docs/ico/chapter/135.1.pdf" Type="http://schemas.openxmlformats.org/officeDocument/2006/relationships/hyperlink" Id="rId8"/>
    <Relationship TargetMode="External" Target="https://www.legis.iowa.gov/docs/iac/rule/441.156.6.pdf" Type="http://schemas.openxmlformats.org/officeDocument/2006/relationships/hyperlink" Id="rId9"/>
    <Relationship TargetMode="External" Target="https://www.legis.iowa.gov/docs/ico/chapter/234.39.pdf" Type="http://schemas.openxmlformats.org/officeDocument/2006/relationships/hyperlink" Id="rId10"/>
    <Relationship TargetMode="External" Target="https://www.legis.iowa.gov/docs/iac/chapter/441.99.pdf" Type="http://schemas.openxmlformats.org/officeDocument/2006/relationships/hyperlink" Id="rId11"/>
    <Relationship TargetMode="External" Target="https://www.legis.iowa.gov/docs/ico/chapter/234.39.pdf" Type="http://schemas.openxmlformats.org/officeDocument/2006/relationships/hyperlink" Id="rId12"/>
    <Relationship TargetMode="External" Target="https://www.legis.iowa.gov/docs/iac/rule/441.156.6.pdf" Type="http://schemas.openxmlformats.org/officeDocument/2006/relationships/hyperlink" Id="rId13"/>
    <Relationship TargetMode="External" Target="https://www.legis.iowa.gov/docs/iac/rule/441.156.6.pdf" Type="http://schemas.openxmlformats.org/officeDocument/2006/relationships/hyperlink" Id="rId14"/>
    <Relationship TargetMode="External" Target="https://www.legis.iowa.gov/docs/iac/rule/441.156.6.pdf" Type="http://schemas.openxmlformats.org/officeDocument/2006/relationships/hyperlink" Id="rId15"/>
    <Relationship TargetMode="External" Target="https://www.legis.iowa.gov/docs/iac/rule/441.156.6.pdf" Type="http://schemas.openxmlformats.org/officeDocument/2006/relationships/hyperlink" Id="rId16"/>
    <Relationship TargetMode="External" Target="https://www.legis.iowa.gov/docs/ico/chapter/234.38.pdf" Type="http://schemas.openxmlformats.org/officeDocument/2006/relationships/hyperlink" Id="rId17"/>
    <Relationship TargetMode="External" Target="https://www.legis.iowa.gov/docs/iac/rule/441.156.6.pdf" Type="http://schemas.openxmlformats.org/officeDocument/2006/relationships/hyperlink" Id="rId18"/>
    <Relationship TargetMode="External" Target="https://www.legis.iowa.gov/docs/ico/chapter/232.102.pdf" Type="http://schemas.openxmlformats.org/officeDocument/2006/relationships/hyperlink" Id="rId19"/>
    <Relationship TargetMode="External" Target="https://www.legis.iowa.gov/docs/iac/rule/441.156.6.pdf" Type="http://schemas.openxmlformats.org/officeDocument/2006/relationships/hyperlink" Id="rId20"/>
    <Relationship TargetMode="External" Target="https://www.legis.iowa.gov/docs/iac/chapter/441.110.pdf" Type="http://schemas.openxmlformats.org/officeDocument/2006/relationships/hyperlink" Id="rId21"/>
    <Relationship TargetMode="External" Target="https://www.legis.iowa.gov/docs/iac/rule/441.170.4.pdf" Type="http://schemas.openxmlformats.org/officeDocument/2006/relationships/hyperlink" Id="rId22"/>
    <Relationship TargetMode="External" Target="https://www.legis.iowa.gov/docs/ico/chapter/234.35.pdf" Type="http://schemas.openxmlformats.org/officeDocument/2006/relationships/hyperlink" Id="rId23"/>
    <Relationship TargetMode="External" Target="https://www.legis.iowa.gov/docs/iac/rule/441.156.9.pdf" Type="http://schemas.openxmlformats.org/officeDocument/2006/relationships/hyperlink" Id="rId24"/>
    <Relationship TargetMode="External" Target="https://www.legis.iowa.gov/docs/iac/rule/441.156.9.pdf" Type="http://schemas.openxmlformats.org/officeDocument/2006/relationships/hyperlink" Id="rId25"/>
    <Relationship TargetMode="External" Target="https://www.legis.iowa.gov/docs/iac/rule/441.156.9.pdf" Type="http://schemas.openxmlformats.org/officeDocument/2006/relationships/hyperlink" Id="rId26"/>
    <Relationship TargetMode="External" Target="https://www.legis.iowa.gov/docs/ico/chapter/234.6.pdf" Type="http://schemas.openxmlformats.org/officeDocument/2006/relationships/hyperlink" Id="rId27"/>
    <Relationship TargetMode="External" Target="https://www.legis.iowa.gov/docs/ico/chapter/234.38.pdf" Type="http://schemas.openxmlformats.org/officeDocument/2006/relationships/hyperlink" Id="rId28"/>
    <Relationship TargetMode="External" Target="https://www.legis.iowa.gov/docs/ico/chapter/234.6.pdf" Type="http://schemas.openxmlformats.org/officeDocument/2006/relationships/hyperlink" Id="rId29"/>
    <Relationship TargetMode="External" Target="https://www.legis.iowa.gov/docs/ico/chapter/234.35.pdf" Type="http://schemas.openxmlformats.org/officeDocument/2006/relationships/hyperlink" Id="rId30"/>
    <Relationship TargetMode="External" Target="https://www.legis.iowa.gov/docs/ico/chapter/232.141.pdf" Type="http://schemas.openxmlformats.org/officeDocument/2006/relationships/hyperlink" Id="rId31"/>
    <Relationship TargetMode="External" Target="https://www.legis.iowa.gov/docs/ico/chapter/234.6.pdf" Type="http://schemas.openxmlformats.org/officeDocument/2006/relationships/hyperlink" Id="rId32"/>
    <Relationship TargetMode="External" Target="https://www.legis.iowa.gov/docs/ico/chapter/234.39.pdf" Type="http://schemas.openxmlformats.org/officeDocument/2006/relationships/hyperlink" Id="rId33"/>
    <Relationship TargetMode="External" Target="https://www.legis.iowa.gov/docs/ico/chapter/234.35.pdf" Type="http://schemas.openxmlformats.org/officeDocument/2006/relationships/hyperlink" Id="rId34"/>
    <Relationship TargetMode="External" Target="https://www.legis.iowa.gov/docs/ico/chapter/234.39.pdf" Type="http://schemas.openxmlformats.org/officeDocument/2006/relationships/hyperlink" Id="rId35"/>
    <Relationship TargetMode="External" Target="https://www.legis.iowa.gov/docs/ico/chapter/234.39.pdf" Type="http://schemas.openxmlformats.org/officeDocument/2006/relationships/hyperlink" Id="rId36"/>
    <Relationship TargetMode="External" Target="https://www.legis.iowa.gov/docs/ico/chapter/234.39.pdf" Type="http://schemas.openxmlformats.org/officeDocument/2006/relationships/hyperlink" Id="rId37"/>
    <Relationship TargetMode="External" Target="https://www.legis.iowa.gov/docs/iac/rule/441.201.5.pdf" Type="http://schemas.openxmlformats.org/officeDocument/2006/relationships/hyperlink" Id="rId38"/>
    <Relationship TargetMode="External" Target="https://www.legis.iowa.gov/docs/ico/chapter/234.38.pdf" Type="http://schemas.openxmlformats.org/officeDocument/2006/relationships/hyperlink" Id="rId39"/>
    <Relationship TargetMode="External" Target="https://www.legis.iowa.gov/docs/ico/chapter/232.52.pdf" Type="http://schemas.openxmlformats.org/officeDocument/2006/relationships/hyperlink" Id="rId40"/>
    <Relationship TargetMode="External" Target="https://www.legis.iowa.gov/docs/ico/chapter/232.102.pdf" Type="http://schemas.openxmlformats.org/officeDocument/2006/relationships/hyperlink" Id="rId41"/>
    <Relationship TargetMode="External" Target="https://www.legis.iowa.gov/docs/ico/chapter/232.117.pdf" Type="http://schemas.openxmlformats.org/officeDocument/2006/relationships/hyperlink" Id="rId42"/>
    <Relationship TargetMode="External" Target="https://www.legis.iowa.gov/docs/ico/chapter/232.182.pdf" Type="http://schemas.openxmlformats.org/officeDocument/2006/relationships/hyperlink" Id="rId43"/>
    <Relationship TargetMode="External" Target="https://www.legis.iowa.gov/docs/ico/chapter/232.20.pdf" Type="http://schemas.openxmlformats.org/officeDocument/2006/relationships/hyperlink" Id="rId44"/>
    <Relationship TargetMode="External" Target="https://www.legis.iowa.gov/docs/ico/chapter/232.21.pdf" Type="http://schemas.openxmlformats.org/officeDocument/2006/relationships/hyperlink" Id="rId45"/>
    <Relationship TargetMode="External" Target="https://www.legis.iowa.gov/docs/iac/rule/441.202.3.pdf" Type="http://schemas.openxmlformats.org/officeDocument/2006/relationships/hyperlink" Id="rId46"/>
    <Relationship TargetMode="External" Target="https://www.legis.iowa.gov/docs/iac/rule/441.202.17.pdf" Type="http://schemas.openxmlformats.org/officeDocument/2006/relationships/hyperlink" Id="rId47"/>
    <Relationship TargetMode="External" Target="https://www.legis.iowa.gov/docs/iac/rule/441.202.8.pdf" Type="http://schemas.openxmlformats.org/officeDocument/2006/relationships/hyperlink" Id="rId48"/>
    <Relationship TargetMode="External" Target="https://www.legis.iowa.gov/docs/iac/rule/441.202.1.pdf" Type="http://schemas.openxmlformats.org/officeDocument/2006/relationships/hyperlink" Id="rId49"/>
    <Relationship TargetMode="External" Target="https://www.legis.iowa.gov/docs/iac/rule/441.202.3.pdf" Type="http://schemas.openxmlformats.org/officeDocument/2006/relationships/hyperlink" Id="rId50"/>
    <Relationship TargetMode="External" Target="https://www.legis.iowa.gov/docs/iac/rule/441.156.20.pdf" Type="http://schemas.openxmlformats.org/officeDocument/2006/relationships/hyperlink" Id="rId51"/>
    <Relationship TargetMode="External" Target="https://www.legis.iowa.gov/docs/iac/rule/441.156.20.pdf" Type="http://schemas.openxmlformats.org/officeDocument/2006/relationships/hyperlink" Id="rId52"/>
    <Relationship TargetMode="External" Target="https://www.legis.iowa.gov/docs/ico/chapter/222.60.pdf" Type="http://schemas.openxmlformats.org/officeDocument/2006/relationships/hyperlink" Id="rId53"/>
    <Relationship TargetMode="External" Target="https://www.legis.iowa.gov/docs/iac/rule/441.156.9.pdf" Type="http://schemas.openxmlformats.org/officeDocument/2006/relationships/hyperlink" Id="rId54"/>
    <Relationship TargetMode="External" Target="https://www.legis.iowa.gov/docs/iac/chapter/441.152.pdf" Type="http://schemas.openxmlformats.org/officeDocument/2006/relationships/hyperlink" Id="rId55"/>
    <Relationship TargetMode="External" Target="https://www.legis.iowa.gov/docs/ico/chapter/232.143.pdf" Type="http://schemas.openxmlformats.org/officeDocument/2006/relationships/hyperlink" Id="rId56"/>
    <Relationship TargetMode="External" Target="https://www.legis.iowa.gov/docs/ico/chapter/234.35.pdf" Type="http://schemas.openxmlformats.org/officeDocument/2006/relationships/hyperlink" Id="rId57"/>
    <Relationship TargetMode="External" Target="https://www.legis.iowa.gov/docs/ico/chapter/234.38.pdf" Type="http://schemas.openxmlformats.org/officeDocument/2006/relationships/hyperlink" Id="rId58"/>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