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PETITIONS FOR RULEMAKING</w:t>
      </w:r>
    </w:p>
    <w:p>
      <w:pPr>
        <w:spacing w:before="0" w:after="0"/>
        <w:ind w:left="120"/>
        <w:jc w:val="center"/>
      </w:pPr>
      <w:r>
        <w:rPr>
          <w:rFonts w:ascii="Times New Roman" w:hAnsi="Times New Roman"/>
          <w:b w:val="false"/>
          <w:i w:val="false"/>
          <w:color w:val="000000"/>
          <w:sz w:val="14"/>
        </w:rPr>
        <w:t>[Prior to 3/12/97 see Employment Services[341] Ch 3]</w:t>
      </w:r>
    </w:p>
    <w:p>
      <w:pPr>
        <w:spacing w:before="0" w:after="0"/>
        <w:ind w:left="120"/>
        <w:jc w:val="center"/>
      </w:pPr>
      <w:r>
        <w:rPr>
          <w:rFonts w:ascii="Times New Roman" w:hAnsi="Times New Roman"/>
          <w:b w:val="false"/>
          <w:i w:val="false"/>
          <w:color w:val="000000"/>
          <w:sz w:val="14"/>
        </w:rPr>
        <w:t>[Prior to 5/14/25, see Workforce Development Department[871] Ch 43]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871—4.1</w:t>
      </w:r>
      <w:r>
        <w:rPr>
          <w:rFonts w:ascii="Times New Roman" w:hAnsi="Times New Roman"/>
          <w:b/>
          <w:i w:val="false"/>
          <w:color w:val="000000"/>
          <w:sz w:val="22"/>
        </w:rPr>
        <w:t xml:space="preserve">(17A,84A) </w:t>
      </w:r>
      <w:r>
        <w:rPr>
          <w:rFonts w:ascii="Times New Roman" w:hAnsi="Times New Roman"/>
          <w:b/>
          <w:i w:val="false"/>
          <w:color w:val="000000"/>
          <w:sz w:val="22"/>
        </w:rPr>
        <w:t xml:space="preserve">Petition for rulemaking. </w:t>
      </w:r>
      <w:r>
        <w:rPr>
          <w:rFonts w:ascii="Times New Roman" w:hAnsi="Times New Roman"/>
          <w:b w:val="false"/>
          <w:i w:val="false"/>
          <w:color w:val="000000"/>
          <w:sz w:val="22"/>
        </w:rPr>
        <w:t>Any person may file a petition for rulemaking with the department of workforce development at 1000 East Grand Avenue, Des Moines, Iowa 50319. A petition is deemed filed when it is received by that office. The agency should provide the petitioner with a file-stamped copy of the petition if the petitioner provides the agency an extra copy for this purpose. The petition must be emailed, typewritten, or legibly handwritten in ink, and should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5486"/>
        <w:gridCol w:w="628"/>
        <w:gridCol w:w="743"/>
        <w:gridCol w:w="4333"/>
      </w:tblGrid>
      <w:tr>
        <w:trPr>
          <w:trHeight w:val="270" w:hRule="atLeast"/>
        </w:trPr>
        <w:tc>
          <w:tcPr>
            <w:tcW w:w="0" w:type="auto"/>
            <w:gridSpan w:val="4"/>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DEPARTMENT OF WORKFORCE DEVELOPMENT</w:t>
            </w:r>
          </w:p>
        </w:tc>
      </w:tr>
      <w:tr>
        <w:trPr>
          <w:trHeight w:val="1125" w:hRule="atLeast"/>
        </w:trPr>
        <w:tc>
          <w:tcPr>
            <w:tcW w:w="5486"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 xml:space="preserve">Petition by (Name of Petitioner) for the </w:t>
            </w:r>
            <w:r>
              <w:br/>
            </w:r>
            <w:r>
              <w:rPr>
                <w:rFonts w:ascii="Times New Roman" w:hAnsi="Times New Roman"/>
                <w:b w:val="false"/>
                <w:i w:val="false"/>
                <w:color w:val="000000"/>
                <w:sz w:val="20"/>
              </w:rPr>
              <w:t xml:space="preserve">(adoption, amendment, or repeal) of rules </w:t>
            </w:r>
            <w:r>
              <w:br/>
            </w:r>
            <w:r>
              <w:rPr>
                <w:rFonts w:ascii="Times New Roman" w:hAnsi="Times New Roman"/>
                <w:b w:val="false"/>
                <w:i w:val="false"/>
                <w:color w:val="000000"/>
                <w:sz w:val="20"/>
              </w:rPr>
              <w:t>relating to (state subject matter).</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96"/>
              </w:rPr>
              <w:t>}</w:t>
            </w:r>
          </w:p>
        </w:tc>
        <w:tc>
          <w:tcPr>
            <w:tcW w:w="433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 xml:space="preserve">PETITION FOR </w:t>
            </w:r>
            <w:r>
              <w:br/>
            </w:r>
            <w:r>
              <w:rPr>
                <w:rFonts w:ascii="Times New Roman" w:hAnsi="Times New Roman"/>
                <w:b w:val="false"/>
                <w:i w:val="false"/>
                <w:color w:val="000000"/>
                <w:sz w:val="20"/>
              </w:rPr>
              <w:t>RULEMAKING</w:t>
            </w:r>
          </w:p>
        </w:tc>
      </w:tr>
    </w:tbl>
    <w:p>
      <w:pPr>
        <w:spacing w:before="0" w:after="0"/>
        <w:ind w:left="120"/>
        <w:jc w:val="both"/>
      </w:pPr>
      <w:r>
        <w:rPr>
          <w:rFonts w:ascii="Times New Roman" w:hAnsi="Times New Roman"/>
          <w:b w:val="false"/>
          <w:i w:val="false"/>
          <w:color w:val="000000"/>
          <w:sz w:val="22"/>
        </w:rPr>
        <w:t>The petition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and the relevant language to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citation to any law deemed relevant to the agency’s authority to take the action urged or to the desirability of that action.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brief summary of the petitioner’s arguments in support of the action urged in the petition.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names and addresses of other persons, or a description of any class of persons, known by the petitioner to be affected by, or interested in, the proposed action that is the subject of the petition.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Any request by the petitioner for a meeting provided for by rule </w:t>
      </w:r>
      <w:hyperlink r:id="rId5">
        <w:r>
          <w:rPr>
            <w:rStyle w:val="Hyperlink"/>
            <w:rFonts w:ascii="Times New Roman" w:hAnsi="Times New Roman"/>
            <w:b w:val="false"/>
            <w:i w:val="false"/>
            <w:color w:val="000000"/>
            <w:sz w:val="22"/>
          </w:rPr>
          <w:t>871—4.4</w:t>
        </w:r>
      </w:hyperlink>
      <w:r>
        <w:rPr>
          <w:rFonts w:ascii="Times New Roman" w:hAnsi="Times New Roman"/>
          <w:b w:val="false"/>
          <w:i w:val="false"/>
          <w:color w:val="000000"/>
          <w:sz w:val="22"/>
        </w:rPr>
        <w:t>(17A,84A).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The petition should be dated and signed by the petitioner or the petitioner’s representative. It should also include the name, mailing address, and telephone number of the petitioner and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The agency may deny a petition because it does not substantially conform to the required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871—4.2</w:t>
      </w:r>
      <w:r>
        <w:rPr>
          <w:rFonts w:ascii="Times New Roman" w:hAnsi="Times New Roman"/>
          <w:b/>
          <w:i w:val="false"/>
          <w:color w:val="000000"/>
          <w:sz w:val="22"/>
        </w:rPr>
        <w:t xml:space="preserve">(17A,84A) </w:t>
      </w:r>
      <w:r>
        <w:rPr>
          <w:rFonts w:ascii="Times New Roman" w:hAnsi="Times New Roman"/>
          <w:b/>
          <w:i w:val="false"/>
          <w:color w:val="000000"/>
          <w:sz w:val="22"/>
        </w:rPr>
        <w:t xml:space="preserve">Briefs. </w:t>
      </w:r>
      <w:r>
        <w:rPr>
          <w:rFonts w:ascii="Times New Roman" w:hAnsi="Times New Roman"/>
          <w:b w:val="false"/>
          <w:i w:val="false"/>
          <w:color w:val="000000"/>
          <w:sz w:val="22"/>
        </w:rPr>
        <w:t>The petitioner may attach a brief to the petition in support of the action. The agency may request a brief from the petitioner or from any other person concerning the substance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871—4.3</w:t>
      </w:r>
      <w:r>
        <w:rPr>
          <w:rFonts w:ascii="Times New Roman" w:hAnsi="Times New Roman"/>
          <w:b/>
          <w:i w:val="false"/>
          <w:color w:val="000000"/>
          <w:sz w:val="22"/>
        </w:rPr>
        <w:t xml:space="preserve">(17A,84A) </w:t>
      </w:r>
      <w:r>
        <w:rPr>
          <w:rFonts w:ascii="Times New Roman" w:hAnsi="Times New Roman"/>
          <w:b/>
          <w:i w:val="false"/>
          <w:color w:val="000000"/>
          <w:sz w:val="22"/>
        </w:rPr>
        <w:t xml:space="preserve">Inquiries. </w:t>
      </w:r>
      <w:r>
        <w:rPr>
          <w:rFonts w:ascii="Times New Roman" w:hAnsi="Times New Roman"/>
          <w:b w:val="false"/>
          <w:i w:val="false"/>
          <w:color w:val="000000"/>
          <w:sz w:val="22"/>
        </w:rPr>
        <w:t>Inquiries concerning the status of a petition for rulemaking may be made to Director, Department of Workforce Development, 1000 East Grand Avenue, Des Moines, Iowa 50319.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871—4.4</w:t>
      </w:r>
      <w:r>
        <w:rPr>
          <w:rFonts w:ascii="Times New Roman" w:hAnsi="Times New Roman"/>
          <w:b/>
          <w:i w:val="false"/>
          <w:color w:val="000000"/>
          <w:sz w:val="22"/>
        </w:rPr>
        <w:t xml:space="preserve">(17A,84A) </w:t>
      </w:r>
      <w:r>
        <w:rPr>
          <w:rFonts w:ascii="Times New Roman" w:hAnsi="Times New Roman"/>
          <w:b/>
          <w:i w:val="false"/>
          <w:color w:val="000000"/>
          <w:sz w:val="22"/>
        </w:rPr>
        <w:t xml:space="preserve">Agency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Within 14 days after the filing of a petition, the agency should submit a copy of the petition and any accompanying brief to the administrative rules coordinator and to the administrative rules review committee. Upon request by the petitioner in the petition, the agency should schedule a brief and informal meeting between the petitioner and the agency, a member of the agency, or a member of the staff of the agency, to discuss the petition. The agency may request the petitioner to submit additional information or argument concerning the petition. The agency may also solicit comments from any person on the substance of the petition. Any person may submit comments on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Within 60 days after the filing of the petition, or within any longer period agreed to by the petitioner, the agency should in writing, deny the petition and notify the petitioner of its action and the specific grounds for the denial, or grant the petition and notify the petitioner that it has instituted rulemaking proceedings on the subject of the petition. The petitioner is deemed notified of the denial or grant of the petition on the date when the agency mails or delivers the required notification to the petitioner.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Denial of the petition because it does not substantially conform to the required form does not preclude the filing of a new petition on the same subject that seeks to eliminate the grounds for the agency’s rejection of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8691C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9/5/86—published 9/24/86, effective 9/5/86]</w:t>
      </w:r>
    </w:p>
    <w:p>
      <w:pPr>
        <w:spacing w:before="0" w:after="0"/>
        <w:ind w:left="120"/>
        <w:jc w:val="center"/>
      </w:pPr>
      <w:r>
        <w:rPr>
          <w:rFonts w:ascii="Times New Roman" w:hAnsi="Times New Roman"/>
          <w:b w:val="false"/>
          <w:i w:val="false"/>
          <w:color w:val="000000"/>
          <w:sz w:val="21"/>
        </w:rPr>
        <w:t>[Filed emergency 10/1/86—published 10/22/86, effective 10/1/86]</w:t>
      </w:r>
    </w:p>
    <w:p>
      <w:pPr>
        <w:spacing w:before="0" w:after="0"/>
        <w:ind w:left="120"/>
        <w:jc w:val="center"/>
      </w:pPr>
      <w:r>
        <w:rPr>
          <w:rFonts w:ascii="Times New Roman" w:hAnsi="Times New Roman"/>
          <w:b w:val="false"/>
          <w:i w:val="false"/>
          <w:color w:val="000000"/>
          <w:sz w:val="21"/>
        </w:rPr>
        <w:t>[Filed 12/8/86, Notice 10/22/86—published 12/31/86, effective 2/4/87]</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5/13/99, Notice 3/24/99—published 6/2/99, effective 7/7/99]</w:t>
      </w:r>
    </w:p>
    <w:p>
      <w:pPr>
        <w:spacing w:before="0" w:after="0"/>
        <w:ind w:left="120"/>
        <w:jc w:val="center"/>
      </w:pPr>
      <w:r>
        <w:rPr>
          <w:rFonts w:ascii="Times New Roman" w:hAnsi="Times New Roman"/>
          <w:b w:val="false"/>
          <w:i w:val="false"/>
          <w:color w:val="000000"/>
          <w:sz w:val="21"/>
        </w:rPr>
        <w:t>[Filed ARC 8691C</w:t>
      </w:r>
      <w:r>
        <w:rPr>
          <w:rFonts w:ascii="Times New Roman" w:hAnsi="Times New Roman"/>
          <w:b w:val="false"/>
          <w:i w:val="false"/>
          <w:color w:val="000000"/>
          <w:sz w:val="21"/>
        </w:rPr>
        <w:t xml:space="preserve"> (Notice ARC 8311C,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5/14/25]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1.4.4.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84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