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DECLARATORY ORDERS</w:t>
      </w:r>
    </w:p>
    <w:p>
      <w:pPr>
        <w:spacing w:before="0" w:after="0"/>
        <w:ind w:left="120"/>
        <w:jc w:val="center"/>
      </w:pPr>
      <w:r>
        <w:rPr>
          <w:rFonts w:ascii="Times New Roman" w:hAnsi="Times New Roman"/>
          <w:b w:val="false"/>
          <w:i w:val="false"/>
          <w:color w:val="000000"/>
          <w:sz w:val="14"/>
        </w:rPr>
        <w:t xml:space="preserve">[Prior to 11/8/06, see rule </w:t>
      </w:r>
      <w:hyperlink r:id="rId4">
        <w:r>
          <w:rPr>
            <w:rStyle w:val="Hyperlink"/>
            <w:rFonts w:ascii="Times New Roman" w:hAnsi="Times New Roman"/>
            <w:b w:val="false"/>
            <w:i w:val="false"/>
            <w:color w:val="000000"/>
            <w:sz w:val="14"/>
          </w:rPr>
          <w:t>761—10.4</w:t>
        </w:r>
      </w:hyperlink>
      <w:r>
        <w:rPr>
          <w:rFonts w:ascii="Times New Roman" w:hAnsi="Times New Roman"/>
          <w:b w:val="false"/>
          <w:i w:val="false"/>
          <w:color w:val="000000"/>
          <w:sz w:val="14"/>
        </w:rPr>
        <w:t>(17A)]</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8/27/30</w:t>
      </w:r>
    </w:p>
    <w:p>
      <w:pPr>
        <w:spacing w:before="0" w:after="0"/>
        <w:ind w:left="120"/>
        <w:jc w:val="both"/>
      </w:pPr>
      <w:r>
        <w:rPr>
          <w:rFonts w:ascii="Times New Roman" w:hAnsi="Times New Roman"/>
          <w:b/>
          <w:i w:val="false"/>
          <w:color w:val="000000"/>
          <w:sz w:val="22"/>
        </w:rPr>
        <w:t>761—12.1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“Declaratory order” </w:t>
      </w:r>
      <w:r>
        <w:rPr>
          <w:rFonts w:ascii="Times New Roman" w:hAnsi="Times New Roman"/>
          <w:b w:val="false"/>
          <w:i w:val="false"/>
          <w:color w:val="000000"/>
          <w:sz w:val="22"/>
        </w:rPr>
        <w:t>means the department’s interpretation of a statute, rule or order as applied to specified circumstances. A declaratory order is issued in response to a petition for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transportation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“Petition for declaratory order” </w:t>
      </w:r>
      <w:r>
        <w:rPr>
          <w:rFonts w:ascii="Times New Roman" w:hAnsi="Times New Roman"/>
          <w:b w:val="false"/>
          <w:i w:val="false"/>
          <w:color w:val="000000"/>
          <w:sz w:val="22"/>
        </w:rPr>
        <w:t>means a formal request from a person or agency to the department asking how the department will apply a statute, rule or order based on a specific set of facts contained in the petition. The purpose of the petition is to seek binding advice from the department, not to challenge a decision that the department has already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761—12.2</w:t>
      </w:r>
      <w:r>
        <w:rPr>
          <w:rFonts w:ascii="Times New Roman" w:hAnsi="Times New Roman"/>
          <w:b/>
          <w:i w:val="false"/>
          <w:color w:val="000000"/>
          <w:sz w:val="22"/>
        </w:rPr>
        <w:t xml:space="preserve">(17A) </w:t>
      </w:r>
      <w:r>
        <w:rPr>
          <w:rFonts w:ascii="Times New Roman" w:hAnsi="Times New Roman"/>
          <w:b/>
          <w:i w:val="false"/>
          <w:color w:val="000000"/>
          <w:sz w:val="22"/>
        </w:rPr>
        <w:t xml:space="preserve">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val="false"/>
          <w:color w:val="000000"/>
          <w:sz w:val="22"/>
        </w:rPr>
        <w:t>Any person or agency may file with the department a petition for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is to be submitted to the rules administrator either by mail to Rules Administrator, Office of the Director, Iowa Department of Transportation, 800 Lincoln Way, Ames, Iowa 50010; or by email to the rules administrator’s email address listed on the department’s website at </w:t>
      </w:r>
      <w:hyperlink r:id="rId6">
        <w:r>
          <w:rPr>
            <w:rStyle w:val="Hyperlink"/>
            <w:rFonts w:ascii="Times New Roman" w:hAnsi="Times New Roman"/>
            <w:b w:val="false"/>
            <w:i w:val="false"/>
            <w:color w:val="000000"/>
            <w:sz w:val="22"/>
            <w:u w:val="single"/>
          </w:rPr>
          <w:t>iowadot.gov/administrativerules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val="false"/>
          <w:color w:val="000000"/>
          <w:sz w:val="22"/>
        </w:rPr>
        <w:t>The petition is to be typewritten or legibly handwritten in ink and is to substantially conform to the following form:</w:t>
      </w:r>
    </w:p>
    <w:tbl>
      <w:tblPr>
        <w:tblW w:w="5000" w:type="pct"/>
        <w:tblCellSpacing w:w="0" w:type="auto"/>
        <w:tblBorders>
          <w:top w:val="none"/>
          <w:left w:val="none"/>
          <w:bottom w:val="single" w:color="000000" w:sz="8"/>
          <w:right w:val="none"/>
          <w:insideH w:val="none"/>
          <w:insideV w:val="none"/>
        </w:tblBorders>
        <w:tblLayout w:type="fixed"/>
      </w:tblPr>
      <w:tblGrid>
        <w:gridCol w:w="4850"/>
        <w:gridCol w:w="1490"/>
        <w:gridCol w:w="4850"/>
      </w:tblGrid>
      <w:tr>
        <w:trPr>
          <w:trHeight w:val="46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9"/>
              </w:rPr>
              <w:t>IOWA DEPARTMENT OF TRANSPORTATION</w:t>
            </w:r>
          </w:p>
          <w:p>
            <w:pPr>
              <w:spacing w:before="0" w:after="0"/>
              <w:ind w:left="160"/>
              <w:jc w:val="center"/>
            </w:pPr>
            <w:r>
              <w:rPr>
                <w:rFonts w:ascii="Times New Roman" w:hAnsi="Times New Roman"/>
                <w:b w:val="false"/>
                <w:i w:val="false"/>
                <w:color w:val="000000"/>
                <w:sz w:val="19"/>
              </w:rPr>
              <w:t>800 Lincoln Way, Ames, Iowa 50010</w:t>
            </w:r>
          </w:p>
        </w:tc>
      </w:tr>
      <w:tr>
        <w:trPr>
          <w:trHeight w:val="1260" w:hRule="atLeast"/>
        </w:trPr>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9"/>
              </w:rPr>
              <w:t> </w:t>
            </w:r>
          </w:p>
          <w:p>
            <w:pPr>
              <w:spacing w:before="0" w:after="0"/>
              <w:ind w:left="160"/>
              <w:jc w:val="left"/>
            </w:pPr>
            <w:r>
              <w:rPr>
                <w:rFonts w:ascii="Times New Roman" w:hAnsi="Times New Roman"/>
                <w:b w:val="false"/>
                <w:i w:val="false"/>
                <w:color w:val="000000"/>
                <w:sz w:val="19"/>
              </w:rPr>
              <w:t>PETITION BY (insert petitioner’s name)</w:t>
            </w:r>
          </w:p>
          <w:p>
            <w:pPr>
              <w:spacing w:before="0" w:after="0"/>
              <w:ind w:left="160"/>
              <w:jc w:val="left"/>
            </w:pPr>
            <w:r>
              <w:rPr>
                <w:rFonts w:ascii="Times New Roman" w:hAnsi="Times New Roman"/>
                <w:b w:val="false"/>
                <w:i w:val="false"/>
                <w:color w:val="000000"/>
                <w:sz w:val="19"/>
              </w:rPr>
              <w:t> </w:t>
            </w:r>
          </w:p>
          <w:p>
            <w:pPr>
              <w:spacing w:before="0" w:after="0"/>
              <w:ind w:left="160"/>
              <w:jc w:val="left"/>
            </w:pPr>
            <w:r>
              <w:rPr>
                <w:rFonts w:ascii="Times New Roman" w:hAnsi="Times New Roman"/>
                <w:b w:val="false"/>
                <w:i w:val="false"/>
                <w:color w:val="000000"/>
                <w:sz w:val="19"/>
              </w:rPr>
              <w:t>FOR DECLARATORY ORDER ON</w:t>
            </w:r>
          </w:p>
          <w:p>
            <w:pPr>
              <w:spacing w:before="0" w:after="0"/>
              <w:ind w:left="160"/>
              <w:jc w:val="left"/>
            </w:pPr>
            <w:r>
              <w:rPr>
                <w:rFonts w:ascii="Times New Roman" w:hAnsi="Times New Roman"/>
                <w:b w:val="false"/>
                <w:i w:val="false"/>
                <w:color w:val="000000"/>
                <w:sz w:val="19"/>
              </w:rPr>
              <w:t>(insert number of statute, rule, etc. and brief description of subject matter)</w:t>
            </w:r>
          </w:p>
          <w:p>
            <w:pPr>
              <w:spacing w:before="0" w:after="0"/>
              <w:ind w:left="160"/>
              <w:jc w:val="left"/>
            </w:pPr>
            <w:r>
              <w:rPr>
                <w:rFonts w:ascii="Times New Roman" w:hAnsi="Times New Roman"/>
                <w:b w:val="false"/>
                <w:i w:val="false"/>
                <w:color w:val="000000"/>
                <w:sz w:val="19"/>
              </w:rPr>
              <w:t> </w:t>
            </w:r>
          </w:p>
        </w:tc>
        <w:tc>
          <w:tcPr>
            <w:tcW w:w="149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96"/>
              </w:rPr>
              <w:t>}</w:t>
            </w:r>
          </w:p>
        </w:tc>
        <w:tc>
          <w:tcPr>
            <w:tcW w:w="4850" w:type="dxa"/>
            <w:tcBorders/>
            <w:tcMar>
              <w:top w:w="30" w:type="dxa"/>
              <w:left w:w="30" w:type="dxa"/>
              <w:bottom w:w="15" w:type="dxa"/>
              <w:right w:w="30" w:type="dxa"/>
            </w:tcMar>
            <w:vAlign w:val="center"/>
          </w:tcPr>
          <w:p>
            <w:pPr>
              <w:spacing w:before="0" w:after="0"/>
              <w:ind w:left="160"/>
              <w:jc w:val="left"/>
            </w:pPr>
            <w:r>
              <w:rPr>
                <w:rFonts w:ascii="Times New Roman" w:hAnsi="Times New Roman"/>
                <w:b w:val="false"/>
                <w:i w:val="false"/>
                <w:color w:val="000000"/>
                <w:sz w:val="19"/>
              </w:rPr>
              <w:t> </w:t>
            </w:r>
          </w:p>
          <w:p>
            <w:pPr>
              <w:spacing w:before="0" w:after="0"/>
              <w:ind w:left="160"/>
              <w:jc w:val="both"/>
            </w:pPr>
            <w:r>
              <w:rPr>
                <w:rFonts w:ascii="Times New Roman" w:hAnsi="Times New Roman"/>
                <w:b w:val="false"/>
                <w:i w:val="false"/>
                <w:color w:val="000000"/>
                <w:sz w:val="19"/>
              </w:rPr>
              <w:t xml:space="preserve">DOCKET NO. </w:t>
            </w:r>
          </w:p>
          <w:p>
            <w:pPr>
              <w:spacing w:before="0" w:after="0"/>
              <w:ind w:left="160"/>
              <w:jc w:val="left"/>
            </w:pPr>
            <w:r>
              <w:rPr>
                <w:rFonts w:ascii="Times New Roman" w:hAnsi="Times New Roman"/>
                <w:b w:val="false"/>
                <w:i w:val="false"/>
                <w:color w:val="000000"/>
                <w:sz w:val="19"/>
              </w:rPr>
              <w:t> </w:t>
            </w:r>
          </w:p>
          <w:p>
            <w:pPr>
              <w:spacing w:before="0" w:after="0"/>
              <w:ind w:left="160"/>
              <w:jc w:val="center"/>
            </w:pPr>
            <w:r>
              <w:rPr>
                <w:rFonts w:ascii="Times New Roman" w:hAnsi="Times New Roman"/>
                <w:b w:val="false"/>
                <w:i w:val="false"/>
                <w:color w:val="000000"/>
                <w:sz w:val="19"/>
              </w:rPr>
              <w:t>PETITION FOR DECLARATORY</w:t>
            </w:r>
          </w:p>
          <w:p>
            <w:pPr>
              <w:spacing w:before="0" w:after="0"/>
              <w:ind w:left="160"/>
              <w:jc w:val="center"/>
            </w:pPr>
            <w:r>
              <w:rPr>
                <w:rFonts w:ascii="Times New Roman" w:hAnsi="Times New Roman"/>
                <w:b w:val="false"/>
                <w:i w:val="false"/>
                <w:color w:val="000000"/>
                <w:sz w:val="19"/>
              </w:rPr>
              <w:t>ORDER</w:t>
            </w:r>
          </w:p>
          <w:p>
            <w:pPr>
              <w:spacing w:before="0" w:after="0"/>
              <w:ind w:left="160"/>
              <w:jc w:val="left"/>
            </w:pPr>
            <w:r>
              <w:rPr>
                <w:rFonts w:ascii="Times New Roman" w:hAnsi="Times New Roman"/>
                <w:b w:val="false"/>
                <w:i w:val="false"/>
                <w:color w:val="000000"/>
                <w:sz w:val="19"/>
              </w:rPr>
              <w:t> </w:t>
            </w:r>
          </w:p>
        </w:tc>
      </w:tr>
    </w:tbl>
    <w:p>
      <w:pPr>
        <w:spacing w:before="0" w:after="0"/>
        <w:ind w:left="120"/>
        <w:jc w:val="both"/>
      </w:pPr>
      <w:r>
        <w:rPr>
          <w:rFonts w:ascii="Times New Roman" w:hAnsi="Times New Roman"/>
          <w:b w:val="false"/>
          <w:i w:val="false"/>
          <w:color w:val="000000"/>
          <w:sz w:val="22"/>
        </w:rPr>
        <w:t>(In separate numbered paragraphs, the petition shall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petitioner’s name, address and telephone number.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exact words, passages, sentences or paragraphs of statutes, rules, etc. that are the subject of the inquiry.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clear, concise and complete statement of all relevant facts for which the order is requested.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uncertainties or conflicting interpretations that arise when the cited statutes, rules, etc. are applied to the facts.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(Optional) The interpretation urged based upon the facts set forth.</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reasons for the petition and a full disclosure of the petitioner’s interest.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Whether the petitioner is currently a party to a rulemaking, contested case or judicial proceeding involving the controversy or uncertainty.</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 names and addresses, when known, of other persons who may be affected by the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w:t>
      </w:r>
      <w:r>
        <w:rPr>
          <w:rFonts w:ascii="Times New Roman" w:hAnsi="Times New Roman"/>
          <w:b w:val="false"/>
          <w:i w:val="false"/>
          <w:color w:val="000000"/>
          <w:sz w:val="22"/>
        </w:rPr>
        <w:t> </w:t>
      </w:r>
      <w:r>
        <w:rPr>
          <w:rFonts w:ascii="Times New Roman" w:hAnsi="Times New Roman"/>
          <w:b w:val="false"/>
          <w:i w:val="false"/>
          <w:color w:val="000000"/>
          <w:sz w:val="22"/>
        </w:rPr>
        <w:t>The petition is to be dated and signed by the petitioner or, if applicable, petitioner’s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w:t>
      </w:r>
      <w:r>
        <w:rPr>
          <w:rFonts w:ascii="Times New Roman" w:hAnsi="Times New Roman"/>
          <w:b w:val="false"/>
          <w:i w:val="false"/>
          <w:color w:val="000000"/>
          <w:sz w:val="22"/>
        </w:rPr>
        <w:t> </w:t>
      </w:r>
      <w:r>
        <w:rPr>
          <w:rFonts w:ascii="Times New Roman" w:hAnsi="Times New Roman"/>
          <w:b w:val="false"/>
          <w:i w:val="false"/>
          <w:color w:val="000000"/>
          <w:sz w:val="22"/>
        </w:rPr>
        <w:t>If applicable, the petition is also to include the name, address and telephone number of the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w:t>
      </w:r>
      <w:r>
        <w:rPr>
          <w:rFonts w:ascii="Times New Roman" w:hAnsi="Times New Roman"/>
          <w:b w:val="false"/>
          <w:i w:val="false"/>
          <w:color w:val="000000"/>
          <w:sz w:val="22"/>
        </w:rPr>
        <w:t> </w:t>
      </w:r>
      <w:r>
        <w:rPr>
          <w:rFonts w:ascii="Times New Roman" w:hAnsi="Times New Roman"/>
          <w:b w:val="false"/>
          <w:i w:val="false"/>
          <w:color w:val="000000"/>
          <w:sz w:val="22"/>
        </w:rPr>
        <w:t>The date of receipt of the petition is the day it reaches the department’s rules administrator. The administrator will within five days of receipt send an acknowledgment of receipt with the assigned docket number to the petitioner or, if applicable, petitioner’s representative.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761—12.3</w:t>
      </w:r>
      <w:r>
        <w:rPr>
          <w:rFonts w:ascii="Times New Roman" w:hAnsi="Times New Roman"/>
          <w:b/>
          <w:i w:val="false"/>
          <w:color w:val="000000"/>
          <w:sz w:val="22"/>
        </w:rPr>
        <w:t xml:space="preserve">(17A) </w:t>
      </w:r>
      <w:r>
        <w:rPr>
          <w:rFonts w:ascii="Times New Roman" w:hAnsi="Times New Roman"/>
          <w:b/>
          <w:i w:val="false"/>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val="false"/>
          <w:color w:val="000000"/>
          <w:sz w:val="22"/>
        </w:rPr>
        <w:t>A declaratory order or an order declining to issue a declaratory order is issued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val="false"/>
          <w:color w:val="000000"/>
          <w:sz w:val="22"/>
        </w:rPr>
        <w:t>The director may issue an order declining to issue a declaratory order on some or all of the questions raised in the petition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in the petition are also presented in a current rulemaking, contested case, or other agency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in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questions posed or facts presented in the petition are unclear, vague, incomplete, overbroad, insufficient, or otherwise inappropriate as a basis upon which to issue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 declaratory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department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or filed a similar petition and whose position on the questions presented may fairly be presumed to be adverse to that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petitioner requests the department to determine whether a statute is unconstitutional on its 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val="false"/>
          <w:color w:val="000000"/>
          <w:sz w:val="22"/>
        </w:rPr>
        <w:t>If the director issues an order declining to issue a declaratory order, the order needs to indicate the specific grounds for declining to issue a declaratory order and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761—12.4</w:t>
      </w:r>
      <w:r>
        <w:rPr>
          <w:rFonts w:ascii="Times New Roman" w:hAnsi="Times New Roman"/>
          <w:b/>
          <w:i w:val="false"/>
          <w:color w:val="000000"/>
          <w:sz w:val="22"/>
        </w:rPr>
        <w:t xml:space="preserve">(17A) </w:t>
      </w:r>
      <w:r>
        <w:rPr>
          <w:rFonts w:ascii="Times New Roman" w:hAnsi="Times New Roman"/>
          <w:b/>
          <w:i w:val="false"/>
          <w:color w:val="000000"/>
          <w:sz w:val="22"/>
        </w:rPr>
        <w:t xml:space="preserve">Effect of a declaratory order. </w:t>
      </w:r>
      <w:r>
        <w:rPr>
          <w:rFonts w:ascii="Times New Roman" w:hAnsi="Times New Roman"/>
          <w:b w:val="false"/>
          <w:i w:val="false"/>
          <w:color w:val="000000"/>
          <w:sz w:val="22"/>
        </w:rPr>
        <w:t>A declaratory order is binding on the department and the petitioner and is applicable only in circumstances where the relevant facts and the law involved are indistinguishable from those on which the order was based. As to all other persons, a declaratory order serves only as precedent and is not binding on the department. The issuance of a declaratory order constitutes final agency action on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9446C</w:t>
      </w:r>
      <w:r>
        <w:rPr>
          <w:rFonts w:ascii="Times New Roman" w:hAnsi="Times New Roman"/>
          <w:b w:val="false"/>
          <w:i w:val="false"/>
          <w:color w:val="000000"/>
          <w:sz w:val="16"/>
        </w:rPr>
        <w:t>, IAB 7/23/25, effective 8/27/25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2231C</w:t>
      </w:r>
      <w:r>
        <w:rPr>
          <w:rFonts w:ascii="Times New Roman" w:hAnsi="Times New Roman"/>
          <w:b w:val="false"/>
          <w:i w:val="false"/>
          <w:color w:val="000000"/>
          <w:sz w:val="21"/>
        </w:rPr>
        <w:t xml:space="preserve"> (Notice ARC 2117C, IAB 9/2/15)</w:t>
      </w:r>
      <w:r>
        <w:rPr>
          <w:rFonts w:ascii="Times New Roman" w:hAnsi="Times New Roman"/>
          <w:b w:val="false"/>
          <w:i w:val="false"/>
          <w:color w:val="000000"/>
          <w:sz w:val="21"/>
        </w:rPr>
        <w:t>, IAB 11/11/15, effective 12/16/15]</w:t>
      </w:r>
    </w:p>
    <w:p>
      <w:pPr>
        <w:spacing w:before="0" w:after="0"/>
        <w:ind w:left="120"/>
        <w:jc w:val="center"/>
      </w:pPr>
      <w:r>
        <w:rPr>
          <w:rFonts w:ascii="Times New Roman" w:hAnsi="Times New Roman"/>
          <w:b w:val="false"/>
          <w:i w:val="false"/>
          <w:color w:val="000000"/>
          <w:sz w:val="21"/>
        </w:rPr>
        <w:t>[Filed ARC 2889C</w:t>
      </w:r>
      <w:r>
        <w:rPr>
          <w:rFonts w:ascii="Times New Roman" w:hAnsi="Times New Roman"/>
          <w:b w:val="false"/>
          <w:i w:val="false"/>
          <w:color w:val="000000"/>
          <w:sz w:val="21"/>
        </w:rPr>
        <w:t xml:space="preserve"> (Notice ARC 2779C, IAB 10/26/16)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4492C</w:t>
      </w:r>
      <w:r>
        <w:rPr>
          <w:rFonts w:ascii="Times New Roman" w:hAnsi="Times New Roman"/>
          <w:b w:val="false"/>
          <w:i w:val="false"/>
          <w:color w:val="000000"/>
          <w:sz w:val="21"/>
        </w:rPr>
        <w:t xml:space="preserve"> (Notice ARC 4325C, IAB 3/13/19)</w:t>
      </w:r>
      <w:r>
        <w:rPr>
          <w:rFonts w:ascii="Times New Roman" w:hAnsi="Times New Roman"/>
          <w:b w:val="false"/>
          <w:i w:val="false"/>
          <w:color w:val="000000"/>
          <w:sz w:val="21"/>
        </w:rPr>
        <w:t>, IAB 6/5/19, effective 7/10/19]</w:t>
      </w:r>
    </w:p>
    <w:p>
      <w:pPr>
        <w:spacing w:before="0" w:after="0"/>
        <w:ind w:left="120"/>
        <w:jc w:val="center"/>
      </w:pPr>
      <w:r>
        <w:rPr>
          <w:rFonts w:ascii="Times New Roman" w:hAnsi="Times New Roman"/>
          <w:b w:val="false"/>
          <w:i w:val="false"/>
          <w:color w:val="000000"/>
          <w:sz w:val="21"/>
        </w:rPr>
        <w:t>[Editorial change: IAC Supplement 7/28/21]</w:t>
      </w:r>
    </w:p>
    <w:p>
      <w:pPr>
        <w:spacing w:before="0" w:after="0"/>
        <w:ind w:left="120"/>
        <w:jc w:val="center"/>
      </w:pPr>
      <w:r>
        <w:rPr>
          <w:rFonts w:ascii="Times New Roman" w:hAnsi="Times New Roman"/>
          <w:b w:val="false"/>
          <w:i w:val="false"/>
          <w:color w:val="000000"/>
          <w:sz w:val="21"/>
        </w:rPr>
        <w:t>[Filed ARC 9446C</w:t>
      </w:r>
      <w:r>
        <w:rPr>
          <w:rFonts w:ascii="Times New Roman" w:hAnsi="Times New Roman"/>
          <w:b w:val="false"/>
          <w:i w:val="false"/>
          <w:color w:val="000000"/>
          <w:sz w:val="21"/>
        </w:rPr>
        <w:t xml:space="preserve"> (Notice ARC 9093C, IAB 4/16/25)</w:t>
      </w:r>
      <w:r>
        <w:rPr>
          <w:rFonts w:ascii="Times New Roman" w:hAnsi="Times New Roman"/>
          <w:b w:val="false"/>
          <w:i w:val="false"/>
          <w:color w:val="000000"/>
          <w:sz w:val="21"/>
        </w:rPr>
        <w:t>, IAB 7/23/25, effective 8/27/25]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10.4.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iowadot.gov/administrativerules" Type="http://schemas.openxmlformats.org/officeDocument/2006/relationships/hyperlink" Id="rId6"/>
    <Relationship TargetMode="External" Target="https://www.legis.iowa.gov/docs/ico/chapter/17A.9.pdf" Type="http://schemas.openxmlformats.org/officeDocument/2006/relationships/hyperlink" Id="rId7"/>
    <Relationship TargetMode="External" Target="https://www.legis.iowa.gov/docs/ico/chapter/17A.19.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