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PROCEDURE FOR RULEMAKING AND PETITIONS FOR RULEMAKING</w:t>
      </w:r>
    </w:p>
    <w:p>
      <w:pPr>
        <w:spacing w:before="0" w:after="0"/>
        <w:ind w:left="120"/>
        <w:jc w:val="center"/>
      </w:pPr>
      <w:r>
        <w:rPr>
          <w:rFonts w:ascii="Times New Roman" w:hAnsi="Times New Roman"/>
          <w:b w:val="false"/>
          <w:i w:val="false"/>
          <w:color w:val="000000"/>
          <w:sz w:val="14"/>
        </w:rPr>
        <w:t>[Prior to 6/3/87, Transportation Department[820]—(01,B)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761—10.1</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state transportation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transportation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for rules administrator. </w:t>
      </w:r>
      <w:r>
        <w:rPr>
          <w:rFonts w:ascii="Times New Roman" w:hAnsi="Times New Roman"/>
          <w:b w:val="false"/>
          <w:i w:val="false"/>
          <w:color w:val="000000"/>
          <w:sz w:val="22"/>
        </w:rPr>
        <w:t xml:space="preserve">The mailing address of the department’s rules administrator is: Rules Administrator, Office of the Director, Iowa Department of Transportation, 800 Lincoln Way, Ames, Iowa 50010. The email address of the rules administrator may be found on the department’s website at </w:t>
      </w:r>
      <w:hyperlink r:id="rId5">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9444C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761—10.2</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Procedure for rulemaking.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The department incorporates by this reference all such matters in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relate to procedures for rulemaking.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Inquiries about rules and the rulemaking process may be directed to the rules administrator at the address in subrule </w:t>
      </w:r>
      <w:hyperlink r:id="rId7">
        <w:r>
          <w:rPr>
            <w:rStyle w:val="Hyperlink"/>
            <w:rFonts w:ascii="Times New Roman" w:hAnsi="Times New Roman"/>
            <w:b w:val="false"/>
            <w:i w:val="false"/>
            <w:color w:val="000000"/>
            <w:sz w:val="22"/>
          </w:rPr>
          <w:t>10.1(2)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public comment on a Notice of Intended Action or similar document relating to rules may be directed to the rules administrator or as directed in the Notice of Intended Action or similar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9444C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761—10.3</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Petitions for rulemaking.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and consider, from any person or agency, petitions for rulemaking when submitted to the department’s rules administrator by mail or email and prepared in conformance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Format:</w:t>
      </w:r>
    </w:p>
    <w:tbl>
      <w:tblPr>
        <w:tblW w:w="5000" w:type="pct"/>
        <w:tblCellSpacing w:w="0" w:type="auto"/>
        <w:tblBorders>
          <w:top w:val="none"/>
          <w:left w:val="none"/>
          <w:bottom w:val="single" w:color="000000" w:sz="8"/>
          <w:right w:val="none"/>
          <w:insideH w:val="none"/>
          <w:insideV w:val="none"/>
        </w:tblBorders>
        <w:tblLayout w:type="fixed"/>
      </w:tblPr>
      <w:tblGrid>
        <w:gridCol w:w="5010"/>
        <w:gridCol w:w="1170"/>
        <w:gridCol w:w="5010"/>
      </w:tblGrid>
      <w:tr>
        <w:trPr>
          <w:trHeight w:val="48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IOWA DEPARTMENT OF TRANSPORTATION</w:t>
            </w:r>
          </w:p>
          <w:p>
            <w:pPr>
              <w:spacing w:before="0" w:after="0"/>
              <w:ind w:left="160"/>
              <w:jc w:val="center"/>
            </w:pPr>
            <w:r>
              <w:rPr>
                <w:rFonts w:ascii="Times New Roman" w:hAnsi="Times New Roman"/>
                <w:b w:val="false"/>
                <w:i w:val="false"/>
                <w:color w:val="000000"/>
                <w:sz w:val="20"/>
              </w:rPr>
              <w:t>800 Lincoln Way, Ames, Iowa 50010</w:t>
            </w:r>
          </w:p>
        </w:tc>
      </w:tr>
      <w:tr>
        <w:trPr>
          <w:trHeight w:val="1635" w:hRule="atLeast"/>
        </w:trPr>
        <w:tc>
          <w:tcPr>
            <w:tcW w:w="501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PETITION BY (insert petitioner’s name)</w:t>
            </w:r>
            <w:r>
              <w:br/>
            </w:r>
            <w:r>
              <w:rPr>
                <w:rFonts w:ascii="Times New Roman" w:hAnsi="Times New Roman"/>
                <w:b w:val="false"/>
                <w:i w:val="false"/>
                <w:color w:val="000000"/>
                <w:sz w:val="20"/>
              </w:rPr>
              <w:t>FOR THE (insert one: adoption, amendment or repeal)</w:t>
            </w:r>
            <w:r>
              <w:br/>
            </w:r>
            <w:r>
              <w:rPr>
                <w:rFonts w:ascii="Times New Roman" w:hAnsi="Times New Roman"/>
                <w:b w:val="false"/>
                <w:i w:val="false"/>
                <w:color w:val="000000"/>
                <w:sz w:val="20"/>
              </w:rPr>
              <w:t>OF (insert current rule number, if</w:t>
            </w:r>
            <w:r>
              <w:br/>
            </w:r>
            <w:r>
              <w:rPr>
                <w:rFonts w:ascii="Times New Roman" w:hAnsi="Times New Roman"/>
                <w:b w:val="false"/>
                <w:i w:val="false"/>
                <w:color w:val="000000"/>
                <w:sz w:val="20"/>
              </w:rPr>
              <w:t>applicable, and brief description of subject matter)</w:t>
            </w:r>
          </w:p>
          <w:p>
            <w:pPr>
              <w:spacing w:before="0" w:after="0"/>
              <w:ind w:left="160"/>
              <w:jc w:val="left"/>
            </w:pPr>
            <w:r>
              <w:rPr>
                <w:rFonts w:ascii="Times New Roman" w:hAnsi="Times New Roman"/>
                <w:b w:val="false"/>
                <w:i w:val="false"/>
                <w:color w:val="000000"/>
                <w:sz w:val="20"/>
              </w:rPr>
              <w:t> </w:t>
            </w:r>
          </w:p>
        </w:tc>
        <w:tc>
          <w:tcPr>
            <w:tcW w:w="117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501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xml:space="preserve">DOCKET NO. </w:t>
            </w:r>
          </w:p>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 </w:t>
            </w:r>
          </w:p>
          <w:p>
            <w:pPr>
              <w:spacing w:before="0" w:after="0"/>
              <w:ind w:left="160"/>
              <w:jc w:val="center"/>
            </w:pPr>
            <w:r>
              <w:rPr>
                <w:rFonts w:ascii="Times New Roman" w:hAnsi="Times New Roman"/>
                <w:b w:val="false"/>
                <w:i w:val="false"/>
                <w:color w:val="000000"/>
                <w:sz w:val="20"/>
              </w:rPr>
              <w:t>PETITION FOR RULEMAKING</w:t>
            </w:r>
          </w:p>
        </w:tc>
      </w:tr>
    </w:tbl>
    <w:p>
      <w:pPr>
        <w:spacing w:before="0" w:after="0"/>
        <w:ind w:left="120"/>
        <w:jc w:val="both"/>
      </w:pPr>
      <w:r>
        <w:rPr>
          <w:rFonts w:ascii="Times New Roman" w:hAnsi="Times New Roman"/>
          <w:b w:val="false"/>
          <w:i w:val="false"/>
          <w:color w:val="000000"/>
          <w:sz w:val="22"/>
        </w:rPr>
        <w:t>(In separate numbered paragraphs, the petition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petitioner’s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nature of the petitioner’s interest in the matter.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text or the essential terms and conditions of a proposed new rule, or the rule number and text of a rule proposed for amendment or a repeal. In addition, proposed amendments are to be illustrated to portray the changes in wording requested: Deletions are to be indicated by strikethroughs, and additions by underscoring.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reasons for seeking the requested action, including any facts, views, data or arguments relevant to the request. Copies of statutes, rules or other supporting documents referenced in the petition are to be submitted as appendices to the petition or made available to the department upon request.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desired, a request to meet informally with the department to discuss the petition.</w:t>
      </w:r>
    </w:p>
    <w:p>
      <w:pPr>
        <w:spacing w:before="0" w:after="0"/>
        <w:ind w:left="120"/>
        <w:jc w:val="center"/>
      </w:pPr>
      <w:r>
        <w:rPr>
          <w:rFonts w:ascii="Times New Roman" w:hAnsi="Times New Roman"/>
          <w:b w:val="false"/>
          <w:i w:val="false"/>
          <w:color w:val="000000"/>
          <w:sz w:val="22"/>
        </w:rPr>
        <w:t>(Signature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for amendment or repeal of a rule is to pertain to a rule currently in effect at the time the petition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Petitions should be typewritten, although petitions legibly hand-printed in ink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The date of receipt of a petition is the day it reaches the department’s rules administrator. The administrator will within five days of receipt notify the petitioner of the date of receipt and the assigned docket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If requested in the petition, the department will schedule an informal meeting with the petitioner to discuss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petitioner of the director’s or commission’s determination to grant or deny the petition. If the petition is denied, the notification will include the reasons for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9444C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9">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10">
        <w:r>
          <w:rPr>
            <w:rStyle w:val="Hyperlink"/>
            <w:rFonts w:ascii="Times New Roman" w:hAnsi="Times New Roman"/>
            <w:b w:val="false"/>
            <w:i w:val="false"/>
            <w:color w:val="000000"/>
            <w:sz w:val="22"/>
          </w:rPr>
          <w:t>307A.2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312.3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312A.3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5/22/75]</w:t>
      </w:r>
    </w:p>
    <w:p>
      <w:pPr>
        <w:spacing w:before="0" w:after="0"/>
        <w:ind w:left="120"/>
        <w:jc w:val="center"/>
      </w:pPr>
      <w:r>
        <w:rPr>
          <w:rFonts w:ascii="Times New Roman" w:hAnsi="Times New Roman"/>
          <w:b w:val="false"/>
          <w:i w:val="false"/>
          <w:color w:val="000000"/>
          <w:sz w:val="21"/>
        </w:rPr>
        <w:t>[Filed 4/7/78, Notice 2/22/78—published 6/7/78, effective 6/7/78]</w:t>
      </w:r>
    </w:p>
    <w:p>
      <w:pPr>
        <w:spacing w:before="0" w:after="0"/>
        <w:ind w:left="120"/>
        <w:jc w:val="center"/>
      </w:pPr>
      <w:r>
        <w:rPr>
          <w:rFonts w:ascii="Times New Roman" w:hAnsi="Times New Roman"/>
          <w:b w:val="false"/>
          <w:i w:val="false"/>
          <w:color w:val="000000"/>
          <w:sz w:val="21"/>
        </w:rPr>
        <w:t>[Filed 10/3/80, Notice 8/20/80—published 10/29/80, effective 12/3/80]</w:t>
      </w:r>
    </w:p>
    <w:p>
      <w:pPr>
        <w:spacing w:before="0" w:after="0"/>
        <w:ind w:left="120"/>
        <w:jc w:val="center"/>
      </w:pPr>
      <w:r>
        <w:rPr>
          <w:rFonts w:ascii="Times New Roman" w:hAnsi="Times New Roman"/>
          <w:b w:val="false"/>
          <w:i w:val="false"/>
          <w:color w:val="000000"/>
          <w:sz w:val="21"/>
        </w:rPr>
        <w:t>[Filed without Notice 12/17/80—published 1/7/81, effective 2/11/81]</w:t>
      </w:r>
    </w:p>
    <w:p>
      <w:pPr>
        <w:spacing w:before="0" w:after="0"/>
        <w:ind w:left="120"/>
        <w:jc w:val="center"/>
      </w:pPr>
      <w:r>
        <w:rPr>
          <w:rFonts w:ascii="Times New Roman" w:hAnsi="Times New Roman"/>
          <w:b w:val="false"/>
          <w:i w:val="false"/>
          <w:color w:val="000000"/>
          <w:sz w:val="21"/>
        </w:rPr>
        <w:t>[Filed 3/8/85, Notice 1/16/85—published 3/27/85, effective 5/1/85]</w:t>
      </w:r>
    </w:p>
    <w:p>
      <w:pPr>
        <w:spacing w:before="0" w:after="0"/>
        <w:ind w:left="120"/>
        <w:jc w:val="center"/>
      </w:pPr>
      <w:r>
        <w:rPr>
          <w:rFonts w:ascii="Times New Roman" w:hAnsi="Times New Roman"/>
          <w:b w:val="false"/>
          <w:i w:val="false"/>
          <w:color w:val="000000"/>
          <w:sz w:val="21"/>
        </w:rPr>
        <w:t>[Filed 11/7/86, Notice 9/24/86—published 12/3/86, effective 1/7/87]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7/5/90, Notice 4/4/90—published 7/25/90, effective 8/29/90]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8/26/92, Notice 7/22/92—published 9/16/92, effective 10/21/92]</w:t>
      </w:r>
    </w:p>
    <w:p>
      <w:pPr>
        <w:spacing w:before="0" w:after="0"/>
        <w:ind w:left="120"/>
        <w:jc w:val="center"/>
      </w:pPr>
      <w:r>
        <w:rPr>
          <w:rFonts w:ascii="Times New Roman" w:hAnsi="Times New Roman"/>
          <w:b w:val="false"/>
          <w:i w:val="false"/>
          <w:color w:val="000000"/>
          <w:sz w:val="21"/>
        </w:rPr>
        <w:t>[Filed 5/18/94, Notice 4/13/94—published 6/8/94, effective 7/13/94]</w:t>
      </w:r>
    </w:p>
    <w:p>
      <w:pPr>
        <w:spacing w:before="0" w:after="0"/>
        <w:ind w:left="120"/>
        <w:jc w:val="center"/>
      </w:pPr>
      <w:r>
        <w:rPr>
          <w:rFonts w:ascii="Times New Roman" w:hAnsi="Times New Roman"/>
          <w:b w:val="false"/>
          <w:i w:val="false"/>
          <w:color w:val="000000"/>
          <w:sz w:val="21"/>
        </w:rPr>
        <w:t>[Filed 4/8/99, Notice 2/10/99—published 5/5/99, effective 7/1/99]</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2231C</w:t>
      </w:r>
      <w:r>
        <w:rPr>
          <w:rFonts w:ascii="Times New Roman" w:hAnsi="Times New Roman"/>
          <w:b w:val="false"/>
          <w:i w:val="false"/>
          <w:color w:val="000000"/>
          <w:sz w:val="21"/>
        </w:rPr>
        <w:t xml:space="preserve"> (Notice ARC 2117C,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4492C</w:t>
      </w:r>
      <w:r>
        <w:rPr>
          <w:rFonts w:ascii="Times New Roman" w:hAnsi="Times New Roman"/>
          <w:b w:val="false"/>
          <w:i w:val="false"/>
          <w:color w:val="000000"/>
          <w:sz w:val="21"/>
        </w:rPr>
        <w:t xml:space="preserve"> (Notice ARC 4325C, IAB 3/13/19)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[Editorial change: IAC Supplement 7/28/21]</w:t>
      </w:r>
    </w:p>
    <w:p>
      <w:pPr>
        <w:spacing w:before="0" w:after="0"/>
        <w:ind w:left="120"/>
        <w:jc w:val="center"/>
      </w:pPr>
      <w:r>
        <w:rPr>
          <w:rFonts w:ascii="Times New Roman" w:hAnsi="Times New Roman"/>
          <w:b w:val="false"/>
          <w:i w:val="false"/>
          <w:color w:val="000000"/>
          <w:sz w:val="21"/>
        </w:rPr>
        <w:t>[Filed ARC 9444C</w:t>
      </w:r>
      <w:r>
        <w:rPr>
          <w:rFonts w:ascii="Times New Roman" w:hAnsi="Times New Roman"/>
          <w:b w:val="false"/>
          <w:i w:val="false"/>
          <w:color w:val="000000"/>
          <w:sz w:val="21"/>
        </w:rPr>
        <w:t xml:space="preserve"> (Notice ARC 9092C, IAB 4/16/25)</w:t>
      </w:r>
      <w:r>
        <w:rPr>
          <w:rFonts w:ascii="Times New Roman" w:hAnsi="Times New Roman"/>
          <w:b w:val="false"/>
          <w:i w:val="false"/>
          <w:color w:val="000000"/>
          <w:sz w:val="21"/>
        </w:rPr>
        <w:t>, IAB 7/23/25, effective 8/27/25]</w:t>
      </w:r>
    </w:p>
    <w:p>
      <w:pPr>
        <w:pBdr>
          <w:bottom w:space="2"/>
        </w:pBdr>
        <w:spacing w:before="0" w:after="0"/>
        <w:ind w:left="120"/>
        <w:jc w:val="both"/>
      </w:pPr>
      <w:r>
        <w:rPr>
          <w:rFonts w:ascii="Times New Roman" w:hAnsi="Times New Roman"/>
          <w:b w:val="false"/>
          <w:i w:val="false"/>
          <w:color w:val="000000"/>
          <w:sz w:val="22"/>
        </w:rPr>
        <w:t xml:space="preserve">Effective date of amendments to </w:t>
      </w:r>
      <w:hyperlink r:id="rId13">
        <w:r>
          <w:rPr>
            <w:rStyle w:val="Hyperlink"/>
            <w:rFonts w:ascii="Times New Roman" w:hAnsi="Times New Roman"/>
            <w:b w:val="false"/>
            <w:i w:val="false"/>
            <w:color w:val="000000"/>
            <w:sz w:val="22"/>
          </w:rPr>
          <w:t>761—10.2</w:t>
        </w:r>
      </w:hyperlink>
      <w:r>
        <w:rPr>
          <w:rFonts w:ascii="Times New Roman" w:hAnsi="Times New Roman"/>
          <w:b w:val="false"/>
          <w:i w:val="false"/>
          <w:color w:val="000000"/>
          <w:sz w:val="22"/>
        </w:rPr>
        <w:t xml:space="preserve">(17A) and </w:t>
      </w:r>
      <w:hyperlink r:id="rId14">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(17A) delayed until adjournment of the 1991 General Assembly by the Administrative Rules Review Committee at its meeting held August 15, 1990.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iowadot.gov/administrativerules"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rule/761.10.1.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307.12.pdf" Type="http://schemas.openxmlformats.org/officeDocument/2006/relationships/hyperlink" Id="rId9"/>
    <Relationship TargetMode="External" Target="https://www.legis.iowa.gov/docs/ico/chapter/307A.2.pdf" Type="http://schemas.openxmlformats.org/officeDocument/2006/relationships/hyperlink" Id="rId10"/>
    <Relationship TargetMode="External" Target="https://www.legis.iowa.gov/docs/ico/chapter/312.3.pdf" Type="http://schemas.openxmlformats.org/officeDocument/2006/relationships/hyperlink" Id="rId11"/>
    <Relationship TargetMode="External" Target="https://www.legis.iowa.gov/docs/ico/chapter/312A.3.pdf" Type="http://schemas.openxmlformats.org/officeDocument/2006/relationships/hyperlink" Id="rId12"/>
    <Relationship TargetMode="External" Target="https://www.legis.iowa.gov/docs/iac/rule/761.10.2.pdf" Type="http://schemas.openxmlformats.org/officeDocument/2006/relationships/hyperlink" Id="rId13"/>
    <Relationship TargetMode="External" Target="https://www.legis.iowa.gov/docs/iac/rule/761.10.3.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