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701—4.1</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 xml:space="preserve">These rules implement the Iowa administrative procedure Act and aid in the effective and efficient administration and enforcement of the tax laws of this state and other activities of the department. These rules govern declaratory orders involving all areas within the department’s jurisdiction. The rules in this chapter apply to all declaratory orders pending or commenced on or after their effective date. 701—Chapters </w:t>
      </w:r>
      <w:hyperlink r:id="rId5">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contain rules on contested cases within the department’s jurisdiction. </w:t>
      </w:r>
      <w:hyperlink r:id="rId7">
        <w:r>
          <w:rPr>
            <w:rStyle w:val="Hyperlink"/>
            <w:rFonts w:ascii="Times New Roman" w:hAnsi="Times New Roman"/>
            <w:b w:val="false"/>
            <w:i w:val="false"/>
            <w:color w:val="000000"/>
            <w:sz w:val="22"/>
          </w:rPr>
          <w:t>701—Chapter 3</w:t>
        </w:r>
      </w:hyperlink>
      <w:r>
        <w:rPr>
          <w:rFonts w:ascii="Times New Roman" w:hAnsi="Times New Roman"/>
          <w:b w:val="false"/>
          <w:i w:val="false"/>
          <w:color w:val="000000"/>
          <w:sz w:val="22"/>
        </w:rPr>
        <w:t xml:space="preserve"> contains rules on rulemaking and rule waivers for all matters within the department’s jurisdiction.</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701—4.2</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These definitions and the definitions provided in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 xml:space="preserve">means an order issued pursuant to Iowa Code section </w:t>
      </w:r>
      <w:hyperlink r:id="rId10">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“IDR”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means any person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“Intervene” </w:t>
      </w:r>
      <w:r>
        <w:rPr>
          <w:rFonts w:ascii="Times New Roman" w:hAnsi="Times New Roman"/>
          <w:b w:val="false"/>
          <w:i w:val="false"/>
          <w:color w:val="000000"/>
          <w:sz w:val="22"/>
        </w:rPr>
        <w:t>means to file with the department a petition requesting that the petitioner be allowed to intervene in the proceedings for a declaratory order currently under the department’s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“Public or private organization of any character or any other person covered by the Iowa administrative procedure Act other than an agency” as used in that definition includes estates, trusts, or fiduciaries.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means an application for declaratory order or request to intervene in a declaratory order under consideration.</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701—4.3</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How to submit declaratory orders or related documents; service. </w:t>
      </w:r>
      <w:r>
        <w:rPr>
          <w:rFonts w:ascii="Times New Roman" w:hAnsi="Times New Roman"/>
          <w:b w:val="false"/>
          <w:i w:val="false"/>
          <w:color w:val="000000"/>
          <w:sz w:val="22"/>
        </w:rPr>
        <w:t xml:space="preserve">A person shall submit declaratory orders and related documents in accordance with </w:t>
      </w:r>
      <w:hyperlink r:id="rId13">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701—4.4</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Time requirements for filings. </w:t>
      </w:r>
      <w:r>
        <w:rPr>
          <w:rFonts w:ascii="Times New Roman" w:hAnsi="Times New Roman"/>
          <w:b w:val="false"/>
          <w:i w:val="false"/>
          <w:color w:val="000000"/>
          <w:sz w:val="22"/>
        </w:rPr>
        <w:t xml:space="preserve">Time filing procedures are set forth in rule </w:t>
      </w:r>
      <w:hyperlink r:id="rId15">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701—4.5</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Form and style of documents. </w:t>
      </w:r>
      <w:r>
        <w:rPr>
          <w:rFonts w:ascii="Times New Roman" w:hAnsi="Times New Roman"/>
          <w:b w:val="false"/>
          <w:i w:val="false"/>
          <w:color w:val="000000"/>
          <w:sz w:val="22"/>
        </w:rPr>
        <w:t xml:space="preserve">Requirements for filings are set forth in rule </w:t>
      </w:r>
      <w:hyperlink r:id="rId17">
        <w:r>
          <w:rPr>
            <w:rStyle w:val="Hyperlink"/>
            <w:rFonts w:ascii="Times New Roman" w:hAnsi="Times New Roman"/>
            <w:b w:val="false"/>
            <w:i w:val="false"/>
            <w:color w:val="000000"/>
            <w:sz w:val="22"/>
          </w:rPr>
          <w:t>701—7.5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 This rule is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2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701—4.6</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Docket. </w:t>
      </w:r>
      <w:r>
        <w:rPr>
          <w:rFonts w:ascii="Times New Roman" w:hAnsi="Times New Roman"/>
          <w:b w:val="false"/>
          <w:i w:val="false"/>
          <w:color w:val="000000"/>
          <w:sz w:val="22"/>
        </w:rPr>
        <w:t>Every matter coming within the purview of this chapter is assigned a docket number that is the official identification number of the matter. The parties will be notified of the docket number. The number will be placed by the parties on all documents thereafter filed in the proceeding.</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701—4.7</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Declaratory order—in general. </w:t>
      </w:r>
      <w:r>
        <w:rPr>
          <w:rFonts w:ascii="Times New Roman" w:hAnsi="Times New Roman"/>
          <w:b w:val="false"/>
          <w:i w:val="false"/>
          <w:color w:val="000000"/>
          <w:sz w:val="22"/>
        </w:rPr>
        <w:t>Any oral or written advice or opinion rendered to members of the public by department personnel not pursuant to a petition for declaratory order is not binding upon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Filing a 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 petition is considered filed. </w:t>
      </w:r>
      <w:r>
        <w:rPr>
          <w:rFonts w:ascii="Times New Roman" w:hAnsi="Times New Roman"/>
          <w:b w:val="false"/>
          <w:i w:val="false"/>
          <w:color w:val="000000"/>
          <w:sz w:val="22"/>
        </w:rPr>
        <w:t xml:space="preserve">A petition is deemed filed when it is received by the department as described in rule </w:t>
      </w:r>
      <w:hyperlink r:id="rId23">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shall provide the petitioner with a file-stamped copy of the petition if the petitioner provides the department with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for declaratory order may be filed using the form available on GovConnectIowa. Alternatively, a petition for declaratory order may be filed using the form or the GovConnectIowa petition link found on the department’s website, </w:t>
      </w:r>
      <w:hyperlink r:id="rId24">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do not use the filing methods outlined in paragraph </w:t>
      </w:r>
      <w:r>
        <w:rPr>
          <w:rFonts w:ascii="Times New Roman" w:hAnsi="Times New Roman"/>
          <w:b w:val="false"/>
          <w:i w:val="false"/>
          <w:color w:val="000000"/>
          <w:sz w:val="22"/>
        </w:rPr>
        <w:t>4.7(1)</w:t>
      </w:r>
      <w:r>
        <w:rPr>
          <w:rFonts w:ascii="Times New Roman" w:hAnsi="Times New Roman"/>
          <w:b w:val="false"/>
          <w:i/>
          <w:color w:val="000000"/>
          <w:sz w:val="22"/>
        </w:rPr>
        <w:t>“b”</w:t>
      </w:r>
      <w:r>
        <w:rPr>
          <w:rFonts w:ascii="Times New Roman" w:hAnsi="Times New Roman"/>
          <w:b w:val="false"/>
          <w:i w:val="false"/>
          <w:color w:val="000000"/>
          <w:sz w:val="22"/>
        </w:rPr>
        <w:t xml:space="preserve"> shall use the following format to submit a petition for declaratory order: </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Petitioner)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Declaratory Order on (Cite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DECLARATORY ORDER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provisions of law involved).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must provide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and concise statement of all relevant facts on which the order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the applicability of which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questions the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request by the petitioner for a meeting provided for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petitioner is presently under audit or investigation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petitioner or the petitioner’s representative and date of signature. It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25">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The petitioner must be potentially aggrieved or adversely affected by the department action or failure to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Associations. </w:t>
      </w:r>
      <w:r>
        <w:rPr>
          <w:rFonts w:ascii="Times New Roman" w:hAnsi="Times New Roman"/>
          <w:b w:val="false"/>
          <w:i w:val="false"/>
          <w:color w:val="000000"/>
          <w:sz w:val="22"/>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Within 15 days after receipt of a petition for a declaratory order, the department shall give notice of the petition to all persons not served by the petitioner to whom notice is required by any provision of law. The department may also give notice to any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 xml:space="preserve">A petition for intervention shall be filed in accordance with </w:t>
      </w:r>
      <w:hyperlink r:id="rId26">
        <w:r>
          <w:rPr>
            <w:rStyle w:val="Hyperlink"/>
            <w:rFonts w:ascii="Times New Roman" w:hAnsi="Times New Roman"/>
            <w:b w:val="false"/>
            <w:i w:val="false"/>
            <w:color w:val="000000"/>
            <w:sz w:val="22"/>
          </w:rPr>
          <w:t>701—paragraph 7.3(1)</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Such a petition is deemed filed when it is received in accordance with rule </w:t>
      </w:r>
      <w:hyperlink r:id="rId27">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will provide the petitioner with a file-stamped copy of the petition for intervention if the petitioner provides an extra copy for this purpose. A petition for intervention must be typewritten or legibly handwritten in ink and must substantially conform to the following format:</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Original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Petitioner) for a Declaratory Order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INTERVENTION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on (Cite provisions of law cited in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original Petition).</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is presently under audit or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intervenor understands that if the department allows the intervention, the intervenor will be bound by the declaratory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intervenor or the intervenor’s representative and date of signature. It must also include the name, mailing address, and telephone number of the intervenor and of the intervenor’s representative and a statement indicating the person to whom communications should be directed. Petitions for intervention submitted by a representative must have a valid IDR power of attorney form or representative certification form, as applicable in accordance with rule </w:t>
      </w:r>
      <w:hyperlink r:id="rId28">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For a petition for intervention to be allowed, the petitioner must have consented to be bound by the declaratory order and the petitioner must have standing regarding the issues raised in the petition for declaratory order. Facts described in the petition for intervention must be those supporting intervention, not related to the substantive issues in the petition. The petition for intervention must not correct facts that are in the petition for declaratory order or raise any additional facts. To have standing, the intervenor must show that the intervenor is potentially aggrieved or adversely affected by the department action or failure to act on the interest at stake in the petition for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Factually distinct matters. </w:t>
      </w:r>
      <w:r>
        <w:rPr>
          <w:rFonts w:ascii="Times New Roman" w:hAnsi="Times New Roman"/>
          <w:b w:val="false"/>
          <w:i w:val="false"/>
          <w:color w:val="000000"/>
          <w:sz w:val="22"/>
        </w:rPr>
        <w:t>If a party seeks to have an issue determined by intervening in a declaratory order proceeding, but the facts are different from those in a petition for declaratory order that is currently under consideration by the director, the interested party should not petition as an intervenor in the petition for declaratory order currently under the director’s consideration. Instead, the party should file a separate petition for declaratory order, and the petition should include all of the relevant facts. The director may deny a petition for intervention without denying the underlying petition for declaratory order that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Legal Services and Appeals Division, Iowa Department of Revenue, P.O. Box 14457, Des Moines, Iowa 50306-3457; or by email to the address provided in </w:t>
      </w:r>
      <w:hyperlink r:id="rId29">
        <w:r>
          <w:rPr>
            <w:rStyle w:val="Hyperlink"/>
            <w:rFonts w:ascii="Times New Roman" w:hAnsi="Times New Roman"/>
            <w:b w:val="false"/>
            <w:i w:val="false"/>
            <w:color w:val="000000"/>
            <w:sz w:val="22"/>
          </w:rPr>
          <w:t>701—paragraph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in the same manner described in rule </w:t>
      </w:r>
      <w:hyperlink r:id="rId30">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in rules </w:t>
      </w:r>
      <w:hyperlink r:id="rId31">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and </w:t>
      </w:r>
      <w:hyperlink r:id="rId32">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w:t>
      </w:r>
      <w:r>
        <w:rPr>
          <w:rFonts w:ascii="Times New Roman" w:hAnsi="Times New Roman"/>
          <w:b w:val="false"/>
          <w:i w:val="false"/>
          <w:color w:val="000000"/>
          <w:sz w:val="22"/>
        </w:rPr>
        <w:t> </w:t>
      </w:r>
      <w:r>
        <w:rPr>
          <w:rFonts w:ascii="Times New Roman" w:hAnsi="Times New Roman"/>
          <w:b w:val="false"/>
          <w:i/>
          <w:color w:val="000000"/>
          <w:sz w:val="22"/>
        </w:rPr>
        <w:t xml:space="preserve">Department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meetings. </w:t>
      </w:r>
      <w:r>
        <w:rPr>
          <w:rFonts w:ascii="Times New Roman" w:hAnsi="Times New Roman"/>
          <w:b w:val="false"/>
          <w:i w:val="false"/>
          <w:color w:val="000000"/>
          <w:sz w:val="22"/>
        </w:rPr>
        <w:t>Upon request by the petitioner in the petition, the department may schedule a brief and informal meeting between the original petitioner; all intervenors; and the department, a member of the department, or a member of the staff of the department to discuss the questions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Requests for additional information. </w:t>
      </w:r>
      <w:r>
        <w:rPr>
          <w:rFonts w:ascii="Times New Roman" w:hAnsi="Times New Roman"/>
          <w:b w:val="false"/>
          <w:i w:val="false"/>
          <w:color w:val="000000"/>
          <w:sz w:val="22"/>
        </w:rPr>
        <w:t>The department may solicit additional information from the petitioner and establish a time frame for response. The department may also solicit comments or information from any other person on the questions raised. Also, comments or information on the questions raised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w:t>
      </w:r>
      <w:r>
        <w:rPr>
          <w:rFonts w:ascii="Times New Roman" w:hAnsi="Times New Roman"/>
          <w:b w:val="false"/>
          <w:i w:val="false"/>
          <w:color w:val="000000"/>
          <w:sz w:val="22"/>
        </w:rPr>
        <w:t> </w:t>
      </w:r>
      <w:r>
        <w:rPr>
          <w:rFonts w:ascii="Times New Roman" w:hAnsi="Times New Roman"/>
          <w:b w:val="false"/>
          <w:i/>
          <w:color w:val="000000"/>
          <w:sz w:val="22"/>
        </w:rPr>
        <w:t xml:space="preserve">Withdrawal of the petition. </w:t>
      </w:r>
      <w:r>
        <w:rPr>
          <w:rFonts w:ascii="Times New Roman" w:hAnsi="Times New Roman"/>
          <w:b w:val="false"/>
          <w:i w:val="false"/>
          <w:color w:val="000000"/>
          <w:sz w:val="22"/>
        </w:rPr>
        <w:t>The petitioner may voluntarily withdraw its petition by notifying the department in writing at any time before the order is issued. The petitioner may not withdraw the petition after the order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receipt of a petition for a declaratory order, the director shall take action on the petition. That action may include issuing an order, issuing a refusal, scheduling the issuance of a decision for a later date, or any other action described in Iowa Code section </w:t>
      </w:r>
      <w:hyperlink r:id="rId33">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refusal to issue order. </w:t>
      </w:r>
      <w:r>
        <w:rPr>
          <w:rFonts w:ascii="Times New Roman" w:hAnsi="Times New Roman"/>
          <w:b w:val="false"/>
          <w:i w:val="false"/>
          <w:color w:val="000000"/>
          <w:sz w:val="22"/>
        </w:rPr>
        <w:t xml:space="preserve">The department shall not issue a declaratory order where prohibited by Iowa Code section </w:t>
      </w:r>
      <w:hyperlink r:id="rId3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may refuse to issue a declaratory order on some or all questions raised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Questions or issues presented by the petition are also presented in a current audit or investigation, rulemaking, contested case, litigation, or other department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the petitioner;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Action on refusal.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rule does not preclude the filing of a new petition that seeks to eliminate the grounds for the department’s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 refusal;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ruling itself, a declaratory order or refusal must contain the date of its issuance, the name of the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 xml:space="preserve">A copy of all orders issued in response to a petition for a declaratory order shall be delivered promptly to the original petitioner and all intervenors or otherwise served in accordance with rule </w:t>
      </w:r>
      <w:hyperlink r:id="rId35">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color w:val="000000"/>
          <w:sz w:val="22"/>
        </w:rPr>
        <w:t xml:space="preserve">Effect of a declaratory order. </w:t>
      </w:r>
      <w:r>
        <w:rPr>
          <w:rFonts w:ascii="Times New Roman" w:hAnsi="Times New Roman"/>
          <w:b w:val="false"/>
          <w:i w:val="false"/>
          <w:color w:val="000000"/>
          <w:sz w:val="22"/>
        </w:rPr>
        <w:t>A declaratory order is binding on the department, the petitioner, and any intervenors. As to all other persons, a declaratory order serves only as precedent and is not binding on the department. The issuance of a declaratory order constitutes final department action on the petition. A declaratory order, once issued, will not be rescinded by the department and cannot be withdrawn by the petitioner.</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6">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6.pdf" Type="http://schemas.openxmlformats.org/officeDocument/2006/relationships/hyperlink" Id="rId5"/>
    <Relationship TargetMode="External" Target="https://www.legis.iowa.gov/docs/iac/chapter/701.7.pdf" Type="http://schemas.openxmlformats.org/officeDocument/2006/relationships/hyperlink" Id="rId6"/>
    <Relationship TargetMode="External" Target="https://www.legis.iowa.gov/docs/iac/chapter/701.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rule/701.7.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rule/701.7.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ac/rule/701.7.5.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554D.pdf" Type="http://schemas.openxmlformats.org/officeDocument/2006/relationships/hyperlink" Id="rId19"/>
    <Relationship TargetMode="External" Target="https://www.legis.iowa.gov/docs/ico/chapter/421.17.pdf" Type="http://schemas.openxmlformats.org/officeDocument/2006/relationships/hyperlink" Id="rId20"/>
    <Relationship TargetMode="External" Target="https://www.legis.iowa.gov/docs/ico/chapter/421.2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701.7.4.pdf" Type="http://schemas.openxmlformats.org/officeDocument/2006/relationships/hyperlink" Id="rId23"/>
    <Relationship TargetMode="External" Target="http://revenue.iowa.gov" Type="http://schemas.openxmlformats.org/officeDocument/2006/relationships/hyperlink" Id="rId24"/>
    <Relationship TargetMode="External" Target="https://www.legis.iowa.gov/docs/iac/rule/701.8.8.pdf" Type="http://schemas.openxmlformats.org/officeDocument/2006/relationships/hyperlink" Id="rId25"/>
    <Relationship TargetMode="External" Target="https://www.legis.iowa.gov/docs/iac/rule/701.7.3.pdf" Type="http://schemas.openxmlformats.org/officeDocument/2006/relationships/hyperlink" Id="rId26"/>
    <Relationship TargetMode="External" Target="https://www.legis.iowa.gov/docs/iac/rule/701.7.4.pdf" Type="http://schemas.openxmlformats.org/officeDocument/2006/relationships/hyperlink" Id="rId27"/>
    <Relationship TargetMode="External" Target="https://www.legis.iowa.gov/docs/iac/rule/701.8.8.pdf" Type="http://schemas.openxmlformats.org/officeDocument/2006/relationships/hyperlink" Id="rId28"/>
    <Relationship TargetMode="External" Target="https://www.legis.iowa.gov/docs/iac/rule/701.7.3.pdf" Type="http://schemas.openxmlformats.org/officeDocument/2006/relationships/hyperlink" Id="rId29"/>
    <Relationship TargetMode="External" Target="https://www.legis.iowa.gov/docs/iac/rule/701.7.3.pdf" Type="http://schemas.openxmlformats.org/officeDocument/2006/relationships/hyperlink" Id="rId30"/>
    <Relationship TargetMode="External" Target="https://www.legis.iowa.gov/docs/iac/rule/701.7.3.pdf" Type="http://schemas.openxmlformats.org/officeDocument/2006/relationships/hyperlink" Id="rId31"/>
    <Relationship TargetMode="External" Target="https://www.legis.iowa.gov/docs/iac/rule/701.7.4.pdf" Type="http://schemas.openxmlformats.org/officeDocument/2006/relationships/hyperlink" Id="rId32"/>
    <Relationship TargetMode="External" Target="https://www.legis.iowa.gov/docs/ico/chapter/17A.9.pdf" Type="http://schemas.openxmlformats.org/officeDocument/2006/relationships/hyperlink" Id="rId33"/>
    <Relationship TargetMode="External" Target="https://www.legis.iowa.gov/docs/ico/chapter/17A.9.pdf" Type="http://schemas.openxmlformats.org/officeDocument/2006/relationships/hyperlink" Id="rId34"/>
    <Relationship TargetMode="External" Target="https://www.legis.iowa.gov/docs/iac/rule/701.7.3.pdf" Type="http://schemas.openxmlformats.org/officeDocument/2006/relationships/hyperlink" Id="rId35"/>
    <Relationship TargetMode="External" Target="https://www.legis.iowa.gov/docs/ico/chapter/17A.9.pdf" Type="http://schemas.openxmlformats.org/officeDocument/2006/relationships/hyperlink" Id="rId36"/>
    <Relationship TargetMode="External" Target="https://www.legis.iowa.gov/docs/ico/chapter/17A.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