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 RATE SUSPENSION APPEAL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11/30/88, see City Finance Committee[230] Ch 5]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7/29/31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 appealed.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city may appeal a tax rate suspension decision by the director of the department to the city finance committee. The appeal is to be submitted in writing no later than February 1 to the committee at the committee’s mailing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9/15/78, Notice 6/14/78—published 10/4/78, effective 11/8/78]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11/3/88, Notice 5/4/88—published 11/30/88, effective 1/4/89]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7/1/99]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0394D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9687C, IAB 11/12/25)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6/24/26, effective 7/29/26]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4.4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