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UNIFORM RULES</w:t>
      </w:r>
    </w:p>
    <w:p>
      <w:pPr>
        <w:spacing w:before="0" w:after="0"/>
        <w:ind w:left="120"/>
        <w:jc w:val="center"/>
      </w:pPr>
      <w:r>
        <w:rPr>
          <w:rFonts w:ascii="Times New Roman" w:hAnsi="Times New Roman"/>
          <w:b w:val="false"/>
          <w:i w:val="false"/>
          <w:color w:val="000000"/>
          <w:sz w:val="14"/>
        </w:rPr>
        <w:t>[Prior to 5/4/88, see Appeal Board, State[60] Ch 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val="false"/>
          <w:i w:val="false"/>
          <w:color w:val="000000"/>
          <w:sz w:val="22"/>
        </w:rPr>
        <w:t xml:space="preserve">The board hereby adopts, with the following exceptions and amendments, the Uniform Rules on Agency Procedure,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543—5.1</w:t>
      </w:r>
      <w:r>
        <w:rPr>
          <w:rFonts w:ascii="Times New Roman" w:hAnsi="Times New Roman"/>
          <w:b/>
          <w:i w:val="false"/>
          <w:color w:val="000000"/>
          <w:sz w:val="22"/>
        </w:rPr>
        <w:t xml:space="preserve">(17A,22) </w:t>
      </w:r>
      <w:r>
        <w:rPr>
          <w:rFonts w:ascii="Times New Roman" w:hAnsi="Times New Roman"/>
          <w:b/>
          <w:i w:val="false"/>
          <w:color w:val="000000"/>
          <w:sz w:val="22"/>
        </w:rPr>
        <w:t xml:space="preserve">Fair information practices. </w:t>
      </w:r>
      <w:r>
        <w:rPr>
          <w:rFonts w:ascii="Times New Roman" w:hAnsi="Times New Roman"/>
          <w:b w:val="false"/>
          <w:i w:val="false"/>
          <w:color w:val="000000"/>
          <w:sz w:val="22"/>
        </w:rPr>
        <w:t xml:space="preserve">The board hereby adopts, with the following exceptions and amendments, the uniform rules on agency procedure relating to fair information practices, which are published at </w:t>
      </w:r>
      <w:hyperlink r:id="rId6">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In lieu of the word “agency”,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In lieu of the words “(insert agency head)”, insert “chairperson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val="false"/>
          <w:color w:val="000000"/>
          <w:sz w:val="22"/>
        </w:rPr>
        <w:t>In lieu of the words “(insert agency name and address)”, insert “the board at the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7">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 to 4:30 p.m. 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“30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w:t>
      </w:r>
      <w:r>
        <w:rPr>
          <w:rFonts w:ascii="Times New Roman" w:hAnsi="Times New Roman"/>
          <w:b w:val="false"/>
          <w:i w:val="false"/>
          <w:color w:val="000000"/>
          <w:sz w:val="22"/>
        </w:rPr>
        <w:t> </w:t>
      </w:r>
      <w:r>
        <w:rPr>
          <w:rFonts w:ascii="Times New Roman" w:hAnsi="Times New Roman"/>
          <w:b w:val="false"/>
          <w:i w:val="false"/>
          <w:color w:val="000000"/>
          <w:sz w:val="22"/>
        </w:rPr>
        <w:t>In lieu of the words “(An agency wishing to deal with search fees authorized by law should do so here.)”, delete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board’s executive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w:t>
      </w:r>
      <w:r>
        <w:rPr>
          <w:rFonts w:ascii="Times New Roman" w:hAnsi="Times New Roman"/>
          <w:b w:val="false"/>
          <w:i w:val="false"/>
          <w:color w:val="000000"/>
          <w:sz w:val="22"/>
        </w:rPr>
        <w:t> </w:t>
      </w:r>
      <w:r>
        <w:rPr>
          <w:rFonts w:ascii="Times New Roman" w:hAnsi="Times New Roman"/>
          <w:b w:val="false"/>
          <w:i w:val="false"/>
          <w:color w:val="000000"/>
          <w:sz w:val="22"/>
        </w:rPr>
        <w:t>In lieu of the words “(and, where applicable, the time period during which the record may be disclosed)”, insert “and, where applicable, the time period during which the record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w:t>
      </w:r>
      <w:r>
        <w:rPr>
          <w:rFonts w:ascii="Times New Roman" w:hAnsi="Times New Roman"/>
          <w:b w:val="false"/>
          <w:i w:val="false"/>
          <w:color w:val="000000"/>
          <w:sz w:val="22"/>
        </w:rPr>
        <w:t> </w:t>
      </w:r>
      <w:r>
        <w:rPr>
          <w:rFonts w:ascii="Times New Roman" w:hAnsi="Times New Roman"/>
          <w:b w:val="false"/>
          <w:i w:val="false"/>
          <w:color w:val="000000"/>
          <w:sz w:val="22"/>
        </w:rPr>
        <w:t>In lieu of the words “(Additional requirements may be necessary for special classes of records.)”, insert “Additional obligations may be necessary for special classes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val="false"/>
          <w:color w:val="000000"/>
          <w:sz w:val="22"/>
        </w:rPr>
        <w:t>In lieu of the words “(Each agency should revise its forms to provide this information.)”, delete the 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543—5.2</w:t>
      </w:r>
      <w:r>
        <w:rPr>
          <w:rFonts w:ascii="Times New Roman" w:hAnsi="Times New Roman"/>
          <w:b/>
          <w:i w:val="false"/>
          <w:color w:val="000000"/>
          <w:sz w:val="22"/>
        </w:rPr>
        <w:t xml:space="preserve">(17A,22) </w:t>
      </w:r>
      <w:r>
        <w:rPr>
          <w:rFonts w:ascii="Times New Roman" w:hAnsi="Times New Roman"/>
          <w:b/>
          <w:i w:val="false"/>
          <w:color w:val="000000"/>
          <w:sz w:val="22"/>
        </w:rPr>
        <w:t xml:space="preserve">Additional fair information practices—uses and disclosures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Board records are open for public inspection and copying unless otherwise provided by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Uses and disclosures of individually identifiable information. </w:t>
      </w:r>
      <w:r>
        <w:rPr>
          <w:rFonts w:ascii="Times New Roman" w:hAnsi="Times New Roman"/>
          <w:b w:val="false"/>
          <w:i w:val="false"/>
          <w:color w:val="000000"/>
          <w:sz w:val="22"/>
        </w:rPr>
        <w:t>To the extent allowed by law, uses or disclosures of confidential records may occur with or without the consent of the subject. Types of uses or disclosures that occur without the subject’s consent include but are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or disclosure for a routine use in relation to the work of the board, as long as such use or disclosure is made subject to the same confidentiality obligations imposed on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or disclosure for statistical research purposes or reporting as long as the information is deidentified in advance.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or disclosure for civil or criminal law enforcement activities to the extent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to an individual pursuant to a showing of compelling circumstances affecting the health or safety of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to the legislative services agency under Iowa Code section </w:t>
      </w:r>
      <w:hyperlink r:id="rId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or disclosure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or disclosure 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held by the board to a public official that seeks the official’s intervention on behalf of the subject in a matter that involves the board will,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Release to subject. </w:t>
      </w:r>
      <w:r>
        <w:rPr>
          <w:rFonts w:ascii="Times New Roman" w:hAnsi="Times New Roman"/>
          <w:b w:val="false"/>
          <w:i w:val="false"/>
          <w:color w:val="000000"/>
          <w:sz w:val="22"/>
        </w:rPr>
        <w:t>The subject of a confidential record may submit a request to review confidential records about that person. However, the board need not release the record to the subject to the extent that the record is confidential under applicable law. Records that may be declared confidential include but are not necessarily limited to records that are predecisional draft documents, peace officers’ investigative reports, records that are subject to the attorney/client privilege, and records that are subject to the attorney work product doctrine. When a record has multiple identifiable subjects with interest in the confidentiality of the record, the board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543—5.3</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 xml:space="preserve">The board hereby adopts, with the following exceptions and amendments, the Uniform Rules on Agency Procedure relating to petitions for rulemaking, which are published at </w:t>
      </w:r>
      <w:hyperlink r:id="rId9">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In lieu of the word “agency”,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In lieu of the phrase “designate official by full title and address”, insert “chairperson of the board at the board’s mailing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543—5.4</w:t>
      </w:r>
      <w:r>
        <w:rPr>
          <w:rFonts w:ascii="Times New Roman" w:hAnsi="Times New Roman"/>
          <w:b/>
          <w:i w:val="false"/>
          <w:color w:val="000000"/>
          <w:sz w:val="22"/>
        </w:rPr>
        <w:t xml:space="preserve">(17A)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The board hereby adopts, with the following exceptions and amendments, the Uniform Rules on Agency Procedure relating to declaratory orders, which are published at </w:t>
      </w:r>
      <w:hyperlink r:id="rId10">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In lieu of the words “(An agency may wish to describe here a simplified alternative petition form that would be more appropriate for some members of its clientele in light of their particular circumstances.)”, delete this sentence.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val="false"/>
          <w:color w:val="000000"/>
          <w:sz w:val="22"/>
        </w:rPr>
        <w:t>In lieu of the words “Within ____ days (15 or less)” found in rule X.2, insert “Within 15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val="false"/>
          <w:color w:val="000000"/>
          <w:sz w:val="22"/>
        </w:rPr>
        <w:t>In lieu of the words “within ____ days of the filing of a petition” in rule X.3(1), insert “within 15 days of the filing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w:t>
      </w:r>
      <w:r>
        <w:rPr>
          <w:rFonts w:ascii="Times New Roman" w:hAnsi="Times New Roman"/>
          <w:b w:val="false"/>
          <w:i w:val="false"/>
          <w:color w:val="000000"/>
          <w:sz w:val="22"/>
        </w:rPr>
        <w:t> </w:t>
      </w:r>
      <w:r>
        <w:rPr>
          <w:rFonts w:ascii="Times New Roman" w:hAnsi="Times New Roman"/>
          <w:b w:val="false"/>
          <w:i w:val="false"/>
          <w:color w:val="000000"/>
          <w:sz w:val="22"/>
        </w:rPr>
        <w:t>In lieu of the words “(after time for notice under X.2(17A))”, insert “15 days following receipt of notice from the board that a petition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5.4(8)</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“the board at the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5.4(9)</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insert “the chairperson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5.4(10)</w:t>
      </w:r>
      <w:r>
        <w:rPr>
          <w:rFonts w:ascii="Times New Roman" w:hAnsi="Times New Roman"/>
          <w:b w:val="false"/>
          <w:i w:val="false"/>
          <w:color w:val="000000"/>
          <w:sz w:val="22"/>
        </w:rPr>
        <w:t> </w:t>
      </w:r>
      <w:r>
        <w:rPr>
          <w:rFonts w:ascii="Times New Roman" w:hAnsi="Times New Roman"/>
          <w:b w:val="false"/>
          <w:i w:val="false"/>
          <w:color w:val="000000"/>
          <w:sz w:val="22"/>
        </w:rPr>
        <w:t>In lieu of the words “(uniform rule on contested cases X.12(17A))” and “(contested case uniform rule X.2(17A))”, insert “uniform rule on contested cases X.12”.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5.4(11)</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sentence “(The agency may specify any provisions of Iowa Code sections </w:t>
      </w:r>
      <w:hyperlink r:id="rId11">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on contested case proceedings to apply to proceedings for declaratory orders.)”, delete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5.4(12)</w:t>
      </w:r>
      <w:r>
        <w:rPr>
          <w:rFonts w:ascii="Times New Roman" w:hAnsi="Times New Roman"/>
          <w:b w:val="false"/>
          <w:i w:val="false"/>
          <w:color w:val="000000"/>
          <w:sz w:val="22"/>
        </w:rPr>
        <w:t> </w:t>
      </w:r>
      <w:r>
        <w:rPr>
          <w:rFonts w:ascii="Times New Roman" w:hAnsi="Times New Roman"/>
          <w:b w:val="false"/>
          <w:i w:val="false"/>
          <w:color w:val="000000"/>
          <w:sz w:val="22"/>
        </w:rPr>
        <w:t>In lieu of the sentence “(Where the agency’s experience enables it to define in advance other specific reasons for refusing to issue a declaratory order, it should include them here.)”, delete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5.4(13)</w:t>
      </w:r>
      <w:r>
        <w:rPr>
          <w:rFonts w:ascii="Times New Roman" w:hAnsi="Times New Roman"/>
          <w:b w:val="false"/>
          <w:i w:val="false"/>
          <w:color w:val="000000"/>
          <w:sz w:val="22"/>
        </w:rPr>
        <w:t> </w:t>
      </w:r>
      <w:r>
        <w:rPr>
          <w:rFonts w:ascii="Times New Roman" w:hAnsi="Times New Roman"/>
          <w:b w:val="false"/>
          <w:i w:val="false"/>
          <w:color w:val="000000"/>
          <w:sz w:val="22"/>
        </w:rPr>
        <w:t>In lieu of the phrase “(who consent to be bound)”, insert “who consent to be bound”.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543—5.5</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procedure for rulemaking. </w:t>
      </w:r>
      <w:r>
        <w:rPr>
          <w:rFonts w:ascii="Times New Roman" w:hAnsi="Times New Roman"/>
          <w:b w:val="false"/>
          <w:i w:val="false"/>
          <w:color w:val="000000"/>
          <w:sz w:val="22"/>
        </w:rPr>
        <w:t xml:space="preserve">The board hereby adopts, with the following exceptions and amendments, the Uniform Rules on Agency Procedure relating to agency procedure for rulemaking, which are published at </w:t>
      </w:r>
      <w:hyperlink r:id="rId13">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“(commission, board, council, director)”,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val="false"/>
          <w:color w:val="000000"/>
          <w:sz w:val="22"/>
        </w:rPr>
        <w:t>In lieu of the word “agency”,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val="false"/>
          <w:color w:val="000000"/>
          <w:sz w:val="22"/>
        </w:rPr>
        <w:t>In lieu of the words “(identify office and address)”, insert “the executive secretary at the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and telephone number)”, insert “the executive secretary at 515.281.3078”.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the office and address)”, insert “the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head)”, insert “chairperson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w:t>
      </w:r>
      <w:r>
        <w:rPr>
          <w:rFonts w:ascii="Times New Roman" w:hAnsi="Times New Roman"/>
          <w:b w:val="false"/>
          <w:i w:val="false"/>
          <w:color w:val="000000"/>
          <w:sz w:val="22"/>
        </w:rPr>
        <w:t> </w:t>
      </w:r>
      <w:r>
        <w:rPr>
          <w:rFonts w:ascii="Times New Roman" w:hAnsi="Times New Roman"/>
          <w:b w:val="false"/>
          <w:i w:val="false"/>
          <w:color w:val="000000"/>
          <w:sz w:val="22"/>
        </w:rPr>
        <w:t>In lieu of the words “(Alternatively, the agency can maintain the file indefinitely.)” and “(*NOTE: Alternatively to X.13(2)“j” and the amendment of X.13(4), an agency could keep a separate file of significant written criticisms to rules and maintain those for five years.)”, delete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w:t>
      </w:r>
      <w:r>
        <w:rPr>
          <w:rFonts w:ascii="Times New Roman" w:hAnsi="Times New Roman"/>
          <w:b w:val="false"/>
          <w:i w:val="false"/>
          <w:color w:val="000000"/>
          <w:sz w:val="22"/>
        </w:rPr>
        <w:t> </w:t>
      </w:r>
      <w:r>
        <w:rPr>
          <w:rFonts w:ascii="Times New Roman" w:hAnsi="Times New Roman"/>
          <w:b w:val="false"/>
          <w:i w:val="false"/>
          <w:color w:val="000000"/>
          <w:sz w:val="22"/>
        </w:rPr>
        <w:t>In lieu of the words “(at actual cost)”, insert “at actual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9699C</w:t>
      </w:r>
      <w:r>
        <w:rPr>
          <w:rFonts w:ascii="Times New Roman" w:hAnsi="Times New Roman"/>
          <w:b w:val="false"/>
          <w:i w:val="false"/>
          <w:color w:val="000000"/>
          <w:sz w:val="21"/>
        </w:rPr>
        <w:t xml:space="preserve"> (Notice ARC 9462C, IAB 8/6/25)</w:t>
      </w:r>
      <w:r>
        <w:rPr>
          <w:rFonts w:ascii="Times New Roman" w:hAnsi="Times New Roman"/>
          <w:b w:val="false"/>
          <w:i w:val="false"/>
          <w:color w:val="000000"/>
          <w:sz w:val="21"/>
        </w:rPr>
        <w:t>, IAB 11/12/25, effective 12/17/25]</w:t>
      </w:r>
    </w:p>
    <w:sectPr>
      <w:footerReference r:id="rId15"/>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www.legis.iowa.gov/DOCS/Rules/Current/UniformRules.pdf" Type="http://schemas.openxmlformats.org/officeDocument/2006/relationships/hyperlink" Id="rId6"/>
    <Relationship TargetMode="External" Target="https://www.legis.iowa.gov/docs/ico/chapter/22.4.pdf" Type="http://schemas.openxmlformats.org/officeDocument/2006/relationships/hyperlink" Id="rId7"/>
    <Relationship TargetMode="External" Target="https://www.legis.iowa.gov/docs/ico/chapter/2A.3.pdf" Type="http://schemas.openxmlformats.org/officeDocument/2006/relationships/hyperlink" Id="rId8"/>
    <Relationship TargetMode="External" Target="http://www.legis.iowa.gov/DOCS/Rules/Current/UniformRules.pdf" Type="http://schemas.openxmlformats.org/officeDocument/2006/relationships/hyperlink" Id="rId9"/>
    <Relationship TargetMode="External" Target="http://www.legis.iowa.gov/DOCS/Rules/Current/UniformRules.pdf" Type="http://schemas.openxmlformats.org/officeDocument/2006/relationships/hyperlink" Id="rId10"/>
    <Relationship TargetMode="External" Target="https://www.legis.iowa.gov/docs/ico/chapter/17A.10.pdf" Type="http://schemas.openxmlformats.org/officeDocument/2006/relationships/hyperlink" Id="rId11"/>
    <Relationship TargetMode="External" Target="https://www.legis.iowa.gov/docs/ico/chapter/17A.18.pdf" Type="http://schemas.openxmlformats.org/officeDocument/2006/relationships/hyperlink" Id="rId12"/>
    <Relationship TargetMode="External" Target="http://www.legis.iowa.gov/DOCS/Rules/Current/UniformRules.pdf" Type="http://schemas.openxmlformats.org/officeDocument/2006/relationships/hyperlink" Id="rId13"/>
    <Relationship TargetMode="External" Target="https://www.legis.iowa.gov/docs/ico/chapter/17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