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REAL ESTATE COMMISSION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6/15/88, see Real Estate Commission[700] Ch 1]</w:t>
      </w:r>
    </w:p>
    <w:p>
      <w:pPr>
        <w:spacing w:before="0" w:after="0"/>
        <w:ind w:left="120"/>
        <w:jc w:val="center"/>
      </w:pPr>
      <w:r>
        <w:rPr>
          <w:rFonts w:ascii="Times New Roman" w:hAnsi="Times New Roman"/>
          <w:b w:val="false"/>
          <w:i w:val="false"/>
          <w:color w:val="000000"/>
          <w:sz w:val="14"/>
        </w:rPr>
        <w:t>[Prior to 9/4/02, see 193E—Chs 2, 5, 7, 8]</w:t>
      </w:r>
    </w:p>
    <w:p>
      <w:pPr>
        <w:spacing w:before="0" w:after="0"/>
        <w:ind w:left="120"/>
        <w:jc w:val="center"/>
      </w:pPr>
      <w:r>
        <w:rPr>
          <w:rFonts w:ascii="Times New Roman" w:hAnsi="Times New Roman"/>
          <w:b w:val="false"/>
          <w:i w:val="false"/>
          <w:color w:val="000000"/>
          <w:sz w:val="14"/>
        </w:rPr>
        <w:t>[Prior to 6/10/26, see Real Estate Commission[193E]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6">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7">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8">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481—2001.2</w:t>
      </w:r>
      <w:r>
        <w:rPr>
          <w:rFonts w:ascii="Times New Roman" w:hAnsi="Times New Roman"/>
          <w:b/>
          <w:i w:val="false"/>
          <w:color w:val="000000"/>
          <w:sz w:val="22"/>
        </w:rPr>
        <w:t xml:space="preserve">(543B) </w:t>
      </w:r>
      <w:r>
        <w:rPr>
          <w:rFonts w:ascii="Times New Roman" w:hAnsi="Times New Roman"/>
          <w:b/>
          <w:i w:val="false"/>
          <w:color w:val="000000"/>
          <w:sz w:val="22"/>
        </w:rPr>
        <w:t xml:space="preserve">Correspondence and communications. </w:t>
      </w:r>
      <w:r>
        <w:rPr>
          <w:rFonts w:ascii="Times New Roman" w:hAnsi="Times New Roman"/>
          <w:b w:val="false"/>
          <w:i w:val="false"/>
          <w:color w:val="000000"/>
          <w:sz w:val="22"/>
        </w:rPr>
        <w:t>Correspondence and communications with the commission should be addressed or directed to the commission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481—2001.3</w:t>
      </w:r>
      <w:r>
        <w:rPr>
          <w:rFonts w:ascii="Times New Roman" w:hAnsi="Times New Roman"/>
          <w:b/>
          <w:i w:val="false"/>
          <w:color w:val="000000"/>
          <w:sz w:val="22"/>
        </w:rPr>
        <w:t xml:space="preserve">(543B) </w:t>
      </w:r>
      <w:r>
        <w:rPr>
          <w:rFonts w:ascii="Times New Roman" w:hAnsi="Times New Roman"/>
          <w:b/>
          <w:i w:val="false"/>
          <w:color w:val="000000"/>
          <w:sz w:val="22"/>
        </w:rPr>
        <w:t xml:space="preserve">Meetings of the commission. </w:t>
      </w:r>
      <w:r>
        <w:rPr>
          <w:rFonts w:ascii="Times New Roman" w:hAnsi="Times New Roman"/>
          <w:b w:val="false"/>
          <w:i w:val="false"/>
          <w:color w:val="000000"/>
          <w:sz w:val="22"/>
        </w:rPr>
        <w:t>Meetings of the commission are held at times scheduled by the commission in the offices of the commission or at a place designated by the commission. Special meetings may be called by the chairperson or executive officer of the commission, who sets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department of inspections, appeals, and licensing or the professional licensing and regulation division, the commission is the principal custodian of its own agency orders, statements of law or policy issued by the commission, legal documents, and other public documents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commission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2001.4(2)</w:t>
      </w:r>
      <w:r>
        <w:rPr>
          <w:rFonts w:ascii="Times New Roman" w:hAnsi="Times New Roman"/>
          <w:b w:val="false"/>
          <w:i w:val="false"/>
          <w:color w:val="000000"/>
          <w:sz w:val="22"/>
        </w:rPr>
        <w:t> </w:t>
      </w:r>
      <w:r>
        <w:rPr>
          <w:rFonts w:ascii="Times New Roman" w:hAnsi="Times New Roman"/>
          <w:b w:val="false"/>
          <w:i w:val="false"/>
          <w:color w:val="000000"/>
          <w:sz w:val="22"/>
        </w:rPr>
        <w:t>Records, documents and other information may be gathered, stored, and available in electronic format. Information, various forms, documents, and the license law and rules may be reviewed or obtained at any time by the public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2001.4(3)</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any deadline for filing a document that falls on a Saturday, Sunday, or official state holiday will be extended to the next working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481—2001.5</w:t>
      </w:r>
      <w:r>
        <w:rPr>
          <w:rFonts w:ascii="Times New Roman" w:hAnsi="Times New Roman"/>
          <w:b/>
          <w:i w:val="false"/>
          <w:color w:val="000000"/>
          <w:sz w:val="22"/>
        </w:rPr>
        <w:t xml:space="preserve">(543B) </w:t>
      </w:r>
      <w:r>
        <w:rPr>
          <w:rFonts w:ascii="Times New Roman" w:hAnsi="Times New Roman"/>
          <w:b/>
          <w:i w:val="false"/>
          <w:color w:val="000000"/>
          <w:sz w:val="22"/>
        </w:rPr>
        <w:t xml:space="preserve">Investigation and subpoena. </w:t>
      </w:r>
      <w:r>
        <w:rPr>
          <w:rFonts w:ascii="Times New Roman" w:hAnsi="Times New Roman"/>
          <w:b w:val="false"/>
          <w:i w:val="false"/>
          <w:color w:val="000000"/>
          <w:sz w:val="22"/>
        </w:rPr>
        <w:t xml:space="preserve">Commission rules regarding investigations and investigatory subpoenas may be found in </w:t>
      </w:r>
      <w:hyperlink r:id="rId9">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 xml:space="preserve"> and in the model rules governing professional licensing division programs at 481—Chapters 500 through 507.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481—2001.6</w:t>
      </w:r>
      <w:r>
        <w:rPr>
          <w:rFonts w:ascii="Times New Roman" w:hAnsi="Times New Roman"/>
          <w:b/>
          <w:i w:val="false"/>
          <w:color w:val="000000"/>
          <w:sz w:val="22"/>
        </w:rPr>
        <w:t xml:space="preserve">(543B) </w:t>
      </w:r>
      <w:r>
        <w:rPr>
          <w:rFonts w:ascii="Times New Roman" w:hAnsi="Times New Roman"/>
          <w:b/>
          <w:i w:val="false"/>
          <w:color w:val="000000"/>
          <w:sz w:val="22"/>
        </w:rPr>
        <w:t xml:space="preserve">Impaired licensee review committees. </w:t>
      </w:r>
      <w:r>
        <w:rPr>
          <w:rFonts w:ascii="Times New Roman" w:hAnsi="Times New Roman"/>
          <w:b w:val="false"/>
          <w:i w:val="false"/>
          <w:color w:val="000000"/>
          <w:sz w:val="22"/>
        </w:rPr>
        <w:t xml:space="preserve">Commission rules governing impaired licensee review committees may be found in the model rules governing professional licensing division programs at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7763C</w:t>
      </w:r>
      <w:r>
        <w:rPr>
          <w:rFonts w:ascii="Times New Roman" w:hAnsi="Times New Roman"/>
          <w:b w:val="false"/>
          <w:i w:val="false"/>
          <w:color w:val="000000"/>
          <w:sz w:val="21"/>
        </w:rPr>
        <w:t xml:space="preserve"> (Notice ARC 7442C,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co/chapter/543C.pdf" Type="http://schemas.openxmlformats.org/officeDocument/2006/relationships/hyperlink" Id="rId6"/>
    <Relationship TargetMode="External" Target="https://www.legis.iowa.gov/docs/ico/chapter/557A.pdf" Type="http://schemas.openxmlformats.org/officeDocument/2006/relationships/hyperlink" Id="rId7"/>
    <Relationship TargetMode="External" Target="https://www.legis.iowa.gov/docs/ico/chapter/543C.4.pdf" Type="http://schemas.openxmlformats.org/officeDocument/2006/relationships/hyperlink" Id="rId8"/>
    <Relationship TargetMode="External" Target="https://www.legis.iowa.gov/docs/iac/rule/481.2018..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61.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