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4 on Windows 11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w:t>
      </w:r>
    </w:p>
    <w:p>
      <w:pPr>
        <w:spacing w:before="0" w:after="0"/>
        <w:ind w:left="120"/>
        <w:jc w:val="center"/>
      </w:pPr>
      <w:r>
        <w:rPr>
          <w:rFonts w:ascii="Times New Roman" w:hAnsi="Times New Roman"/>
          <w:b w:val="false"/>
          <w:i w:val="false"/>
          <w:color w:val="000000"/>
          <w:sz w:val="21"/>
        </w:rPr>
        <w:t>PUBLIC RECORDS AND FAIR INFORMATION PRACTICES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441—9.1</w:t>
      </w:r>
      <w:r>
        <w:rPr>
          <w:rFonts w:ascii="Times New Roman" w:hAnsi="Times New Roman"/>
          <w:b/>
          <w:i w:val="false"/>
          <w:color w:val="000000"/>
          <w:sz w:val="22"/>
        </w:rPr>
        <w:t xml:space="preserve">(17A,22) </w:t>
      </w:r>
      <w:r>
        <w:rPr>
          <w:rFonts w:ascii="Times New Roman" w:hAnsi="Times New Roman"/>
          <w:b/>
          <w:i w:val="false"/>
          <w:color w:val="000000"/>
          <w:sz w:val="22"/>
        </w:rPr>
        <w:t xml:space="preserve">Statement of policy, purpose and scope of chapter.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purpose of this chapter is to facilitate public access to open records. It also seeks to facilitate department determinations with respect to the handling of confidential records and the implementation of the fair information practices Act. The department is committed to the policies set forth in Iowa Code chapter </w:t>
      </w:r>
      <w:hyperlink r:id="rId5">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department staff will cooperate with members of the public in implementing the provisions of that chapter.</w:t>
      </w:r>
    </w:p>
    <w:p>
      <w:pPr>
        <w:spacing w:before="0" w:after="0"/>
        <w:ind w:left="120"/>
        <w:jc w:val="both"/>
      </w:pPr>
      <w:r>
        <w:rPr>
          <w:rFonts w:ascii="Times New Roman" w:hAnsi="Times New Roman"/>
          <w:b w:val="false"/>
          <w:i w:val="false"/>
          <w:color w:val="000000"/>
          <w:sz w:val="22"/>
        </w:rPr>
        <w:t>These rules also implement the federal Health Insurance Portability and Accountability Act (HIPAA) regulations at 45 CFR Parts 160 and 164 as amended to June 25, 2024. These rules set forth the standards the department must meet to protect the privacy of protected health information. The department is a hybrid entity for purposes of HIPAA. The rules on protected health information apply only to those parts of the department that are considered part of the covered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w:t>
      </w:r>
      <w:r>
        <w:rPr>
          <w:rFonts w:ascii="Times New Roman" w:hAnsi="Times New Roman"/>
          <w:b w:val="false"/>
          <w:i w:val="false"/>
          <w:color w:val="000000"/>
          <w:sz w:val="22"/>
        </w:rPr>
        <w:t> </w:t>
      </w:r>
      <w:r>
        <w:rPr>
          <w:rFonts w:ascii="Times New Roman" w:hAnsi="Times New Roman"/>
          <w:b w:val="false"/>
          <w:i w:val="false"/>
          <w:color w:val="000000"/>
          <w:sz w:val="22"/>
        </w:rPr>
        <w:t>This chapter does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Require the agency to index or retrieve records that contain information about individuals by that person’s name or other personal identifier.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Make available to the general public records that would otherwise not be available under the public records law, Iowa Code chapter </w:t>
      </w:r>
      <w:hyperlink r:id="rId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Govern the maintenance or disclosure of, notification of, or access to records in the possession of the agency that are governed by the rules of another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Apply to grantees, including local governments or subdivisions thereof, administering state-funded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Make available records compiled by the agency in reasonable anticipation of court litigation or formal administrative proceedings. The availability of such records to the general public or to any subject individual or party to such litigation or proceedings shall be governed by applicable constitutional principles, statutes, rules of discovery, evidentiary privileges, and applicable rules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Require the agency to create, compare or procure a record solely for the purpose of making it available.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441—9.2</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Rescinded </w:t>
      </w:r>
      <w:r>
        <w:rPr>
          <w:rFonts w:ascii="Times New Roman" w:hAnsi="Times New Roman"/>
          <w:b/>
          <w:i w:val="false"/>
          <w:color w:val="000000"/>
          <w:sz w:val="22"/>
        </w:rPr>
        <w:t>ARC 0300D</w:t>
      </w:r>
      <w:r>
        <w:rPr>
          <w:rFonts w:ascii="Times New Roman" w:hAnsi="Times New Roman"/>
          <w:b w:val="false"/>
          <w:i w:val="false"/>
          <w:color w:val="000000"/>
          <w:sz w:val="22"/>
        </w:rPr>
        <w:t xml:space="preserve">, </w:t>
      </w:r>
      <w:r>
        <w:rPr>
          <w:rFonts w:ascii="Times New Roman" w:hAnsi="Times New Roman"/>
          <w:b w:val="false"/>
          <w:i w:val="false"/>
          <w:color w:val="000000"/>
          <w:sz w:val="22"/>
        </w:rPr>
        <w:t>IAB 5/27/26</w:t>
      </w:r>
      <w:r>
        <w:rPr>
          <w:rFonts w:ascii="Times New Roman" w:hAnsi="Times New Roman"/>
          <w:b w:val="false"/>
          <w:i w:val="false"/>
          <w:color w:val="000000"/>
          <w:sz w:val="22"/>
        </w:rPr>
        <w:t xml:space="preserve">, effective 7/1/26. </w:t>
      </w:r>
    </w:p>
    <w:p>
      <w:pPr>
        <w:spacing w:before="0" w:after="0"/>
        <w:ind w:left="120"/>
        <w:jc w:val="both"/>
      </w:pPr>
      <w:r>
        <w:rPr>
          <w:rFonts w:ascii="Times New Roman" w:hAnsi="Times New Roman"/>
          <w:b/>
          <w:i w:val="false"/>
          <w:color w:val="000000"/>
          <w:sz w:val="22"/>
        </w:rPr>
        <w:t>441—9.3</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w:t>
      </w:r>
      <w:r>
        <w:rPr>
          <w:rFonts w:ascii="Times New Roman" w:hAnsi="Times New Roman"/>
          <w:b w:val="false"/>
          <w:i w:val="false"/>
          <w:color w:val="000000"/>
          <w:sz w:val="22"/>
        </w:rPr>
        <w:t> </w:t>
      </w:r>
      <w:r>
        <w:rPr>
          <w:rFonts w:ascii="Times New Roman" w:hAnsi="Times New Roman"/>
          <w:b w:val="false"/>
          <w:i/>
          <w:color w:val="000000"/>
          <w:sz w:val="22"/>
        </w:rPr>
        <w:t xml:space="preserve">Location of record. </w:t>
      </w:r>
      <w:r>
        <w:rPr>
          <w:rFonts w:ascii="Times New Roman" w:hAnsi="Times New Roman"/>
          <w:b w:val="false"/>
          <w:i w:val="false"/>
          <w:color w:val="000000"/>
          <w:sz w:val="22"/>
        </w:rPr>
        <w:t>A request for access to a record should be directed to the Records Officer, 321 East 12th Street, Des Moines, Iowa 50319. If a request for access to a record is misdirected, department personnel will promptly forward the request to the department’s records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Open records shall be made available during all customary office hours, which are 8 a.m. to 4:30 p.m. daily, excluding Saturdays, Sundays and legal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9.3(3)</w:t>
      </w:r>
      <w:r>
        <w:rPr>
          <w:rFonts w:ascii="Times New Roman" w:hAnsi="Times New Roman"/>
          <w:b w:val="false"/>
          <w:i w:val="false"/>
          <w:color w:val="000000"/>
          <w:sz w:val="22"/>
        </w:rPr>
        <w:t> </w:t>
      </w:r>
      <w:r>
        <w:rPr>
          <w:rFonts w:ascii="Times New Roman" w:hAnsi="Times New Roman"/>
          <w:b w:val="false"/>
          <w:i/>
          <w:color w:val="000000"/>
          <w:sz w:val="22"/>
        </w:rPr>
        <w:t xml:space="preserve">Request for access. </w:t>
      </w:r>
      <w:r>
        <w:rPr>
          <w:rFonts w:ascii="Times New Roman" w:hAnsi="Times New Roman"/>
          <w:b w:val="false"/>
          <w:i w:val="false"/>
          <w:color w:val="000000"/>
          <w:sz w:val="22"/>
        </w:rPr>
        <w:t>Requests for access to open records may be made in writing, in person, or by telephone. Requests shall identify the particular records sought by name or description. Mail or telephone requests shall include the name, address, and telephone number of the person requesting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9.3(4)</w:t>
      </w:r>
      <w:r>
        <w:rPr>
          <w:rFonts w:ascii="Times New Roman" w:hAnsi="Times New Roman"/>
          <w:b w:val="false"/>
          <w:i w:val="false"/>
          <w:color w:val="000000"/>
          <w:sz w:val="22"/>
        </w:rPr>
        <w:t> </w:t>
      </w:r>
      <w:r>
        <w:rPr>
          <w:rFonts w:ascii="Times New Roman" w:hAnsi="Times New Roman"/>
          <w:b w:val="false"/>
          <w:i/>
          <w:color w:val="000000"/>
          <w:sz w:val="22"/>
        </w:rPr>
        <w:t xml:space="preserve">Response to requests. </w:t>
      </w:r>
      <w:r>
        <w:rPr>
          <w:rFonts w:ascii="Times New Roman" w:hAnsi="Times New Roman"/>
          <w:b w:val="false"/>
          <w:i w:val="false"/>
          <w:color w:val="000000"/>
          <w:sz w:val="22"/>
        </w:rPr>
        <w:t xml:space="preserve">Access to an open record will be provided upon request unless the size or nature of the request makes prompt access infeasible. If the size or nature of the request for access to an open record requires time for compliance, the custodian shall comply with the request as soon as feasible. Access to an open record may be delayed for one of the purposes authorized by Iowa Code section </w:t>
      </w:r>
      <w:hyperlink r:id="rId7">
        <w:r>
          <w:rPr>
            <w:rStyle w:val="Hyperlink"/>
            <w:rFonts w:ascii="Times New Roman" w:hAnsi="Times New Roman"/>
            <w:b w:val="false"/>
            <w:i w:val="false"/>
            <w:color w:val="000000"/>
            <w:sz w:val="22"/>
          </w:rPr>
          <w:t>22.8(4)</w:t>
        </w:r>
      </w:hyperlink>
      <w:r>
        <w:rPr>
          <w:rFonts w:ascii="Times New Roman" w:hAnsi="Times New Roman"/>
          <w:b w:val="false"/>
          <w:i w:val="false"/>
          <w:color w:val="000000"/>
          <w:sz w:val="22"/>
        </w:rPr>
        <w:t xml:space="preserve"> or </w:t>
      </w:r>
      <w:hyperlink r:id="rId8">
        <w:r>
          <w:rPr>
            <w:rStyle w:val="Hyperlink"/>
            <w:rFonts w:ascii="Times New Roman" w:hAnsi="Times New Roman"/>
            <w:b w:val="false"/>
            <w:i w:val="false"/>
            <w:color w:val="000000"/>
            <w:sz w:val="22"/>
          </w:rPr>
          <w:t>22.10(4)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The custodian of a record may deny access to the record by members of the public only on the grounds that such a denial is warranted under Iowa Code sections </w:t>
      </w:r>
      <w:hyperlink r:id="rId9">
        <w:r>
          <w:rPr>
            <w:rStyle w:val="Hyperlink"/>
            <w:rFonts w:ascii="Times New Roman" w:hAnsi="Times New Roman"/>
            <w:b w:val="false"/>
            <w:i w:val="false"/>
            <w:color w:val="000000"/>
            <w:sz w:val="22"/>
          </w:rPr>
          <w:t>22.8(4)</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22.10(4)</w:t>
        </w:r>
      </w:hyperlink>
      <w:r>
        <w:rPr>
          <w:rFonts w:ascii="Times New Roman" w:hAnsi="Times New Roman"/>
          <w:b w:val="false"/>
          <w:i w:val="false"/>
          <w:color w:val="000000"/>
          <w:sz w:val="22"/>
        </w:rPr>
        <w:t xml:space="preserve">, or that it is a confidential record, or that its disclosure is prohibited by a court order. Access by members of the public to a confidential record is limited by law and, therefore, may generally be provided only in accordance with the provisions of rule </w:t>
      </w:r>
      <w:hyperlink r:id="rId11">
        <w:r>
          <w:rPr>
            <w:rStyle w:val="Hyperlink"/>
            <w:rFonts w:ascii="Times New Roman" w:hAnsi="Times New Roman"/>
            <w:b w:val="false"/>
            <w:i w:val="false"/>
            <w:color w:val="000000"/>
            <w:sz w:val="22"/>
          </w:rPr>
          <w:t>441—9.4(17A,22)</w:t>
        </w:r>
      </w:hyperlink>
      <w:r>
        <w:rPr>
          <w:rFonts w:ascii="Times New Roman" w:hAnsi="Times New Roman"/>
          <w:b w:val="false"/>
          <w:i w:val="false"/>
          <w:color w:val="000000"/>
          <w:sz w:val="22"/>
        </w:rPr>
        <w:t xml:space="preserve"> and other applicable provisions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w:t>
      </w:r>
      <w:r>
        <w:rPr>
          <w:rFonts w:ascii="Times New Roman" w:hAnsi="Times New Roman"/>
          <w:b w:val="false"/>
          <w:i w:val="false"/>
          <w:color w:val="000000"/>
          <w:sz w:val="22"/>
        </w:rPr>
        <w:t> </w:t>
      </w:r>
      <w:r>
        <w:rPr>
          <w:rFonts w:ascii="Times New Roman" w:hAnsi="Times New Roman"/>
          <w:b w:val="false"/>
          <w:i/>
          <w:color w:val="000000"/>
          <w:sz w:val="22"/>
        </w:rPr>
        <w:t xml:space="preserve">Security of record. </w:t>
      </w:r>
      <w:r>
        <w:rPr>
          <w:rFonts w:ascii="Times New Roman" w:hAnsi="Times New Roman"/>
          <w:b w:val="false"/>
          <w:i w:val="false"/>
          <w:color w:val="000000"/>
          <w:sz w:val="22"/>
        </w:rPr>
        <w:t>No person may, without permission from the custodian, search or remove any record from department files. Examination and copying of department records shall be supervised by the custodian or a designee of the custodian. Records shall be protected from damage and disorganization.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9.3(6)</w:t>
      </w:r>
      <w:r>
        <w:rPr>
          <w:rFonts w:ascii="Times New Roman" w:hAnsi="Times New Roman"/>
          <w:b w:val="false"/>
          <w:i w:val="false"/>
          <w:color w:val="000000"/>
          <w:sz w:val="22"/>
        </w:rPr>
        <w:t> </w:t>
      </w:r>
      <w:r>
        <w:rPr>
          <w:rFonts w:ascii="Times New Roman" w:hAnsi="Times New Roman"/>
          <w:b w:val="false"/>
          <w:i/>
          <w:color w:val="000000"/>
          <w:sz w:val="22"/>
        </w:rPr>
        <w:t xml:space="preserve">Copying. </w:t>
      </w:r>
      <w:r>
        <w:rPr>
          <w:rFonts w:ascii="Times New Roman" w:hAnsi="Times New Roman"/>
          <w:b w:val="false"/>
          <w:i w:val="false"/>
          <w:color w:val="000000"/>
          <w:sz w:val="22"/>
        </w:rPr>
        <w:t>A reasonable number of copies of an open record may be made in the department office. If photocopy equipment is not available in the department office where an open record is kept, the custodian shall permit its examination in that office and shall arrange to have copies promptly made elsewhere.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9.3(7)</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 xml:space="preserve">The department may charge fees as permitted by Iowa Code chapter </w:t>
      </w:r>
      <w:hyperlink r:id="rId12">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The department will publish a fee schedule for open records on its website. The department may charge a fee for the cost of preparing an explanation or summary of health information. The department and the subject requesting the information shall agree to the amount of any fee imposed before the department prepares the explanation or summary.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441—9.4</w:t>
      </w:r>
      <w:r>
        <w:rPr>
          <w:rFonts w:ascii="Times New Roman" w:hAnsi="Times New Roman"/>
          <w:b/>
          <w:i w:val="false"/>
          <w:color w:val="000000"/>
          <w:sz w:val="22"/>
        </w:rPr>
        <w:t xml:space="preserve">(17A,22) </w:t>
      </w:r>
      <w:r>
        <w:rPr>
          <w:rFonts w:ascii="Times New Roman" w:hAnsi="Times New Roman"/>
          <w:b/>
          <w:i w:val="false"/>
          <w:color w:val="000000"/>
          <w:sz w:val="22"/>
        </w:rPr>
        <w:t xml:space="preserve">Access to confidential records. </w:t>
      </w:r>
      <w:r>
        <w:rPr>
          <w:rFonts w:ascii="Times New Roman" w:hAnsi="Times New Roman"/>
          <w:b w:val="false"/>
          <w:i w:val="false"/>
          <w:color w:val="000000"/>
          <w:sz w:val="22"/>
        </w:rPr>
        <w:t xml:space="preserve">Under Iowa Code section </w:t>
      </w:r>
      <w:hyperlink r:id="rId13">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applicable provisions of law, the lawful custodian may disclose certain confidential records to one or more members of the public. Other provisions of law authorize or require the custodian to release specified confidential records under certain circumstances or to particular persons. In requesting the custodian to permit the examination and copying of such a confidential record, the following procedures apply and are in addition to those specified for requests for access to records in rule </w:t>
      </w:r>
      <w:hyperlink r:id="rId14">
        <w:r>
          <w:rPr>
            <w:rStyle w:val="Hyperlink"/>
            <w:rFonts w:ascii="Times New Roman" w:hAnsi="Times New Roman"/>
            <w:b w:val="false"/>
            <w:i w:val="false"/>
            <w:color w:val="000000"/>
            <w:sz w:val="22"/>
          </w:rPr>
          <w:t>441—9.3(17A,22)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w:t>
      </w:r>
      <w:r>
        <w:rPr>
          <w:rFonts w:ascii="Times New Roman" w:hAnsi="Times New Roman"/>
          <w:b w:val="false"/>
          <w:i w:val="false"/>
          <w:color w:val="000000"/>
          <w:sz w:val="22"/>
        </w:rPr>
        <w:t> </w:t>
      </w:r>
      <w:r>
        <w:rPr>
          <w:rFonts w:ascii="Times New Roman" w:hAnsi="Times New Roman"/>
          <w:b w:val="false"/>
          <w:i/>
          <w:color w:val="000000"/>
          <w:sz w:val="22"/>
        </w:rPr>
        <w:t xml:space="preserve">Proof of identity. </w:t>
      </w:r>
      <w:r>
        <w:rPr>
          <w:rFonts w:ascii="Times New Roman" w:hAnsi="Times New Roman"/>
          <w:b w:val="false"/>
          <w:i w:val="false"/>
          <w:color w:val="000000"/>
          <w:sz w:val="22"/>
        </w:rPr>
        <w:t>A person requesting access to a confidential record may be required to provide proof of identity or authority to secure access 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9.4(2)</w:t>
      </w:r>
      <w:r>
        <w:rPr>
          <w:rFonts w:ascii="Times New Roman" w:hAnsi="Times New Roman"/>
          <w:b w:val="false"/>
          <w:i w:val="false"/>
          <w:color w:val="000000"/>
          <w:sz w:val="22"/>
        </w:rPr>
        <w:t> </w:t>
      </w:r>
      <w:r>
        <w:rPr>
          <w:rFonts w:ascii="Times New Roman" w:hAnsi="Times New Roman"/>
          <w:b w:val="false"/>
          <w:i/>
          <w:color w:val="000000"/>
          <w:sz w:val="22"/>
        </w:rPr>
        <w:t xml:space="preserve">Requests. </w:t>
      </w:r>
      <w:r>
        <w:rPr>
          <w:rFonts w:ascii="Times New Roman" w:hAnsi="Times New Roman"/>
          <w:b w:val="false"/>
          <w:i w:val="false"/>
          <w:color w:val="000000"/>
          <w:sz w:val="22"/>
        </w:rPr>
        <w:t>The custodian may require a request to examine and copy a confidential record to be in writing. A person requesting access to such a record may be required to sign a certified statement or affidavit enumerating the specific reasons justifying access to the confidential record and to provide any proof necessary to establish relevant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w:t>
      </w:r>
      <w:r>
        <w:rPr>
          <w:rFonts w:ascii="Times New Roman" w:hAnsi="Times New Roman"/>
          <w:b w:val="false"/>
          <w:i w:val="false"/>
          <w:color w:val="000000"/>
          <w:sz w:val="22"/>
        </w:rPr>
        <w:t> </w:t>
      </w:r>
      <w:r>
        <w:rPr>
          <w:rFonts w:ascii="Times New Roman" w:hAnsi="Times New Roman"/>
          <w:b w:val="false"/>
          <w:i/>
          <w:color w:val="000000"/>
          <w:sz w:val="22"/>
        </w:rPr>
        <w:t xml:space="preserve">Notice to subject of record and opportunity to obtain injunction. </w:t>
      </w:r>
      <w:r>
        <w:rPr>
          <w:rFonts w:ascii="Times New Roman" w:hAnsi="Times New Roman"/>
          <w:b w:val="false"/>
          <w:i w:val="false"/>
          <w:color w:val="000000"/>
          <w:sz w:val="22"/>
        </w:rPr>
        <w:t xml:space="preserve">Except as provided in </w:t>
      </w:r>
      <w:hyperlink r:id="rId15">
        <w:r>
          <w:rPr>
            <w:rStyle w:val="Hyperlink"/>
            <w:rFonts w:ascii="Times New Roman" w:hAnsi="Times New Roman"/>
            <w:b w:val="false"/>
            <w:i w:val="false"/>
            <w:color w:val="000000"/>
            <w:sz w:val="22"/>
          </w:rPr>
          <w:t>441—subrule 175.41(2)</w:t>
        </w:r>
      </w:hyperlink>
      <w:r>
        <w:rPr>
          <w:rFonts w:ascii="Times New Roman" w:hAnsi="Times New Roman"/>
          <w:b w:val="false"/>
          <w:i w:val="false"/>
          <w:color w:val="000000"/>
          <w:sz w:val="22"/>
        </w:rPr>
        <w:t xml:space="preserve">, after the custodian receives a request for access to a confidential record, and before the custodian releases such a record, the custodian may make reasonable efforts to notify promptly any person who is a subject of that record, is identified in that record, and whose address or telephone number is contained in that record. To the extent such a delay is practicable and in the public interest, the custodian may give the subject of such a confidential record to whom notification is transmitted a reasonable opportunity to seek an injunction under Iowa Code section </w:t>
      </w:r>
      <w:hyperlink r:id="rId16">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and indicate to the subject of the record the specific period of time during which disclosure will be delayed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9.4(4)</w:t>
      </w:r>
      <w:r>
        <w:rPr>
          <w:rFonts w:ascii="Times New Roman" w:hAnsi="Times New Roman"/>
          <w:b w:val="false"/>
          <w:i w:val="false"/>
          <w:color w:val="000000"/>
          <w:sz w:val="22"/>
        </w:rPr>
        <w:t> </w:t>
      </w:r>
      <w:r>
        <w:rPr>
          <w:rFonts w:ascii="Times New Roman" w:hAnsi="Times New Roman"/>
          <w:b w:val="false"/>
          <w:i/>
          <w:color w:val="000000"/>
          <w:sz w:val="22"/>
        </w:rPr>
        <w:t xml:space="preserve">Request denied. </w:t>
      </w:r>
      <w:r>
        <w:rPr>
          <w:rFonts w:ascii="Times New Roman" w:hAnsi="Times New Roman"/>
          <w:b w:val="false"/>
          <w:i w:val="false"/>
          <w:color w:val="000000"/>
          <w:sz w:val="22"/>
        </w:rPr>
        <w:t>When the custodian denies a request for access to a confidential record, the custodian shall promptly notify the requester. If the requester indicates to the custodian that a written notification of the denial is desired, the custodian shall promptly provide such a notification that is signed by the custodian and that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title or position of the custodian responsible for the denial;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citation to the provision of law vesting authority in the custodian to deny disclosure of the record and a brief statement of the reasons for the denial to this requester.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9.4(5)</w:t>
      </w:r>
      <w:r>
        <w:rPr>
          <w:rFonts w:ascii="Times New Roman" w:hAnsi="Times New Roman"/>
          <w:b w:val="false"/>
          <w:i w:val="false"/>
          <w:color w:val="000000"/>
          <w:sz w:val="22"/>
        </w:rPr>
        <w:t> </w:t>
      </w:r>
      <w:r>
        <w:rPr>
          <w:rFonts w:ascii="Times New Roman" w:hAnsi="Times New Roman"/>
          <w:b w:val="false"/>
          <w:i/>
          <w:color w:val="000000"/>
          <w:sz w:val="22"/>
        </w:rPr>
        <w:t xml:space="preserve">Request granted. </w:t>
      </w:r>
      <w:r>
        <w:rPr>
          <w:rFonts w:ascii="Times New Roman" w:hAnsi="Times New Roman"/>
          <w:b w:val="false"/>
          <w:i w:val="false"/>
          <w:color w:val="000000"/>
          <w:sz w:val="22"/>
        </w:rPr>
        <w:t xml:space="preserve">Except as provided in </w:t>
      </w:r>
      <w:hyperlink r:id="rId17">
        <w:r>
          <w:rPr>
            <w:rStyle w:val="Hyperlink"/>
            <w:rFonts w:ascii="Times New Roman" w:hAnsi="Times New Roman"/>
            <w:b w:val="false"/>
            <w:i w:val="false"/>
            <w:color w:val="000000"/>
            <w:sz w:val="22"/>
          </w:rPr>
          <w:t>441—subrule 175.41(2)</w:t>
        </w:r>
      </w:hyperlink>
      <w:r>
        <w:rPr>
          <w:rFonts w:ascii="Times New Roman" w:hAnsi="Times New Roman"/>
          <w:b w:val="false"/>
          <w:i w:val="false"/>
          <w:color w:val="000000"/>
          <w:sz w:val="22"/>
        </w:rPr>
        <w:t>, when the custodian grants a request for access to a confidential record, the custodian shall notify the requester or the person who is to receive the information and include any limits on the examination and copying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9.4(6)</w:t>
      </w:r>
      <w:r>
        <w:rPr>
          <w:rFonts w:ascii="Times New Roman" w:hAnsi="Times New Roman"/>
          <w:b w:val="false"/>
          <w:i w:val="false"/>
          <w:color w:val="000000"/>
          <w:sz w:val="22"/>
        </w:rPr>
        <w:t> </w:t>
      </w:r>
      <w:r>
        <w:rPr>
          <w:rFonts w:ascii="Times New Roman" w:hAnsi="Times New Roman"/>
          <w:b w:val="false"/>
          <w:i/>
          <w:color w:val="000000"/>
          <w:sz w:val="22"/>
        </w:rPr>
        <w:t xml:space="preserve">Records requiring special procedures. </w:t>
      </w:r>
      <w:r>
        <w:rPr>
          <w:rFonts w:ascii="Times New Roman" w:hAnsi="Times New Roman"/>
          <w:b w:val="false"/>
          <w:i w:val="false"/>
          <w:color w:val="000000"/>
          <w:sz w:val="22"/>
        </w:rPr>
        <w:t>Special procedures are required for access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Child abuse information. Access to child abuse information is obtained according to rules </w:t>
      </w:r>
      <w:hyperlink r:id="rId18">
        <w:r>
          <w:rPr>
            <w:rStyle w:val="Hyperlink"/>
            <w:rFonts w:ascii="Times New Roman" w:hAnsi="Times New Roman"/>
            <w:b w:val="false"/>
            <w:i w:val="false"/>
            <w:color w:val="000000"/>
            <w:sz w:val="22"/>
          </w:rPr>
          <w:t>441—175.41(235A)</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441—175.42(235A)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Dependent adult abuse information. Access to adult abuse information is governed by rule </w:t>
      </w:r>
      <w:hyperlink r:id="rId20">
        <w:r>
          <w:rPr>
            <w:rStyle w:val="Hyperlink"/>
            <w:rFonts w:ascii="Times New Roman" w:hAnsi="Times New Roman"/>
            <w:b w:val="false"/>
            <w:i w:val="false"/>
            <w:color w:val="000000"/>
            <w:sz w:val="22"/>
          </w:rPr>
          <w:t>441—176.9(235A)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441—9.5</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treatment of a record as a confidential record and its withholding from examinations. </w:t>
      </w:r>
      <w:r>
        <w:rPr>
          <w:rFonts w:ascii="Times New Roman" w:hAnsi="Times New Roman"/>
          <w:b w:val="false"/>
          <w:i w:val="false"/>
          <w:color w:val="000000"/>
          <w:sz w:val="22"/>
        </w:rPr>
        <w:t xml:space="preserve">The custodian may treat a record as a confidential record and withhold it from examination only to the extent that the custodian is authorized by Iowa Code section </w:t>
      </w:r>
      <w:hyperlink r:id="rId21">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another applicable provision of law, or a court order, to refuse to disclose that record to members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w:t>
      </w:r>
      <w:r>
        <w:rPr>
          <w:rFonts w:ascii="Times New Roman" w:hAnsi="Times New Roman"/>
          <w:b w:val="false"/>
          <w:i w:val="false"/>
          <w:color w:val="000000"/>
          <w:sz w:val="22"/>
        </w:rPr>
        <w:t> </w:t>
      </w:r>
      <w:r>
        <w:rPr>
          <w:rFonts w:ascii="Times New Roman" w:hAnsi="Times New Roman"/>
          <w:b w:val="false"/>
          <w:i/>
          <w:color w:val="000000"/>
          <w:sz w:val="22"/>
        </w:rPr>
        <w:t xml:space="preserve">Persons who may request. </w:t>
      </w:r>
      <w:r>
        <w:rPr>
          <w:rFonts w:ascii="Times New Roman" w:hAnsi="Times New Roman"/>
          <w:b w:val="false"/>
          <w:i w:val="false"/>
          <w:color w:val="000000"/>
          <w:sz w:val="22"/>
        </w:rPr>
        <w:t xml:space="preserve">Any person who would be aggrieved or adversely affected by disclosure of a record and who asserts that Iowa Code section </w:t>
      </w:r>
      <w:hyperlink r:id="rId22">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another applicable provision of law, or a court order, authorizes the custodian to treat the record as a confidential record, may request the custodian to treat that record as a confidential record and to withhold it from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w:t>
      </w:r>
      <w:r>
        <w:rPr>
          <w:rFonts w:ascii="Times New Roman" w:hAnsi="Times New Roman"/>
          <w:b w:val="false"/>
          <w:i w:val="false"/>
          <w:color w:val="000000"/>
          <w:sz w:val="22"/>
        </w:rPr>
        <w:t> </w:t>
      </w:r>
      <w:r>
        <w:rPr>
          <w:rFonts w:ascii="Times New Roman" w:hAnsi="Times New Roman"/>
          <w:b w:val="false"/>
          <w:i/>
          <w:color w:val="000000"/>
          <w:sz w:val="22"/>
        </w:rPr>
        <w:t xml:space="preserve">Request. </w:t>
      </w:r>
      <w:r>
        <w:rPr>
          <w:rFonts w:ascii="Times New Roman" w:hAnsi="Times New Roman"/>
          <w:b w:val="false"/>
          <w:i w:val="false"/>
          <w:color w:val="000000"/>
          <w:sz w:val="22"/>
        </w:rPr>
        <w:t>A request that a record be treated as a confidential record and be withheld from public inspection shall be in writing and shall be filed with the custodian.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request must set forth the legal and factual basis justifying such confidential record treatment for that record, and the name, address, and telephone number of the person authorized to respond to any inquiry or action of the custodian concerning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person requesting treatment of a record as a confidential record may also be required to sign a certified statement or affidavit stating the specific reasons justifying the treatment of that record as a confidential record and to provide any proof necessary to establish relevant facts.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Requests to temporarily treat a record as a confidential record shall specify the precise period of time for which that treatment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person filing such a request shall, if possible, provide a copy of the record in question from which those portions for which such confidential record treatment has been requested have been deleted. If the original record is being submitted to the department by the person requesting confidential treatment at the time the request is filed, the person shall indicate conspicuously on the original record that all or portions of it are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9.5(3)</w:t>
      </w:r>
      <w:r>
        <w:rPr>
          <w:rFonts w:ascii="Times New Roman" w:hAnsi="Times New Roman"/>
          <w:b w:val="false"/>
          <w:i w:val="false"/>
          <w:color w:val="000000"/>
          <w:sz w:val="22"/>
        </w:rPr>
        <w:t> </w:t>
      </w:r>
      <w:r>
        <w:rPr>
          <w:rFonts w:ascii="Times New Roman" w:hAnsi="Times New Roman"/>
          <w:b w:val="false"/>
          <w:i/>
          <w:color w:val="000000"/>
          <w:sz w:val="22"/>
        </w:rPr>
        <w:t xml:space="preserve">Failure to request. </w:t>
      </w:r>
      <w:r>
        <w:rPr>
          <w:rFonts w:ascii="Times New Roman" w:hAnsi="Times New Roman"/>
          <w:b w:val="false"/>
          <w:i w:val="false"/>
          <w:color w:val="000000"/>
          <w:sz w:val="22"/>
        </w:rPr>
        <w:t xml:space="preserve">Failure of a person to request confidential record treatment for a record does not preclude the custodian from treating it as a confidential record. However, if a person who has submitted business information to the department does not request that it be withheld from public inspection under Iowa Code section </w:t>
      </w:r>
      <w:hyperlink r:id="rId23">
        <w:r>
          <w:rPr>
            <w:rStyle w:val="Hyperlink"/>
            <w:rFonts w:ascii="Times New Roman" w:hAnsi="Times New Roman"/>
            <w:b w:val="false"/>
            <w:i w:val="false"/>
            <w:color w:val="000000"/>
            <w:sz w:val="22"/>
          </w:rPr>
          <w:t>22.7(3)</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22.7(6)</w:t>
        </w:r>
      </w:hyperlink>
      <w:r>
        <w:rPr>
          <w:rFonts w:ascii="Times New Roman" w:hAnsi="Times New Roman"/>
          <w:b w:val="false"/>
          <w:i w:val="false"/>
          <w:color w:val="000000"/>
          <w:sz w:val="22"/>
        </w:rPr>
        <w:t>, the custodian of records containing that information may proceed as if that person has no objection to its disclosure to members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9.5(4)</w:t>
      </w:r>
      <w:r>
        <w:rPr>
          <w:rFonts w:ascii="Times New Roman" w:hAnsi="Times New Roman"/>
          <w:b w:val="false"/>
          <w:i w:val="false"/>
          <w:color w:val="000000"/>
          <w:sz w:val="22"/>
        </w:rPr>
        <w:t> </w:t>
      </w:r>
      <w:r>
        <w:rPr>
          <w:rFonts w:ascii="Times New Roman" w:hAnsi="Times New Roman"/>
          <w:b w:val="false"/>
          <w:i/>
          <w:color w:val="000000"/>
          <w:sz w:val="22"/>
        </w:rPr>
        <w:t xml:space="preserve">Timing of decision. </w:t>
      </w:r>
      <w:r>
        <w:rPr>
          <w:rFonts w:ascii="Times New Roman" w:hAnsi="Times New Roman"/>
          <w:b w:val="false"/>
          <w:i w:val="false"/>
          <w:color w:val="000000"/>
          <w:sz w:val="22"/>
        </w:rPr>
        <w:t>A decision by the custodian with respect to the disclosure of a record to members of the public may be made when a request for its treatment as a confidential record that is not available for public inspection is filed, or when the custodian receives a request for access to the record by a member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9.5(5)</w:t>
      </w:r>
      <w:r>
        <w:rPr>
          <w:rFonts w:ascii="Times New Roman" w:hAnsi="Times New Roman"/>
          <w:b w:val="false"/>
          <w:i w:val="false"/>
          <w:color w:val="000000"/>
          <w:sz w:val="22"/>
        </w:rPr>
        <w:t> </w:t>
      </w:r>
      <w:r>
        <w:rPr>
          <w:rFonts w:ascii="Times New Roman" w:hAnsi="Times New Roman"/>
          <w:b w:val="false"/>
          <w:i/>
          <w:color w:val="000000"/>
          <w:sz w:val="22"/>
        </w:rPr>
        <w:t xml:space="preserve">Request granted or deferred. </w:t>
      </w:r>
      <w:r>
        <w:rPr>
          <w:rFonts w:ascii="Times New Roman" w:hAnsi="Times New Roman"/>
          <w:b w:val="false"/>
          <w:i w:val="false"/>
          <w:color w:val="000000"/>
          <w:sz w:val="22"/>
        </w:rPr>
        <w:t>If a request for such confidential record treatment is granted, or if action on such a request is deferred, a copy of the record from which the matter in question has been deleted and a copy of the decision to grant the request or to defer action upon the request will be made available for public inspection in lieu of the original record. If the custodian subsequently receives a request for access to the original record, the custodian will make reasonable and timely efforts to notify any person who has filed a request for its treatment as a confidential record that is not available for public inspection of the pendency of that subsequent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w:t>
      </w:r>
      <w:r>
        <w:rPr>
          <w:rFonts w:ascii="Times New Roman" w:hAnsi="Times New Roman"/>
          <w:b w:val="false"/>
          <w:i w:val="false"/>
          <w:color w:val="000000"/>
          <w:sz w:val="22"/>
        </w:rPr>
        <w:t> </w:t>
      </w:r>
      <w:r>
        <w:rPr>
          <w:rFonts w:ascii="Times New Roman" w:hAnsi="Times New Roman"/>
          <w:b w:val="false"/>
          <w:i/>
          <w:color w:val="000000"/>
          <w:sz w:val="22"/>
        </w:rPr>
        <w:t xml:space="preserve">Request denied and opportunity to seek injunction. </w:t>
      </w:r>
      <w:r>
        <w:rPr>
          <w:rFonts w:ascii="Times New Roman" w:hAnsi="Times New Roman"/>
          <w:b w:val="false"/>
          <w:i w:val="false"/>
          <w:color w:val="000000"/>
          <w:sz w:val="22"/>
        </w:rPr>
        <w:t xml:space="preserve">If a request that a record be treated as a confidential record and be withheld from public inspection is denied, the custodian shall notify the requester in writing of that determination and the reasons therefor. On application by the requester, the custodian may engage in a good faith, reasonable delay in allowing examination of the record so that the requester may seek injunctive relief under the provisions of Iowa Code section </w:t>
      </w:r>
      <w:hyperlink r:id="rId25">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or other applicable provision of law. However, such a record shall not be withheld from public inspection for any period of time if the custodian determines that the requester had no reasonable grounds to justify the treatment of that record as a confidential record. The custodian shall notify requester in writing of the time period allowed to seek injunctive relief or the reasons for the determination that no reasonable grounds exist to justify the treatment of that record as a confidential record. The custodian may extend the period of good faith, reasonable delay in allowing examination of the record so that the requester may seek injunctive relief only if no request for examination of that record has been received, or if a court directs the custodian to treat it as a confidential record, or to the extent permitted by another applicable provision of law, or with the consent of the person requesting access.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9.5(7)</w:t>
      </w:r>
      <w:r>
        <w:rPr>
          <w:rFonts w:ascii="Times New Roman" w:hAnsi="Times New Roman"/>
          <w:b w:val="false"/>
          <w:i w:val="false"/>
          <w:color w:val="000000"/>
          <w:sz w:val="22"/>
        </w:rPr>
        <w:t> </w:t>
      </w:r>
      <w:r>
        <w:rPr>
          <w:rFonts w:ascii="Times New Roman" w:hAnsi="Times New Roman"/>
          <w:b w:val="false"/>
          <w:i/>
          <w:color w:val="000000"/>
          <w:sz w:val="22"/>
        </w:rPr>
        <w:t xml:space="preserve">Requesting privacy protection for protected health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Requesting restrictions on protected health information use or disclosure. </w:t>
      </w:r>
      <w:r>
        <w:rPr>
          <w:rFonts w:ascii="Times New Roman" w:hAnsi="Times New Roman"/>
          <w:b w:val="false"/>
          <w:i w:val="false"/>
          <w:color w:val="000000"/>
          <w:sz w:val="22"/>
        </w:rPr>
        <w:t>The department will follow the requirements of 45 CFR §164.522 as amended to March 26, 2013, in responding to these requests.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Requesting the receipt of communications of protected health information by alternative means or at alternative locations. </w:t>
      </w:r>
      <w:r>
        <w:rPr>
          <w:rFonts w:ascii="Times New Roman" w:hAnsi="Times New Roman"/>
          <w:b w:val="false"/>
          <w:i w:val="false"/>
          <w:color w:val="000000"/>
          <w:sz w:val="22"/>
        </w:rPr>
        <w:t>The department will follow the requirements of 45 CFR §164.522 as amended to March 26, 2013, in responding to these requests. For Medicaid and hawki, the subject is required to clearly indicate the reason for requesting the confidential communication. Facilities shall not require the subject to explain the basis for the request as a condition of providing confidential communications.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441—9.6</w:t>
      </w:r>
      <w:r>
        <w:rPr>
          <w:rFonts w:ascii="Times New Roman" w:hAnsi="Times New Roman"/>
          <w:b/>
          <w:i w:val="false"/>
          <w:color w:val="000000"/>
          <w:sz w:val="22"/>
        </w:rPr>
        <w:t xml:space="preserve">(17A,22) </w:t>
      </w:r>
      <w:r>
        <w:rPr>
          <w:rFonts w:ascii="Times New Roman" w:hAnsi="Times New Roman"/>
          <w:b/>
          <w:i w:val="false"/>
          <w:color w:val="000000"/>
          <w:sz w:val="22"/>
        </w:rPr>
        <w:t xml:space="preserve">Procedure by which additions, dissents, or objections may be entered into certain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w:t>
      </w:r>
      <w:r>
        <w:rPr>
          <w:rFonts w:ascii="Times New Roman" w:hAnsi="Times New Roman"/>
          <w:b w:val="false"/>
          <w:i w:val="false"/>
          <w:color w:val="000000"/>
          <w:sz w:val="22"/>
        </w:rPr>
        <w:t> </w:t>
      </w:r>
      <w:r>
        <w:rPr>
          <w:rFonts w:ascii="Times New Roman" w:hAnsi="Times New Roman"/>
          <w:b w:val="false"/>
          <w:i/>
          <w:color w:val="000000"/>
          <w:sz w:val="22"/>
        </w:rPr>
        <w:t xml:space="preserve">All programs. </w:t>
      </w:r>
      <w:r>
        <w:rPr>
          <w:rFonts w:ascii="Times New Roman" w:hAnsi="Times New Roman"/>
          <w:b w:val="false"/>
          <w:i w:val="false"/>
          <w:color w:val="000000"/>
          <w:sz w:val="22"/>
        </w:rPr>
        <w:t>Except as otherwise provided by law, a subject may file a request with the custodian to review, and to have a written statement of additions, dissents, or objections entered into, a record containing personally identifiable information pertaining to that subject. However, the subject is not authorized to alter the original copy of the record or to expand the official record of any department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subject shall send the request to review such a record or the written statement of additions, dissents, or objections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request to review such a record or the written statement of additions, dissents, or objections must be dated and signed by the subject and shall include the current address and telephone number of the subject or the subject’s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w:t>
      </w:r>
      <w:r>
        <w:rPr>
          <w:rFonts w:ascii="Times New Roman" w:hAnsi="Times New Roman"/>
          <w:b w:val="false"/>
          <w:i w:val="false"/>
          <w:color w:val="000000"/>
          <w:sz w:val="22"/>
        </w:rPr>
        <w:t> </w:t>
      </w:r>
      <w:r>
        <w:rPr>
          <w:rFonts w:ascii="Times New Roman" w:hAnsi="Times New Roman"/>
          <w:b w:val="false"/>
          <w:i/>
          <w:color w:val="000000"/>
          <w:sz w:val="22"/>
        </w:rPr>
        <w:t xml:space="preserve">Additional procedures for protected health information. </w:t>
      </w:r>
      <w:r>
        <w:rPr>
          <w:rFonts w:ascii="Times New Roman" w:hAnsi="Times New Roman"/>
          <w:b w:val="false"/>
          <w:i w:val="false"/>
          <w:color w:val="000000"/>
          <w:sz w:val="22"/>
        </w:rPr>
        <w:t>The department will follow the protected health information right to amend standards as outlined in 45 CFR §164.526 as amended to March 26, 2013. The subject shall provide a reason to support the requested amendment.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441—9.7</w:t>
      </w:r>
      <w:r>
        <w:rPr>
          <w:rFonts w:ascii="Times New Roman" w:hAnsi="Times New Roman"/>
          <w:b/>
          <w:i w:val="false"/>
          <w:color w:val="000000"/>
          <w:sz w:val="22"/>
        </w:rPr>
        <w:t xml:space="preserve">(17A,22,228) </w:t>
      </w:r>
      <w:r>
        <w:rPr>
          <w:rFonts w:ascii="Times New Roman" w:hAnsi="Times New Roman"/>
          <w:b/>
          <w:i w:val="false"/>
          <w:color w:val="000000"/>
          <w:sz w:val="22"/>
        </w:rPr>
        <w:t xml:space="preserve">Consent to disclosure by the subject of a confidential record. </w:t>
      </w:r>
      <w:r>
        <w:rPr>
          <w:rFonts w:ascii="Times New Roman" w:hAnsi="Times New Roman"/>
          <w:b w:val="false"/>
          <w:i w:val="false"/>
          <w:color w:val="000000"/>
          <w:sz w:val="22"/>
        </w:rPr>
        <w:t>To the extent permitted by any applicable provision of law, the subject of a confidential record may have a copy of the portion of that record concerning the subject disclosed to a third party. A request for such a disclosure must be in writing and must identify the particular record or records to be disclosed, the particular person or class of persons to whom the record may be disclosed, and the time period during which the record may be disclosed. The subject of the record and, where applicable, the person to whom the record is to be disclosed may be required to provide proof of identity. Appearance of counsel before the department on behalf of a person who is the subject of a confidential record is deemed to constitute consent for the department to disclose records about that person to the person’s attorney. An attorney requesting access to a confidential record may be required to provide proof of identity or authority to secure access to the record.  No confidential information about clients of the department shall be released without the client’s consent, except as otherwise provided by law. Release of confidential information includes granting access to or allowing the copying of a record, providing information either in writing or orally, or acknowledging information to be true or false.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w:t>
      </w:r>
      <w:r>
        <w:rPr>
          <w:rFonts w:ascii="Times New Roman" w:hAnsi="Times New Roman"/>
          <w:b w:val="false"/>
          <w:i w:val="false"/>
          <w:color w:val="000000"/>
          <w:sz w:val="22"/>
        </w:rPr>
        <w:t> </w:t>
      </w:r>
      <w:r>
        <w:rPr>
          <w:rFonts w:ascii="Times New Roman" w:hAnsi="Times New Roman"/>
          <w:b w:val="false"/>
          <w:i/>
          <w:color w:val="000000"/>
          <w:sz w:val="22"/>
        </w:rPr>
        <w:t xml:space="preserve">Release forms.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Releases allowing the department to provide confidential information, including protected health information. </w:t>
      </w:r>
      <w:r>
        <w:rPr>
          <w:rFonts w:ascii="Times New Roman" w:hAnsi="Times New Roman"/>
          <w:b w:val="false"/>
          <w:i w:val="false"/>
          <w:color w:val="000000"/>
          <w:sz w:val="22"/>
        </w:rPr>
        <w:t>Subjects should complete an authorization for release on a form that meets the requirements of applicable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Releases allowing the department to provide protected health information under HIPAA. </w:t>
      </w:r>
      <w:r>
        <w:rPr>
          <w:rFonts w:ascii="Times New Roman" w:hAnsi="Times New Roman"/>
          <w:b w:val="false"/>
          <w:i w:val="false"/>
          <w:color w:val="000000"/>
          <w:sz w:val="22"/>
        </w:rPr>
        <w:t>The department shall not require a subject to sign a HIPAA authorization form as a condition of treatment, payment, enrollment in a health plan, or eligibility for benefits. The department as a health care provider may require a subject to sign a HIPAA authorization form for the use or disclosure of protected health information for research, as a condition of the subject’s receiving research-related treatment. A subject may revoke a HIPAA authorization at any time, provided that the revocation is in writing using a form that meets the requirements of applicable law, except to the extent that the department has taken action in reliance thereon.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Releases allowing the department to obtain confidential information from a third party. </w:t>
      </w:r>
      <w:r>
        <w:rPr>
          <w:rFonts w:ascii="Times New Roman" w:hAnsi="Times New Roman"/>
          <w:b w:val="false"/>
          <w:i w:val="false"/>
          <w:color w:val="000000"/>
          <w:sz w:val="22"/>
        </w:rPr>
        <w:t>The department is required to obtain confidential information from third parties. The department may make these requests unless prohibited by applicable law or when the client has authorized the release on one of the following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Authorization for Release of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Household Member Questionnaire.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Bank or Credit Union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Addendum for Application and Review Forms for Release of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Request for School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Employer’s Statement of Earnings.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Verification of Educational Financial 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Financial Institution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Authorization to Obtain or Release Health Care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Releases for photographs and recordings. </w:t>
      </w:r>
      <w:r>
        <w:rPr>
          <w:rFonts w:ascii="Times New Roman" w:hAnsi="Times New Roman"/>
          <w:b w:val="false"/>
          <w:i w:val="false"/>
          <w:color w:val="000000"/>
          <w:sz w:val="22"/>
        </w:rPr>
        <w:t>The department may seek permission to use photographs in department publications on a form that meets the requirements of applicable law. The department will obtain authorization from the subject or person responsible (such as a guardian, custodian, or personal representative) for the subject before taking photographs or making any type of recording for any purpose other than those specifically allowed by law or for internal use within an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9.7(2)</w:t>
      </w:r>
      <w:r>
        <w:rPr>
          <w:rFonts w:ascii="Times New Roman" w:hAnsi="Times New Roman"/>
          <w:b w:val="false"/>
          <w:i w:val="false"/>
          <w:color w:val="000000"/>
          <w:sz w:val="22"/>
        </w:rPr>
        <w:t> </w:t>
      </w:r>
      <w:r>
        <w:rPr>
          <w:rFonts w:ascii="Times New Roman" w:hAnsi="Times New Roman"/>
          <w:b w:val="false"/>
          <w:i/>
          <w:color w:val="000000"/>
          <w:sz w:val="22"/>
        </w:rPr>
        <w:t xml:space="preserve">Exceptions to use of release forms.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Public official. </w:t>
      </w:r>
      <w:r>
        <w:rPr>
          <w:rFonts w:ascii="Times New Roman" w:hAnsi="Times New Roman"/>
          <w:b w:val="false"/>
          <w:i w:val="false"/>
          <w:color w:val="000000"/>
          <w:sz w:val="22"/>
        </w:rPr>
        <w:t>A letter from the subject to a public official that seeks the official’s intervention on behalf of the subject in a matter that involves the department shall be treated as an authorization to release information upon receipt of appropriate authorization from the subject to do so. The department shall release only the minimum amount of information necessary about the subject to the official to resolve the matter. If the information includes protected health information, the department may only provide the protected health information if, in the exercise of professional judgment, the department determines that disclosure is in the best interest of the subject. When the department determines that disclosure is in the subject’s best interest, the department may disclose only the protected health information that is directly relevant to the public official’s intervention with the matter involving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Medical emergency. </w:t>
      </w:r>
      <w:r>
        <w:rPr>
          <w:rFonts w:ascii="Times New Roman" w:hAnsi="Times New Roman"/>
          <w:b w:val="false"/>
          <w:i w:val="false"/>
          <w:color w:val="000000"/>
          <w:sz w:val="22"/>
        </w:rPr>
        <w:t>Department staff may authorize release of confidential information to medical personnel in a medical emergency if the subject is unable to give or withhold consent. As soon as possible after the release of information, the subject shall be advised of the release.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Abuse information. </w:t>
      </w:r>
      <w:r>
        <w:rPr>
          <w:rFonts w:ascii="Times New Roman" w:hAnsi="Times New Roman"/>
          <w:b w:val="false"/>
          <w:i w:val="false"/>
          <w:color w:val="000000"/>
          <w:sz w:val="22"/>
        </w:rPr>
        <w:t>Consent to release information is not required to gather information for investigations of child abuse or dependent adult abuse.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9.7(3)</w:t>
      </w:r>
      <w:r>
        <w:rPr>
          <w:rFonts w:ascii="Times New Roman" w:hAnsi="Times New Roman"/>
          <w:b w:val="false"/>
          <w:i w:val="false"/>
          <w:color w:val="000000"/>
          <w:sz w:val="22"/>
        </w:rPr>
        <w:t> </w:t>
      </w:r>
      <w:r>
        <w:rPr>
          <w:rFonts w:ascii="Times New Roman" w:hAnsi="Times New Roman"/>
          <w:b w:val="false"/>
          <w:i/>
          <w:color w:val="000000"/>
          <w:sz w:val="22"/>
        </w:rPr>
        <w:t xml:space="preserve">Opportunity for subject to agree or object for protected health information under HIPAA. </w:t>
      </w:r>
      <w:r>
        <w:rPr>
          <w:rFonts w:ascii="Times New Roman" w:hAnsi="Times New Roman"/>
          <w:b w:val="false"/>
          <w:i w:val="false"/>
          <w:color w:val="000000"/>
          <w:sz w:val="22"/>
        </w:rPr>
        <w:t xml:space="preserve">This subrule describes when the department may use or disclose protected health information, without a written authorization, to persons involved in the subject’s care and for notification purposes. However, the department shall give the subject an opportunity to agree or object unless this requirement is waived as specified in paragraph </w:t>
      </w:r>
      <w:hyperlink r:id="rId26">
        <w:r>
          <w:rPr>
            <w:rStyle w:val="Hyperlink"/>
            <w:rFonts w:ascii="Times New Roman" w:hAnsi="Times New Roman"/>
            <w:b w:val="false"/>
            <w:i w:val="false"/>
            <w:color w:val="000000"/>
            <w:sz w:val="22"/>
          </w:rPr>
          <w:t>9.7(3)</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Involvement in the subject’s care. </w:t>
      </w:r>
      <w:r>
        <w:rPr>
          <w:rFonts w:ascii="Times New Roman" w:hAnsi="Times New Roman"/>
          <w:b w:val="false"/>
          <w:i w:val="false"/>
          <w:color w:val="000000"/>
          <w:sz w:val="22"/>
        </w:rPr>
        <w:t xml:space="preserve">The department may, in accordance with paragraphs </w:t>
      </w:r>
      <w:hyperlink r:id="rId27">
        <w:r>
          <w:rPr>
            <w:rStyle w:val="Hyperlink"/>
            <w:rFonts w:ascii="Times New Roman" w:hAnsi="Times New Roman"/>
            <w:b w:val="false"/>
            <w:i w:val="false"/>
            <w:color w:val="000000"/>
            <w:sz w:val="22"/>
          </w:rPr>
          <w:t>9.7(3)</w:t>
        </w:r>
      </w:hyperlink>
      <w:r>
        <w:rPr>
          <w:rFonts w:ascii="Times New Roman" w:hAnsi="Times New Roman"/>
          <w:b w:val="false"/>
          <w:i/>
          <w:color w:val="000000"/>
          <w:sz w:val="22"/>
        </w:rPr>
        <w:t>“c,”</w:t>
      </w:r>
      <w:r>
        <w:rPr>
          <w:rFonts w:ascii="Times New Roman" w:hAnsi="Times New Roman"/>
          <w:b w:val="false"/>
          <w:i/>
          <w:color w:val="000000"/>
          <w:sz w:val="22"/>
        </w:rPr>
        <w:t>“e,”</w:t>
      </w:r>
      <w:r>
        <w:rPr>
          <w:rFonts w:ascii="Times New Roman" w:hAnsi="Times New Roman"/>
          <w:b w:val="false"/>
          <w:i w:val="false"/>
          <w:color w:val="000000"/>
          <w:sz w:val="22"/>
        </w:rPr>
        <w:t xml:space="preserve"> and </w:t>
      </w:r>
      <w:r>
        <w:rPr>
          <w:rFonts w:ascii="Times New Roman" w:hAnsi="Times New Roman"/>
          <w:b w:val="false"/>
          <w:i/>
          <w:color w:val="000000"/>
          <w:sz w:val="22"/>
        </w:rPr>
        <w:t>“f,”</w:t>
      </w:r>
      <w:r>
        <w:rPr>
          <w:rFonts w:ascii="Times New Roman" w:hAnsi="Times New Roman"/>
          <w:b w:val="false"/>
          <w:i w:val="false"/>
          <w:color w:val="000000"/>
          <w:sz w:val="22"/>
        </w:rPr>
        <w:t xml:space="preserve"> disclose protected health information that is directly relevant either to a subject’s care or to payment related to the subject’s care, provided payment is relevant to the person’s involvement in the subject’s care. The person involved must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family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Another relative;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close personal friend of the subject;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other person identified by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Notification purposes. </w:t>
      </w:r>
      <w:r>
        <w:rPr>
          <w:rFonts w:ascii="Times New Roman" w:hAnsi="Times New Roman"/>
          <w:b w:val="false"/>
          <w:i w:val="false"/>
          <w:color w:val="000000"/>
          <w:sz w:val="22"/>
        </w:rPr>
        <w:t xml:space="preserve">The department may use or disclose protected health information to notify, or assist in notifying, identifying or locating a family member, a personal representative of the subject, or another person responsible for the care of the subject of the subject’s location, general condition or death. For disaster relief purposes, the use or disclosure shall be in accordance with paragraph </w:t>
      </w:r>
      <w:hyperlink r:id="rId28">
        <w:r>
          <w:rPr>
            <w:rStyle w:val="Hyperlink"/>
            <w:rFonts w:ascii="Times New Roman" w:hAnsi="Times New Roman"/>
            <w:b w:val="false"/>
            <w:i w:val="false"/>
            <w:color w:val="000000"/>
            <w:sz w:val="22"/>
          </w:rPr>
          <w:t>9.7(3)</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Uses and disclosures with the subject present. </w:t>
      </w:r>
      <w:r>
        <w:rPr>
          <w:rFonts w:ascii="Times New Roman" w:hAnsi="Times New Roman"/>
          <w:b w:val="false"/>
          <w:i w:val="false"/>
          <w:color w:val="000000"/>
          <w:sz w:val="22"/>
        </w:rPr>
        <w:t>If the subject is present for, or available before, a use or disclosure permitted by this subrule and has the capacity to make health care decisions, the department may use or disclose the protected health information if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Obtains the subject’s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Provides the subject with the opportunity to object to the disclosure, and the subject does not express an objection;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Reasonably infers from the circumstances, based on the exercise of professional judgment, that the subject does not object to the disclosure.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Informing the subject. </w:t>
      </w:r>
      <w:r>
        <w:rPr>
          <w:rFonts w:ascii="Times New Roman" w:hAnsi="Times New Roman"/>
          <w:b w:val="false"/>
          <w:i w:val="false"/>
          <w:color w:val="000000"/>
          <w:sz w:val="22"/>
        </w:rPr>
        <w:t>The department may orally inform the subject of and obtain the subject’s oral agreement or objection to a use or disclosure permitted by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Limited uses and disclosures when the subject is not present. </w:t>
      </w:r>
      <w:r>
        <w:rPr>
          <w:rFonts w:ascii="Times New Roman" w:hAnsi="Times New Roman"/>
          <w:b w:val="false"/>
          <w:i w:val="false"/>
          <w:color w:val="000000"/>
          <w:sz w:val="22"/>
        </w:rPr>
        <w:t>When the subject is not present, or the opportunity to agree or object to the use or disclosure cannot practicably be provided because of the subject’s incapacity or an emergency circumstance, the department may, in the exercise of professional judgment, determine that disclosure is in the best interest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 department determines that disclosure is in the subject’s best interest, the department may disclose only the protected health information that is directly relevant to the person’s involvement with the subject’s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may use professional judgment and its experience with common practice to make reasonable inferences of the subject’s best interest in allowing a person to act on behalf of the subject to pick up filled prescriptions, medical supplies, X-rays, or other similar forms of protected health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For disaster relief purposes. </w:t>
      </w:r>
      <w:r>
        <w:rPr>
          <w:rFonts w:ascii="Times New Roman" w:hAnsi="Times New Roman"/>
          <w:b w:val="false"/>
          <w:i w:val="false"/>
          <w:color w:val="000000"/>
          <w:sz w:val="22"/>
        </w:rPr>
        <w:t xml:space="preserve">The department may use protected health information or disclose protected health information to a public or private organization authorized by law or by its charter to assist in disaster relief efforts for the purpose of coordinating with these organizations the uses or disclosures permitted by paragraph </w:t>
      </w:r>
      <w:hyperlink r:id="rId29">
        <w:r>
          <w:rPr>
            <w:rStyle w:val="Hyperlink"/>
            <w:rFonts w:ascii="Times New Roman" w:hAnsi="Times New Roman"/>
            <w:b w:val="false"/>
            <w:i w:val="false"/>
            <w:color w:val="000000"/>
            <w:sz w:val="22"/>
          </w:rPr>
          <w:t>9.7(3)</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requirements in paragraphs </w:t>
      </w:r>
      <w:hyperlink r:id="rId30">
        <w:r>
          <w:rPr>
            <w:rStyle w:val="Hyperlink"/>
            <w:rFonts w:ascii="Times New Roman" w:hAnsi="Times New Roman"/>
            <w:b w:val="false"/>
            <w:i w:val="false"/>
            <w:color w:val="000000"/>
            <w:sz w:val="22"/>
          </w:rPr>
          <w:t>9.7(3)</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xml:space="preserve"> apply to these uses and disclosures to the extent that the department, in the exercise of professional judgment, determines that the requirements do not interfere with the ability to respond to the emergency circumstances.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w:t>
      </w:r>
      <w:r>
        <w:rPr>
          <w:rFonts w:ascii="Times New Roman" w:hAnsi="Times New Roman"/>
          <w:b/>
          <w:i w:val="false"/>
          <w:color w:val="000000"/>
          <w:sz w:val="22"/>
        </w:rPr>
        <w:t xml:space="preserve">(17A,22) </w:t>
      </w:r>
      <w:r>
        <w:rPr>
          <w:rFonts w:ascii="Times New Roman" w:hAnsi="Times New Roman"/>
          <w:b/>
          <w:i w:val="false"/>
          <w:color w:val="000000"/>
          <w:sz w:val="22"/>
        </w:rPr>
        <w:t xml:space="preserve">Notice to suppliers of information. </w:t>
      </w:r>
      <w:r>
        <w:rPr>
          <w:rFonts w:ascii="Times New Roman" w:hAnsi="Times New Roman"/>
          <w:b w:val="false"/>
          <w:i w:val="false"/>
          <w:color w:val="000000"/>
          <w:sz w:val="22"/>
        </w:rPr>
        <w:t>When the department requests a person to supply information about that person, the department shall notify the person of how the information will be used, which entities outside the department might routinely be provided this information, which parts of the requested information are required and which are optional, and the consequences of a failure to provide the information requested. This notice may be given in these rules, on the written form used to collect the information, on a separate fact sheet or letter, in brochures, in formal agreements, in contracts, in handbooks, in manuals, verbally, or by other appropriate means. The notice shall generally be given at the first contact with the department and need not be repeated. Where appropriate, the notice may be given to a person’s legal or personal representative. Notice may be withheld in an emergency or where it would compromise the purpose of a department investigation.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441—9.9</w:t>
      </w:r>
      <w:r>
        <w:rPr>
          <w:rFonts w:ascii="Times New Roman" w:hAnsi="Times New Roman"/>
          <w:b/>
          <w:i w:val="false"/>
          <w:color w:val="000000"/>
          <w:sz w:val="22"/>
        </w:rPr>
        <w:t xml:space="preserve">(17A,22) </w:t>
      </w:r>
      <w:r>
        <w:rPr>
          <w:rFonts w:ascii="Times New Roman" w:hAnsi="Times New Roman"/>
          <w:b/>
          <w:i w:val="false"/>
          <w:color w:val="000000"/>
          <w:sz w:val="22"/>
        </w:rPr>
        <w:t xml:space="preserve">Release to subject. </w:t>
      </w:r>
      <w:r>
        <w:rPr>
          <w:rFonts w:ascii="Times New Roman" w:hAnsi="Times New Roman"/>
          <w:b w:val="false"/>
          <w:i w:val="false"/>
          <w:color w:val="000000"/>
          <w:sz w:val="22"/>
        </w:rPr>
        <w:t>The department will follow the access of individuals to protected health information standards as outlined in 45 CFR §164.524 as amended to February 6, 2014. If the department does not maintain the protected health information that is the topic of the subject’s request for access, and the department knows where the requested information is maintained, the department shall inform the subject where to direct the request for access.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441—9.10</w:t>
      </w:r>
      <w:r>
        <w:rPr>
          <w:rFonts w:ascii="Times New Roman" w:hAnsi="Times New Roman"/>
          <w:b/>
          <w:i w:val="false"/>
          <w:color w:val="000000"/>
          <w:sz w:val="22"/>
        </w:rPr>
        <w:t xml:space="preserve">(17A,22) </w:t>
      </w:r>
      <w:r>
        <w:rPr>
          <w:rFonts w:ascii="Times New Roman" w:hAnsi="Times New Roman"/>
          <w:b/>
          <w:i w:val="false"/>
          <w:color w:val="000000"/>
          <w:sz w:val="22"/>
        </w:rPr>
        <w:t xml:space="preserve">Use and disclosure without consent of the subject. </w:t>
      </w:r>
      <w:r>
        <w:rPr>
          <w:rFonts w:ascii="Times New Roman" w:hAnsi="Times New Roman"/>
          <w:b w:val="false"/>
          <w:i w:val="false"/>
          <w:color w:val="000000"/>
          <w:sz w:val="22"/>
        </w:rPr>
        <w:t>Open records are routinely disclosed without the consent of the subject. To the extent allowed by law, the department may also use and disclose confidential information without the consent of the subject or the subject’s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9.10(1)</w:t>
      </w:r>
      <w:r>
        <w:rPr>
          <w:rFonts w:ascii="Times New Roman" w:hAnsi="Times New Roman"/>
          <w:b w:val="false"/>
          <w:i w:val="false"/>
          <w:color w:val="000000"/>
          <w:sz w:val="22"/>
        </w:rPr>
        <w:t> </w:t>
      </w:r>
      <w:r>
        <w:rPr>
          <w:rFonts w:ascii="Times New Roman" w:hAnsi="Times New Roman"/>
          <w:b w:val="false"/>
          <w:i/>
          <w:color w:val="000000"/>
          <w:sz w:val="22"/>
        </w:rPr>
        <w:t xml:space="preserve">Routine use. </w:t>
      </w:r>
      <w:r>
        <w:rPr>
          <w:rFonts w:ascii="Times New Roman" w:hAnsi="Times New Roman"/>
          <w:b w:val="false"/>
          <w:i w:val="false"/>
          <w:color w:val="000000"/>
          <w:sz w:val="22"/>
        </w:rPr>
        <w:t>To the extent allowed by law, the following are considered routine uses of all department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Disclosure to employees and agents of the department as needed for the performance of their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Transfers of information within the department, to other state or federal agencies, agents of tribes and tribal public health authorities, or to local units of government as necessary to administer the program for which the information is collected or as necessary to administer a program within the other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a recipient who has provided the department with advance written assurance that the record will be used solely to create a statistical report. The department shall not release confidential data or information pursuant to this chapter unless the department and the recipient have executed an agreement that includes the conditions under which the confidential data or information may be used and a restriction on the further disclosure of the data or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9.10(2)</w:t>
      </w:r>
      <w:r>
        <w:rPr>
          <w:rFonts w:ascii="Times New Roman" w:hAnsi="Times New Roman"/>
          <w:b w:val="false"/>
          <w:i w:val="false"/>
          <w:color w:val="000000"/>
          <w:sz w:val="22"/>
        </w:rPr>
        <w:t> </w:t>
      </w:r>
      <w:r>
        <w:rPr>
          <w:rFonts w:ascii="Times New Roman" w:hAnsi="Times New Roman"/>
          <w:b w:val="false"/>
          <w:i/>
          <w:color w:val="000000"/>
          <w:sz w:val="22"/>
        </w:rPr>
        <w:t xml:space="preserve">Audits and health oversight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Audits. </w:t>
      </w:r>
      <w:r>
        <w:rPr>
          <w:rFonts w:ascii="Times New Roman" w:hAnsi="Times New Roman"/>
          <w:b w:val="false"/>
          <w:i w:val="false"/>
          <w:color w:val="000000"/>
          <w:sz w:val="22"/>
        </w:rPr>
        <w:t>Information concerning program expenditures and client eligibility is released to staff of the state executive and legislative branches who are responsible for ensuring that public funds have been managed correctly. Information is also released to auditors from federal agencies when those agencies provide program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Health oversight activities. </w:t>
      </w:r>
      <w:r>
        <w:rPr>
          <w:rFonts w:ascii="Times New Roman" w:hAnsi="Times New Roman"/>
          <w:b w:val="false"/>
          <w:i w:val="false"/>
          <w:color w:val="000000"/>
          <w:sz w:val="22"/>
        </w:rPr>
        <w:t>The department will follow the uses and disclosures standards for health oversight activities as outlined in 45 CFR §164.512 as amended to June 25,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9.10(3)</w:t>
      </w:r>
      <w:r>
        <w:rPr>
          <w:rFonts w:ascii="Times New Roman" w:hAnsi="Times New Roman"/>
          <w:b w:val="false"/>
          <w:i w:val="false"/>
          <w:color w:val="000000"/>
          <w:sz w:val="22"/>
        </w:rPr>
        <w:t> </w:t>
      </w:r>
      <w:r>
        <w:rPr>
          <w:rFonts w:ascii="Times New Roman" w:hAnsi="Times New Roman"/>
          <w:b w:val="false"/>
          <w:i/>
          <w:color w:val="000000"/>
          <w:sz w:val="22"/>
        </w:rPr>
        <w:t xml:space="preserve">Program review. </w:t>
      </w:r>
      <w:r>
        <w:rPr>
          <w:rFonts w:ascii="Times New Roman" w:hAnsi="Times New Roman"/>
          <w:b w:val="false"/>
          <w:i w:val="false"/>
          <w:color w:val="000000"/>
          <w:sz w:val="22"/>
        </w:rPr>
        <w:t xml:space="preserve">Information concerning client eligibility and benefits is released to state or federal officials responsible for determining whether the department is operating a program lawfully. These officials include the ombudsman office under Iowa Code section </w:t>
      </w:r>
      <w:hyperlink r:id="rId31">
        <w:r>
          <w:rPr>
            <w:rStyle w:val="Hyperlink"/>
            <w:rFonts w:ascii="Times New Roman" w:hAnsi="Times New Roman"/>
            <w:b w:val="false"/>
            <w:i w:val="false"/>
            <w:color w:val="000000"/>
            <w:sz w:val="22"/>
          </w:rPr>
          <w:t>2C.9</w:t>
        </w:r>
      </w:hyperlink>
      <w:r>
        <w:rPr>
          <w:rFonts w:ascii="Times New Roman" w:hAnsi="Times New Roman"/>
          <w:b w:val="false"/>
          <w:i w:val="false"/>
          <w:color w:val="000000"/>
          <w:sz w:val="22"/>
        </w:rPr>
        <w:t xml:space="preserve">, the auditor of state under Iowa Code section </w:t>
      </w:r>
      <w:hyperlink r:id="rId32">
        <w:r>
          <w:rPr>
            <w:rStyle w:val="Hyperlink"/>
            <w:rFonts w:ascii="Times New Roman" w:hAnsi="Times New Roman"/>
            <w:b w:val="false"/>
            <w:i w:val="false"/>
            <w:color w:val="000000"/>
            <w:sz w:val="22"/>
          </w:rPr>
          <w:t>11.2</w:t>
        </w:r>
      </w:hyperlink>
      <w:r>
        <w:rPr>
          <w:rFonts w:ascii="Times New Roman" w:hAnsi="Times New Roman"/>
          <w:b w:val="false"/>
          <w:i w:val="false"/>
          <w:color w:val="000000"/>
          <w:sz w:val="22"/>
        </w:rPr>
        <w:t>, the Office of Inspector General in the federal Department of Health and Human Services, and the Centers for Medicare and Medicaid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9.10(4)</w:t>
      </w:r>
      <w:r>
        <w:rPr>
          <w:rFonts w:ascii="Times New Roman" w:hAnsi="Times New Roman"/>
          <w:b w:val="false"/>
          <w:i w:val="false"/>
          <w:color w:val="000000"/>
          <w:sz w:val="22"/>
        </w:rPr>
        <w:t> </w:t>
      </w:r>
      <w:r>
        <w:rPr>
          <w:rFonts w:ascii="Times New Roman" w:hAnsi="Times New Roman"/>
          <w:b w:val="false"/>
          <w:i/>
          <w:color w:val="000000"/>
          <w:sz w:val="22"/>
        </w:rPr>
        <w:t xml:space="preserve">Contracts and agreements with agencies and persons.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enter into contracts or agreements with public or private agencies to carry out the department’s official duties or as necessary to administer a program within the other agency. Information necessary to carry out these duties may be shared with these agencies. The department may disclose protected health information to a business associate and may allow a business associate to create or receive protected health information on its behalf if the department obtains satisfactory assurance that the business associate will appropriately safeguard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enter into agreements to share information with agencies administering federal or federally assisted programs which provide assistance or services directly to persons on the basis of need. Only information collected in the family investment program, the child care assistance program, the food assistance program, the refugee resettlement program, or the child support recovery program may be shared under these agreements.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meet federal income and eligibility verification requirements, the department has entered into agreements with the department of workforce development, the United States Internal Revenue Service, and the United States Social Security Administration. The department obtains information regarding persons whose income or resources are considered in determining eligibility and the amount of benefits for the family investment program, refugee cash assistance, child care assistance, food assistance, Medicaid, state supplementary assistance and foster care. Identifying information regarding clients of these programs is released to these agencies. The information received may be used for eligibility and benefit determinations.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meet federal requirements under the Immigration Reform and Control Act of 1986 (IRCA) relating to the Systematic Alien Verification for Entitlements (SAVE) program, the department has entered into an agreement with the Bureau of Citizenship and Immigration Service (BCIS). Under the agreement, the department exchanges information necessary to verify alien status for the purpose of determining eligibility and the amount of benefits for the family investment program, refugee cash assistance, food assistance, Medicaid, state supplementary assistance and foster care assistance. Identifying information regarding these subjects is released to the BCIS. The information received may be used for eligibility and benefit determinations.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has entered into an agreement with the department of workforce development to provide services to family investment program clients participating in the PROMISE JOBS program as described at </w:t>
      </w:r>
      <w:hyperlink r:id="rId33">
        <w:r>
          <w:rPr>
            <w:rStyle w:val="Hyperlink"/>
            <w:rFonts w:ascii="Times New Roman" w:hAnsi="Times New Roman"/>
            <w:b w:val="false"/>
            <w:i w:val="false"/>
            <w:color w:val="000000"/>
            <w:sz w:val="22"/>
          </w:rPr>
          <w:t>441—Chapter 93</w:t>
        </w:r>
      </w:hyperlink>
      <w:r>
        <w:rPr>
          <w:rFonts w:ascii="Times New Roman" w:hAnsi="Times New Roman"/>
          <w:b w:val="false"/>
          <w:i w:val="false"/>
          <w:color w:val="000000"/>
          <w:sz w:val="22"/>
        </w:rPr>
        <w:t>. Information necessary to carry out these duties shall be shared with the department of workforce development, as well as with its subcontractors.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department has entered into an agreement with the department of education, vocational rehabilitation, disability determination services, to assist with Medicaid disability determinations.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department has entered into an agreement with the department of education to share information that assists both schools and department clients in carrying out the annual verification process required by the United States Department of Agriculture, Food and Nutrition Service. That federal agency requires the department of education and local schools to verify eligibility of a percentage of the households approved for free-meal benefits under the school lunch program. When a department office receives a written request from the local school, the department office responds in writing with the current family investment program and food assistance program status of each recipient of free meals listed in the request. Other client-specific information is made available only with written authorization from the client.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9.10(5)</w:t>
      </w:r>
      <w:r>
        <w:rPr>
          <w:rFonts w:ascii="Times New Roman" w:hAnsi="Times New Roman"/>
          <w:b w:val="false"/>
          <w:i w:val="false"/>
          <w:color w:val="000000"/>
          <w:sz w:val="22"/>
        </w:rPr>
        <w:t> </w:t>
      </w:r>
      <w:r>
        <w:rPr>
          <w:rFonts w:ascii="Times New Roman" w:hAnsi="Times New Roman"/>
          <w:b w:val="false"/>
          <w:i/>
          <w:color w:val="000000"/>
          <w:sz w:val="22"/>
        </w:rPr>
        <w:t xml:space="preserve">Release for judicial and administrative proceedings. </w:t>
      </w:r>
      <w:r>
        <w:rPr>
          <w:rFonts w:ascii="Times New Roman" w:hAnsi="Times New Roman"/>
          <w:b w:val="false"/>
          <w:i w:val="false"/>
          <w:color w:val="000000"/>
          <w:sz w:val="22"/>
        </w:rPr>
        <w:t xml:space="preserve">Information is released to the court as required in Iowa Code sections </w:t>
      </w:r>
      <w:hyperlink r:id="rId34">
        <w:r>
          <w:rPr>
            <w:rStyle w:val="Hyperlink"/>
            <w:rFonts w:ascii="Times New Roman" w:hAnsi="Times New Roman"/>
            <w:b w:val="false"/>
            <w:i w:val="false"/>
            <w:color w:val="000000"/>
            <w:sz w:val="22"/>
          </w:rPr>
          <w:t>125.80</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125.84</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125.86</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229.8</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229.10</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229.13</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229.14</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229.15</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229.22</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232.48</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232.49</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232.52</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232.71B</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232.81</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232.97</w:t>
        </w:r>
      </w:hyperlink>
      <w:r>
        <w:rPr>
          <w:rFonts w:ascii="Times New Roman" w:hAnsi="Times New Roman"/>
          <w:b w:val="false"/>
          <w:i w:val="false"/>
          <w:color w:val="000000"/>
          <w:sz w:val="22"/>
        </w:rPr>
        <w:t xml:space="preserve">, </w:t>
      </w:r>
      <w:hyperlink r:id="rId49">
        <w:r>
          <w:rPr>
            <w:rStyle w:val="Hyperlink"/>
            <w:rFonts w:ascii="Times New Roman" w:hAnsi="Times New Roman"/>
            <w:b w:val="false"/>
            <w:i w:val="false"/>
            <w:color w:val="000000"/>
            <w:sz w:val="22"/>
          </w:rPr>
          <w:t>232.98</w:t>
        </w:r>
      </w:hyperlink>
      <w:r>
        <w:rPr>
          <w:rFonts w:ascii="Times New Roman" w:hAnsi="Times New Roman"/>
          <w:b w:val="false"/>
          <w:i w:val="false"/>
          <w:color w:val="000000"/>
          <w:sz w:val="22"/>
        </w:rPr>
        <w:t xml:space="preserve">, </w:t>
      </w:r>
      <w:hyperlink r:id="rId50">
        <w:r>
          <w:rPr>
            <w:rStyle w:val="Hyperlink"/>
            <w:rFonts w:ascii="Times New Roman" w:hAnsi="Times New Roman"/>
            <w:b w:val="false"/>
            <w:i w:val="false"/>
            <w:color w:val="000000"/>
            <w:sz w:val="22"/>
          </w:rPr>
          <w:t>232.102</w:t>
        </w:r>
      </w:hyperlink>
      <w:r>
        <w:rPr>
          <w:rFonts w:ascii="Times New Roman" w:hAnsi="Times New Roman"/>
          <w:b w:val="false"/>
          <w:i w:val="false"/>
          <w:color w:val="000000"/>
          <w:sz w:val="22"/>
        </w:rPr>
        <w:t xml:space="preserve">, </w:t>
      </w:r>
      <w:hyperlink r:id="rId51">
        <w:r>
          <w:rPr>
            <w:rStyle w:val="Hyperlink"/>
            <w:rFonts w:ascii="Times New Roman" w:hAnsi="Times New Roman"/>
            <w:b w:val="false"/>
            <w:i w:val="false"/>
            <w:color w:val="000000"/>
            <w:sz w:val="22"/>
          </w:rPr>
          <w:t>232.111</w:t>
        </w:r>
      </w:hyperlink>
      <w:r>
        <w:rPr>
          <w:rFonts w:ascii="Times New Roman" w:hAnsi="Times New Roman"/>
          <w:b w:val="false"/>
          <w:i w:val="false"/>
          <w:color w:val="000000"/>
          <w:sz w:val="22"/>
        </w:rPr>
        <w:t xml:space="preserve">, </w:t>
      </w:r>
      <w:hyperlink r:id="rId52">
        <w:r>
          <w:rPr>
            <w:rStyle w:val="Hyperlink"/>
            <w:rFonts w:ascii="Times New Roman" w:hAnsi="Times New Roman"/>
            <w:b w:val="false"/>
            <w:i w:val="false"/>
            <w:color w:val="000000"/>
            <w:sz w:val="22"/>
          </w:rPr>
          <w:t>232.117</w:t>
        </w:r>
      </w:hyperlink>
      <w:r>
        <w:rPr>
          <w:rFonts w:ascii="Times New Roman" w:hAnsi="Times New Roman"/>
          <w:b w:val="false"/>
          <w:i w:val="false"/>
          <w:color w:val="000000"/>
          <w:sz w:val="22"/>
        </w:rPr>
        <w:t xml:space="preserve"> and </w:t>
      </w:r>
      <w:hyperlink r:id="rId53">
        <w:r>
          <w:rPr>
            <w:rStyle w:val="Hyperlink"/>
            <w:rFonts w:ascii="Times New Roman" w:hAnsi="Times New Roman"/>
            <w:b w:val="false"/>
            <w:i w:val="false"/>
            <w:color w:val="000000"/>
            <w:sz w:val="22"/>
          </w:rPr>
          <w:t>235B.3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disclose protected health information in the course of any judicial or administrative proceeding in response to an order of a court or administrative tribunal, provided that the department discloses only the protected health information expressly authorized by the order and the court makes the order knowing that the information is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court subpoenas information that the department is prohibited from releasing, the department shall advise the court of the statutory and regulatory provisions against disclosure of the information and shall disclose the information only on order of the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9.10(6)</w:t>
      </w:r>
      <w:r>
        <w:rPr>
          <w:rFonts w:ascii="Times New Roman" w:hAnsi="Times New Roman"/>
          <w:b w:val="false"/>
          <w:i w:val="false"/>
          <w:color w:val="000000"/>
          <w:sz w:val="22"/>
        </w:rPr>
        <w:t> </w:t>
      </w:r>
      <w:r>
        <w:rPr>
          <w:rFonts w:ascii="Times New Roman" w:hAnsi="Times New Roman"/>
          <w:b w:val="false"/>
          <w:i/>
          <w:color w:val="000000"/>
          <w:sz w:val="22"/>
        </w:rPr>
        <w:t xml:space="preserve">Fraud. </w:t>
      </w:r>
      <w:r>
        <w:rPr>
          <w:rFonts w:ascii="Times New Roman" w:hAnsi="Times New Roman"/>
          <w:b w:val="false"/>
          <w:i w:val="false"/>
          <w:color w:val="000000"/>
          <w:sz w:val="22"/>
        </w:rPr>
        <w:t>Information concerning suspected fraud or misrepresentation to obtain department services or assistance is disclosed to DIAL and to law enforcement authorities.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9.10(7)</w:t>
      </w:r>
      <w:r>
        <w:rPr>
          <w:rFonts w:ascii="Times New Roman" w:hAnsi="Times New Roman"/>
          <w:b w:val="false"/>
          <w:i w:val="false"/>
          <w:color w:val="000000"/>
          <w:sz w:val="22"/>
        </w:rPr>
        <w:t> </w:t>
      </w:r>
      <w:r>
        <w:rPr>
          <w:rFonts w:ascii="Times New Roman" w:hAnsi="Times New Roman"/>
          <w:b w:val="false"/>
          <w:i/>
          <w:color w:val="000000"/>
          <w:sz w:val="22"/>
        </w:rPr>
        <w:t xml:space="preserve">Service referrals. </w:t>
      </w:r>
      <w:r>
        <w:rPr>
          <w:rFonts w:ascii="Times New Roman" w:hAnsi="Times New Roman"/>
          <w:b w:val="false"/>
          <w:i w:val="false"/>
          <w:color w:val="000000"/>
          <w:sz w:val="22"/>
        </w:rPr>
        <w:t>Information concerning clients may be shared with purchase of service providers under contract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Information concerning the client’s circumstances and need for service is shared with prospective providers to obtain placement for the client. If the client is not accepted for service, all written information released to the provider shall be returned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information needed by the provider is mental health information or substance abuse information, the subject’s specific consent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9.10(8)</w:t>
      </w:r>
      <w:r>
        <w:rPr>
          <w:rFonts w:ascii="Times New Roman" w:hAnsi="Times New Roman"/>
          <w:b w:val="false"/>
          <w:i w:val="false"/>
          <w:color w:val="000000"/>
          <w:sz w:val="22"/>
        </w:rPr>
        <w:t> </w:t>
      </w:r>
      <w:r>
        <w:rPr>
          <w:rFonts w:ascii="Times New Roman" w:hAnsi="Times New Roman"/>
          <w:b w:val="false"/>
          <w:i/>
          <w:color w:val="000000"/>
          <w:sz w:val="22"/>
        </w:rPr>
        <w:t xml:space="preserve">Medicaid billing. </w:t>
      </w:r>
      <w:r>
        <w:rPr>
          <w:rFonts w:ascii="Times New Roman" w:hAnsi="Times New Roman"/>
          <w:b w:val="false"/>
          <w:i w:val="false"/>
          <w:color w:val="000000"/>
          <w:sz w:val="22"/>
        </w:rPr>
        <w:t>Only the following information shall be released to bona fide providers of medical services in the event that the provider is unable to obtain it from the subject and is unable to complete the Medicaid claim form without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Patient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Health coverage code as reflected on the subject’s medical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subject’s date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subject’s eligibility status for the month that the service was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amount of spenddown.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bills used to meet spenddown.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9.10(9)</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9.10(10)</w:t>
      </w:r>
      <w:r>
        <w:rPr>
          <w:rFonts w:ascii="Times New Roman" w:hAnsi="Times New Roman"/>
          <w:b w:val="false"/>
          <w:i w:val="false"/>
          <w:color w:val="000000"/>
          <w:sz w:val="22"/>
        </w:rPr>
        <w:t> </w:t>
      </w:r>
      <w:r>
        <w:rPr>
          <w:rFonts w:ascii="Times New Roman" w:hAnsi="Times New Roman"/>
          <w:b w:val="false"/>
          <w:i/>
          <w:color w:val="000000"/>
          <w:sz w:val="22"/>
        </w:rPr>
        <w:t xml:space="preserve">Child support recovery. </w:t>
      </w:r>
      <w:r>
        <w:rPr>
          <w:rFonts w:ascii="Times New Roman" w:hAnsi="Times New Roman"/>
          <w:b w:val="false"/>
          <w:i w:val="false"/>
          <w:color w:val="000000"/>
          <w:sz w:val="22"/>
        </w:rPr>
        <w:t xml:space="preserve">The child support recovery unit has access to information from most department records for the purpose of establishing and enforcing support obligations. Information about absent parents and recipients of child support services is released according to the provisions of Iowa Code chapters </w:t>
      </w:r>
      <w:hyperlink r:id="rId54">
        <w:r>
          <w:rPr>
            <w:rStyle w:val="Hyperlink"/>
            <w:rFonts w:ascii="Times New Roman" w:hAnsi="Times New Roman"/>
            <w:b w:val="false"/>
            <w:i w:val="false"/>
            <w:color w:val="000000"/>
            <w:sz w:val="22"/>
          </w:rPr>
          <w:t>234</w:t>
        </w:r>
      </w:hyperlink>
      <w:r>
        <w:rPr>
          <w:rFonts w:ascii="Times New Roman" w:hAnsi="Times New Roman"/>
          <w:b w:val="false"/>
          <w:i w:val="false"/>
          <w:color w:val="000000"/>
          <w:sz w:val="22"/>
        </w:rPr>
        <w:t xml:space="preserve">, </w:t>
      </w:r>
      <w:hyperlink r:id="rId55">
        <w:r>
          <w:rPr>
            <w:rStyle w:val="Hyperlink"/>
            <w:rFonts w:ascii="Times New Roman" w:hAnsi="Times New Roman"/>
            <w:b w:val="false"/>
            <w:i w:val="false"/>
            <w:color w:val="000000"/>
            <w:sz w:val="22"/>
          </w:rPr>
          <w:t>252A</w:t>
        </w:r>
      </w:hyperlink>
      <w:r>
        <w:rPr>
          <w:rFonts w:ascii="Times New Roman" w:hAnsi="Times New Roman"/>
          <w:b w:val="false"/>
          <w:i w:val="false"/>
          <w:color w:val="000000"/>
          <w:sz w:val="22"/>
        </w:rPr>
        <w:t xml:space="preserve">, </w:t>
      </w:r>
      <w:hyperlink r:id="rId56">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 xml:space="preserve">, </w:t>
      </w:r>
      <w:hyperlink r:id="rId57">
        <w:r>
          <w:rPr>
            <w:rStyle w:val="Hyperlink"/>
            <w:rFonts w:ascii="Times New Roman" w:hAnsi="Times New Roman"/>
            <w:b w:val="false"/>
            <w:i w:val="false"/>
            <w:color w:val="000000"/>
            <w:sz w:val="22"/>
          </w:rPr>
          <w:t>252C</w:t>
        </w:r>
      </w:hyperlink>
      <w:r>
        <w:rPr>
          <w:rFonts w:ascii="Times New Roman" w:hAnsi="Times New Roman"/>
          <w:b w:val="false"/>
          <w:i w:val="false"/>
          <w:color w:val="000000"/>
          <w:sz w:val="22"/>
        </w:rPr>
        <w:t xml:space="preserve">, </w:t>
      </w:r>
      <w:hyperlink r:id="rId58">
        <w:r>
          <w:rPr>
            <w:rStyle w:val="Hyperlink"/>
            <w:rFonts w:ascii="Times New Roman" w:hAnsi="Times New Roman"/>
            <w:b w:val="false"/>
            <w:i w:val="false"/>
            <w:color w:val="000000"/>
            <w:sz w:val="22"/>
          </w:rPr>
          <w:t>252D</w:t>
        </w:r>
      </w:hyperlink>
      <w:r>
        <w:rPr>
          <w:rFonts w:ascii="Times New Roman" w:hAnsi="Times New Roman"/>
          <w:b w:val="false"/>
          <w:i w:val="false"/>
          <w:color w:val="000000"/>
          <w:sz w:val="22"/>
        </w:rPr>
        <w:t xml:space="preserve">, </w:t>
      </w:r>
      <w:hyperlink r:id="rId59">
        <w:r>
          <w:rPr>
            <w:rStyle w:val="Hyperlink"/>
            <w:rFonts w:ascii="Times New Roman" w:hAnsi="Times New Roman"/>
            <w:b w:val="false"/>
            <w:i w:val="false"/>
            <w:color w:val="000000"/>
            <w:sz w:val="22"/>
          </w:rPr>
          <w:t>252E</w:t>
        </w:r>
      </w:hyperlink>
      <w:r>
        <w:rPr>
          <w:rFonts w:ascii="Times New Roman" w:hAnsi="Times New Roman"/>
          <w:b w:val="false"/>
          <w:i w:val="false"/>
          <w:color w:val="000000"/>
          <w:sz w:val="22"/>
        </w:rPr>
        <w:t xml:space="preserve">, </w:t>
      </w:r>
      <w:hyperlink r:id="rId60">
        <w:r>
          <w:rPr>
            <w:rStyle w:val="Hyperlink"/>
            <w:rFonts w:ascii="Times New Roman" w:hAnsi="Times New Roman"/>
            <w:b w:val="false"/>
            <w:i w:val="false"/>
            <w:color w:val="000000"/>
            <w:sz w:val="22"/>
          </w:rPr>
          <w:t>252F</w:t>
        </w:r>
      </w:hyperlink>
      <w:r>
        <w:rPr>
          <w:rFonts w:ascii="Times New Roman" w:hAnsi="Times New Roman"/>
          <w:b w:val="false"/>
          <w:i w:val="false"/>
          <w:color w:val="000000"/>
          <w:sz w:val="22"/>
        </w:rPr>
        <w:t xml:space="preserve">, </w:t>
      </w:r>
      <w:hyperlink r:id="rId61">
        <w:r>
          <w:rPr>
            <w:rStyle w:val="Hyperlink"/>
            <w:rFonts w:ascii="Times New Roman" w:hAnsi="Times New Roman"/>
            <w:b w:val="false"/>
            <w:i w:val="false"/>
            <w:color w:val="000000"/>
            <w:sz w:val="22"/>
          </w:rPr>
          <w:t>252G</w:t>
        </w:r>
      </w:hyperlink>
      <w:r>
        <w:rPr>
          <w:rFonts w:ascii="Times New Roman" w:hAnsi="Times New Roman"/>
          <w:b w:val="false"/>
          <w:i w:val="false"/>
          <w:color w:val="000000"/>
          <w:sz w:val="22"/>
        </w:rPr>
        <w:t xml:space="preserve">, </w:t>
      </w:r>
      <w:hyperlink r:id="rId62">
        <w:r>
          <w:rPr>
            <w:rStyle w:val="Hyperlink"/>
            <w:rFonts w:ascii="Times New Roman" w:hAnsi="Times New Roman"/>
            <w:b w:val="false"/>
            <w:i w:val="false"/>
            <w:color w:val="000000"/>
            <w:sz w:val="22"/>
          </w:rPr>
          <w:t>252H</w:t>
        </w:r>
      </w:hyperlink>
      <w:r>
        <w:rPr>
          <w:rFonts w:ascii="Times New Roman" w:hAnsi="Times New Roman"/>
          <w:b w:val="false"/>
          <w:i w:val="false"/>
          <w:color w:val="000000"/>
          <w:sz w:val="22"/>
        </w:rPr>
        <w:t xml:space="preserve">, </w:t>
      </w:r>
      <w:hyperlink r:id="rId63">
        <w:r>
          <w:rPr>
            <w:rStyle w:val="Hyperlink"/>
            <w:rFonts w:ascii="Times New Roman" w:hAnsi="Times New Roman"/>
            <w:b w:val="false"/>
            <w:i w:val="false"/>
            <w:color w:val="000000"/>
            <w:sz w:val="22"/>
          </w:rPr>
          <w:t>252I</w:t>
        </w:r>
      </w:hyperlink>
      <w:r>
        <w:rPr>
          <w:rFonts w:ascii="Times New Roman" w:hAnsi="Times New Roman"/>
          <w:b w:val="false"/>
          <w:i w:val="false"/>
          <w:color w:val="000000"/>
          <w:sz w:val="22"/>
        </w:rPr>
        <w:t xml:space="preserve">, </w:t>
      </w:r>
      <w:hyperlink r:id="rId64">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w:t>
      </w:r>
      <w:hyperlink r:id="rId65">
        <w:r>
          <w:rPr>
            <w:rStyle w:val="Hyperlink"/>
            <w:rFonts w:ascii="Times New Roman" w:hAnsi="Times New Roman"/>
            <w:b w:val="false"/>
            <w:i w:val="false"/>
            <w:color w:val="000000"/>
            <w:sz w:val="22"/>
          </w:rPr>
          <w:t>252K</w:t>
        </w:r>
      </w:hyperlink>
      <w:r>
        <w:rPr>
          <w:rFonts w:ascii="Times New Roman" w:hAnsi="Times New Roman"/>
          <w:b w:val="false"/>
          <w:i w:val="false"/>
          <w:color w:val="000000"/>
          <w:sz w:val="22"/>
        </w:rPr>
        <w:t xml:space="preserve">, </w:t>
      </w:r>
      <w:hyperlink r:id="rId66">
        <w:r>
          <w:rPr>
            <w:rStyle w:val="Hyperlink"/>
            <w:rFonts w:ascii="Times New Roman" w:hAnsi="Times New Roman"/>
            <w:b w:val="false"/>
            <w:i w:val="false"/>
            <w:color w:val="000000"/>
            <w:sz w:val="22"/>
          </w:rPr>
          <w:t>598</w:t>
        </w:r>
      </w:hyperlink>
      <w:r>
        <w:rPr>
          <w:rFonts w:ascii="Times New Roman" w:hAnsi="Times New Roman"/>
          <w:b w:val="false"/>
          <w:i w:val="false"/>
          <w:color w:val="000000"/>
          <w:sz w:val="22"/>
        </w:rPr>
        <w:t xml:space="preserve">, and </w:t>
      </w:r>
      <w:hyperlink r:id="rId67">
        <w:r>
          <w:rPr>
            <w:rStyle w:val="Hyperlink"/>
            <w:rFonts w:ascii="Times New Roman" w:hAnsi="Times New Roman"/>
            <w:b w:val="false"/>
            <w:i w:val="false"/>
            <w:color w:val="000000"/>
            <w:sz w:val="22"/>
          </w:rPr>
          <w:t>600B</w:t>
        </w:r>
      </w:hyperlink>
      <w:r>
        <w:rPr>
          <w:rFonts w:ascii="Times New Roman" w:hAnsi="Times New Roman"/>
          <w:b w:val="false"/>
          <w:i w:val="false"/>
          <w:color w:val="000000"/>
          <w:sz w:val="22"/>
        </w:rPr>
        <w:t xml:space="preserve"> and any other support chapter. Information is also released to consumer reporting agencies as specified in rule </w:t>
      </w:r>
      <w:hyperlink r:id="rId68">
        <w:r>
          <w:rPr>
            <w:rStyle w:val="Hyperlink"/>
            <w:rFonts w:ascii="Times New Roman" w:hAnsi="Times New Roman"/>
            <w:b w:val="false"/>
            <w:i w:val="false"/>
            <w:color w:val="000000"/>
            <w:sz w:val="22"/>
          </w:rPr>
          <w:t>441—98.116(252B)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9.10(11)</w:t>
      </w:r>
      <w:r>
        <w:rPr>
          <w:rFonts w:ascii="Times New Roman" w:hAnsi="Times New Roman"/>
          <w:b w:val="false"/>
          <w:i w:val="false"/>
          <w:color w:val="000000"/>
          <w:sz w:val="22"/>
        </w:rPr>
        <w:t> </w:t>
      </w:r>
      <w:r>
        <w:rPr>
          <w:rFonts w:ascii="Times New Roman" w:hAnsi="Times New Roman"/>
          <w:b w:val="false"/>
          <w:i/>
          <w:color w:val="000000"/>
          <w:sz w:val="22"/>
        </w:rPr>
        <w:t xml:space="preserve">Refugee resettlement program. </w:t>
      </w:r>
      <w:r>
        <w:rPr>
          <w:rFonts w:ascii="Times New Roman" w:hAnsi="Times New Roman"/>
          <w:b w:val="false"/>
          <w:i w:val="false"/>
          <w:color w:val="000000"/>
          <w:sz w:val="22"/>
        </w:rPr>
        <w:t>Contacts with both sponsor and resettlement agencies are made as a part of the verification process to determine eligibility or the amount of assistance. When a refugee applies for cash or Medicaid, the refugee’s name, address, and telephone number are given to the refugee’s local resettlement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9.10(12)</w:t>
      </w:r>
      <w:r>
        <w:rPr>
          <w:rFonts w:ascii="Times New Roman" w:hAnsi="Times New Roman"/>
          <w:b w:val="false"/>
          <w:i w:val="false"/>
          <w:color w:val="000000"/>
          <w:sz w:val="22"/>
        </w:rPr>
        <w:t> </w:t>
      </w:r>
      <w:r>
        <w:rPr>
          <w:rFonts w:ascii="Times New Roman" w:hAnsi="Times New Roman"/>
          <w:b w:val="false"/>
          <w:i/>
          <w:color w:val="000000"/>
          <w:sz w:val="22"/>
        </w:rPr>
        <w:t xml:space="preserve">Abuse investigation. </w:t>
      </w:r>
      <w:r>
        <w:rPr>
          <w:rFonts w:ascii="Times New Roman" w:hAnsi="Times New Roman"/>
          <w:b w:val="false"/>
          <w:i w:val="false"/>
          <w:color w:val="000000"/>
          <w:sz w:val="22"/>
        </w:rPr>
        <w:t xml:space="preserve">The central abuse registry disseminates child abuse information and dependent adult abuse information as provided in Iowa Code sections </w:t>
      </w:r>
      <w:hyperlink r:id="rId69">
        <w:r>
          <w:rPr>
            <w:rStyle w:val="Hyperlink"/>
            <w:rFonts w:ascii="Times New Roman" w:hAnsi="Times New Roman"/>
            <w:b w:val="false"/>
            <w:i w:val="false"/>
            <w:color w:val="000000"/>
            <w:sz w:val="22"/>
          </w:rPr>
          <w:t>235A.15</w:t>
        </w:r>
      </w:hyperlink>
      <w:r>
        <w:rPr>
          <w:rFonts w:ascii="Times New Roman" w:hAnsi="Times New Roman"/>
          <w:b w:val="false"/>
          <w:i w:val="false"/>
          <w:color w:val="000000"/>
          <w:sz w:val="22"/>
        </w:rPr>
        <w:t xml:space="preserve"> and </w:t>
      </w:r>
      <w:hyperlink r:id="rId70">
        <w:r>
          <w:rPr>
            <w:rStyle w:val="Hyperlink"/>
            <w:rFonts w:ascii="Times New Roman" w:hAnsi="Times New Roman"/>
            <w:b w:val="false"/>
            <w:i w:val="false"/>
            <w:color w:val="000000"/>
            <w:sz w:val="22"/>
          </w:rPr>
          <w:t>235B.7</w:t>
        </w:r>
      </w:hyperlink>
      <w:r>
        <w:rPr>
          <w:rFonts w:ascii="Times New Roman" w:hAnsi="Times New Roman"/>
          <w:b w:val="false"/>
          <w:i w:val="false"/>
          <w:color w:val="000000"/>
          <w:sz w:val="22"/>
        </w:rPr>
        <w:t xml:space="preserve">, respectively. Reports of child abuse and dependent adult abuse investigations are submitted to the county attorney as required in Iowa Code sections </w:t>
      </w:r>
      <w:hyperlink r:id="rId71">
        <w:r>
          <w:rPr>
            <w:rStyle w:val="Hyperlink"/>
            <w:rFonts w:ascii="Times New Roman" w:hAnsi="Times New Roman"/>
            <w:b w:val="false"/>
            <w:i w:val="false"/>
            <w:color w:val="000000"/>
            <w:sz w:val="22"/>
          </w:rPr>
          <w:t>232.71B</w:t>
        </w:r>
      </w:hyperlink>
      <w:r>
        <w:rPr>
          <w:rFonts w:ascii="Times New Roman" w:hAnsi="Times New Roman"/>
          <w:b w:val="false"/>
          <w:i w:val="false"/>
          <w:color w:val="000000"/>
          <w:sz w:val="22"/>
        </w:rPr>
        <w:t xml:space="preserve"> and </w:t>
      </w:r>
      <w:hyperlink r:id="rId72">
        <w:r>
          <w:rPr>
            <w:rStyle w:val="Hyperlink"/>
            <w:rFonts w:ascii="Times New Roman" w:hAnsi="Times New Roman"/>
            <w:b w:val="false"/>
            <w:i w:val="false"/>
            <w:color w:val="000000"/>
            <w:sz w:val="22"/>
          </w:rPr>
          <w:t>235B.3</w:t>
        </w:r>
      </w:hyperlink>
      <w:r>
        <w:rPr>
          <w:rFonts w:ascii="Times New Roman" w:hAnsi="Times New Roman"/>
          <w:b w:val="false"/>
          <w:i w:val="false"/>
          <w:color w:val="000000"/>
          <w:sz w:val="22"/>
        </w:rPr>
        <w:t xml:space="preserve">. Results of the investigation of a report by a mandatory reporter are communicated to the reporter as required in Iowa Code sections </w:t>
      </w:r>
      <w:hyperlink r:id="rId73">
        <w:r>
          <w:rPr>
            <w:rStyle w:val="Hyperlink"/>
            <w:rFonts w:ascii="Times New Roman" w:hAnsi="Times New Roman"/>
            <w:b w:val="false"/>
            <w:i w:val="false"/>
            <w:color w:val="000000"/>
            <w:sz w:val="22"/>
          </w:rPr>
          <w:t>235A.17(2)</w:t>
        </w:r>
      </w:hyperlink>
      <w:r>
        <w:rPr>
          <w:rFonts w:ascii="Times New Roman" w:hAnsi="Times New Roman"/>
          <w:b w:val="false"/>
          <w:i w:val="false"/>
          <w:color w:val="000000"/>
          <w:sz w:val="22"/>
        </w:rPr>
        <w:t xml:space="preserve"> and </w:t>
      </w:r>
      <w:hyperlink r:id="rId74">
        <w:r>
          <w:rPr>
            <w:rStyle w:val="Hyperlink"/>
            <w:rFonts w:ascii="Times New Roman" w:hAnsi="Times New Roman"/>
            <w:b w:val="false"/>
            <w:i w:val="false"/>
            <w:color w:val="000000"/>
            <w:sz w:val="22"/>
          </w:rPr>
          <w:t>235A.15(2)</w:t>
        </w:r>
      </w:hyperlink>
      <w:r>
        <w:rPr>
          <w:rFonts w:ascii="Times New Roman" w:hAnsi="Times New Roman"/>
          <w:b w:val="false"/>
          <w:i/>
          <w:color w:val="000000"/>
          <w:sz w:val="22"/>
        </w:rPr>
        <w:t>“b”</w:t>
      </w:r>
      <w:r>
        <w:rPr>
          <w:rFonts w:ascii="Times New Roman" w:hAnsi="Times New Roman"/>
          <w:b w:val="false"/>
          <w:i w:val="false"/>
          <w:color w:val="000000"/>
          <w:sz w:val="22"/>
        </w:rPr>
        <w:t>(5).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9.10(13)</w:t>
      </w:r>
      <w:r>
        <w:rPr>
          <w:rFonts w:ascii="Times New Roman" w:hAnsi="Times New Roman"/>
          <w:b w:val="false"/>
          <w:i w:val="false"/>
          <w:color w:val="000000"/>
          <w:sz w:val="22"/>
        </w:rPr>
        <w:t> </w:t>
      </w:r>
      <w:r>
        <w:rPr>
          <w:rFonts w:ascii="Times New Roman" w:hAnsi="Times New Roman"/>
          <w:b w:val="false"/>
          <w:i/>
          <w:color w:val="000000"/>
          <w:sz w:val="22"/>
        </w:rPr>
        <w:t xml:space="preserve">Foster care. </w:t>
      </w:r>
      <w:r>
        <w:rPr>
          <w:rFonts w:ascii="Times New Roman" w:hAnsi="Times New Roman"/>
          <w:b w:val="false"/>
          <w:i w:val="false"/>
          <w:color w:val="000000"/>
          <w:sz w:val="22"/>
        </w:rPr>
        <w:t>Information concerning a child’s need for foster care is shared with foster care review committees or foster care review boards and persons named in the case permanency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9.10(14)</w:t>
      </w:r>
      <w:r>
        <w:rPr>
          <w:rFonts w:ascii="Times New Roman" w:hAnsi="Times New Roman"/>
          <w:b w:val="false"/>
          <w:i w:val="false"/>
          <w:color w:val="000000"/>
          <w:sz w:val="22"/>
        </w:rPr>
        <w:t> </w:t>
      </w:r>
      <w:r>
        <w:rPr>
          <w:rFonts w:ascii="Times New Roman" w:hAnsi="Times New Roman"/>
          <w:b w:val="false"/>
          <w:i/>
          <w:color w:val="000000"/>
          <w:sz w:val="22"/>
        </w:rPr>
        <w:t xml:space="preserve">Adoption. </w:t>
      </w:r>
      <w:r>
        <w:rPr>
          <w:rFonts w:ascii="Times New Roman" w:hAnsi="Times New Roman"/>
          <w:b w:val="false"/>
          <w:i w:val="false"/>
          <w:color w:val="000000"/>
          <w:sz w:val="22"/>
        </w:rPr>
        <w:t xml:space="preserve">Adoptive home studies completed on families who wish to adopt a child are released to licensed child-placing agencies, to the United States Immigration and Naturalization Service, and to adoption exchanges. Information is released from adoption records as provided in Iowa Code sections </w:t>
      </w:r>
      <w:hyperlink r:id="rId75">
        <w:r>
          <w:rPr>
            <w:rStyle w:val="Hyperlink"/>
            <w:rFonts w:ascii="Times New Roman" w:hAnsi="Times New Roman"/>
            <w:b w:val="false"/>
            <w:i w:val="false"/>
            <w:color w:val="000000"/>
            <w:sz w:val="22"/>
          </w:rPr>
          <w:t>600.16</w:t>
        </w:r>
      </w:hyperlink>
      <w:r>
        <w:rPr>
          <w:rFonts w:ascii="Times New Roman" w:hAnsi="Times New Roman"/>
          <w:b w:val="false"/>
          <w:i w:val="false"/>
          <w:color w:val="000000"/>
          <w:sz w:val="22"/>
        </w:rPr>
        <w:t xml:space="preserve"> and </w:t>
      </w:r>
      <w:hyperlink r:id="rId76">
        <w:r>
          <w:rPr>
            <w:rStyle w:val="Hyperlink"/>
            <w:rFonts w:ascii="Times New Roman" w:hAnsi="Times New Roman"/>
            <w:b w:val="false"/>
            <w:i w:val="false"/>
            <w:color w:val="000000"/>
            <w:sz w:val="22"/>
          </w:rPr>
          <w:t>600.24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9.10(15)</w:t>
      </w:r>
      <w:r>
        <w:rPr>
          <w:rFonts w:ascii="Times New Roman" w:hAnsi="Times New Roman"/>
          <w:b w:val="false"/>
          <w:i w:val="false"/>
          <w:color w:val="000000"/>
          <w:sz w:val="22"/>
        </w:rPr>
        <w:t> </w:t>
      </w:r>
      <w:r>
        <w:rPr>
          <w:rFonts w:ascii="Times New Roman" w:hAnsi="Times New Roman"/>
          <w:b w:val="false"/>
          <w:i/>
          <w:color w:val="000000"/>
          <w:sz w:val="22"/>
        </w:rPr>
        <w:t xml:space="preserve">Disclosures to law enforcement.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Disclosures by workforce members who are crime victims. </w:t>
      </w:r>
      <w:r>
        <w:rPr>
          <w:rFonts w:ascii="Times New Roman" w:hAnsi="Times New Roman"/>
          <w:b w:val="false"/>
          <w:i w:val="false"/>
          <w:color w:val="000000"/>
          <w:sz w:val="22"/>
        </w:rPr>
        <w:t>The department is not considered to have violated the requirements of this chapter if a member of its workforce who is the victim of a criminal act discloses confidential information to a law enforcement official, provided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confidential information disclosed is about the suspected perpetrator of the criminal act and intended for identification and location purposes;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confidential information disclosed is limited to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and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and place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ABO blood type and Rh factor.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Type of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Date and time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Date and time of death,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description of distinguishing physical characteristics, including height, weight, gender, race, hair and eye color, presence or absence of facial hair (beard or moustache), scars, and tattoos.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Crime on premises. </w:t>
      </w:r>
      <w:r>
        <w:rPr>
          <w:rFonts w:ascii="Times New Roman" w:hAnsi="Times New Roman"/>
          <w:b w:val="false"/>
          <w:i w:val="false"/>
          <w:color w:val="000000"/>
          <w:sz w:val="22"/>
        </w:rPr>
        <w:t>The department may disclose to a law enforcement official protected health information that the department believes in good faith constitutes evidence of criminal conduct that occurred on the premises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Decedents. </w:t>
      </w:r>
      <w:r>
        <w:rPr>
          <w:rFonts w:ascii="Times New Roman" w:hAnsi="Times New Roman"/>
          <w:b w:val="false"/>
          <w:i w:val="false"/>
          <w:color w:val="000000"/>
          <w:sz w:val="22"/>
        </w:rPr>
        <w:t>The department may disclose protected health information to a law enforcement official about a subject who has died when the death resulted from child abuse or neglect or the death occurred in a department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Other. </w:t>
      </w:r>
      <w:r>
        <w:rPr>
          <w:rFonts w:ascii="Times New Roman" w:hAnsi="Times New Roman"/>
          <w:b w:val="false"/>
          <w:i w:val="false"/>
          <w:color w:val="000000"/>
          <w:sz w:val="22"/>
        </w:rPr>
        <w:t>The department may disclose confidential information to a law enforcement official when otherwise required or allowed by this chapter, such as disclosures about victims of child abuse or neglect; disclosures to avert a threat to health or safety, or to report suspected fraud; disclosures required by due process of law, such as disclosures for judicial and administrative proceedings; or other disclosures required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9.10(16)</w:t>
      </w:r>
      <w:r>
        <w:rPr>
          <w:rFonts w:ascii="Times New Roman" w:hAnsi="Times New Roman"/>
          <w:b w:val="false"/>
          <w:i w:val="false"/>
          <w:color w:val="000000"/>
          <w:sz w:val="22"/>
        </w:rPr>
        <w:t> </w:t>
      </w:r>
      <w:r>
        <w:rPr>
          <w:rFonts w:ascii="Times New Roman" w:hAnsi="Times New Roman"/>
          <w:b w:val="false"/>
          <w:i/>
          <w:color w:val="000000"/>
          <w:sz w:val="22"/>
        </w:rPr>
        <w:t xml:space="preserve">Response to law enforcement. </w:t>
      </w:r>
      <w:r>
        <w:rPr>
          <w:rFonts w:ascii="Times New Roman" w:hAnsi="Times New Roman"/>
          <w:b w:val="false"/>
          <w:i w:val="false"/>
          <w:color w:val="000000"/>
          <w:sz w:val="22"/>
        </w:rPr>
        <w:t>The address of a current recipient of family investment program benefits may be released upon request to a federal, state or local law enforcement officer if the officer provides the name of the recipient, and the officer demonstrates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recipient is a fugitive felon who is fleeing prosecution, custody or confinement after conviction under state or federal law, or who is a probation or parole violator under state or federal law,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recipient has information that is necessary for the officer to conduct the officer’s official duties,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location or apprehension of the recipient is within the officer’s official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9.10(17)</w:t>
      </w:r>
      <w:r>
        <w:rPr>
          <w:rFonts w:ascii="Times New Roman" w:hAnsi="Times New Roman"/>
          <w:b w:val="false"/>
          <w:i w:val="false"/>
          <w:color w:val="000000"/>
          <w:sz w:val="22"/>
        </w:rPr>
        <w:t> </w:t>
      </w:r>
      <w:r>
        <w:rPr>
          <w:rFonts w:ascii="Times New Roman" w:hAnsi="Times New Roman"/>
          <w:b w:val="false"/>
          <w:i/>
          <w:color w:val="000000"/>
          <w:sz w:val="22"/>
        </w:rPr>
        <w:t xml:space="preserve">Research and evaluation. </w:t>
      </w:r>
      <w:r>
        <w:rPr>
          <w:rFonts w:ascii="Times New Roman" w:hAnsi="Times New Roman"/>
          <w:b w:val="false"/>
          <w:i w:val="false"/>
          <w:color w:val="000000"/>
          <w:sz w:val="22"/>
        </w:rPr>
        <w:t>Disclosure is made to employees of federal, state and local agencies and other investigators for purposes of bona fide research or evaluation. The department shall not release data or information pursuant to this paragraph unless the department and the researcher have executed an agreement that includes the conditions under which the confidential data or information may be used and restrictions on further disclosure of the data or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Mental health information may be disclosed for purposes of scientific research as provided in Iowa Code sections </w:t>
      </w:r>
      <w:hyperlink r:id="rId77">
        <w:r>
          <w:rPr>
            <w:rStyle w:val="Hyperlink"/>
            <w:rFonts w:ascii="Times New Roman" w:hAnsi="Times New Roman"/>
            <w:b w:val="false"/>
            <w:i w:val="false"/>
            <w:color w:val="000000"/>
            <w:sz w:val="22"/>
          </w:rPr>
          <w:t>228.5</w:t>
        </w:r>
      </w:hyperlink>
      <w:r>
        <w:rPr>
          <w:rFonts w:ascii="Times New Roman" w:hAnsi="Times New Roman"/>
          <w:b w:val="false"/>
          <w:i w:val="false"/>
          <w:color w:val="000000"/>
          <w:sz w:val="22"/>
        </w:rPr>
        <w:t xml:space="preserve"> and </w:t>
      </w:r>
      <w:hyperlink r:id="rId78">
        <w:r>
          <w:rPr>
            <w:rStyle w:val="Hyperlink"/>
            <w:rFonts w:ascii="Times New Roman" w:hAnsi="Times New Roman"/>
            <w:b w:val="false"/>
            <w:i w:val="false"/>
            <w:color w:val="000000"/>
            <w:sz w:val="22"/>
          </w:rPr>
          <w:t>229.25</w:t>
        </w:r>
      </w:hyperlink>
      <w:r>
        <w:rPr>
          <w:rFonts w:ascii="Times New Roman" w:hAnsi="Times New Roman"/>
          <w:b w:val="false"/>
          <w:i w:val="false"/>
          <w:color w:val="000000"/>
          <w:sz w:val="22"/>
        </w:rPr>
        <w:t>. Requests to do research involving records of a department facility shall be approved by the designated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Abuse registry information may be disclosed for research purposes as provided in rules </w:t>
      </w:r>
      <w:hyperlink r:id="rId79">
        <w:r>
          <w:rPr>
            <w:rStyle w:val="Hyperlink"/>
            <w:rFonts w:ascii="Times New Roman" w:hAnsi="Times New Roman"/>
            <w:b w:val="false"/>
            <w:i w:val="false"/>
            <w:color w:val="000000"/>
            <w:sz w:val="22"/>
          </w:rPr>
          <w:t>441—175.42(235A)</w:t>
        </w:r>
      </w:hyperlink>
      <w:r>
        <w:rPr>
          <w:rFonts w:ascii="Times New Roman" w:hAnsi="Times New Roman"/>
          <w:b w:val="false"/>
          <w:i w:val="false"/>
          <w:color w:val="000000"/>
          <w:sz w:val="22"/>
        </w:rPr>
        <w:t xml:space="preserve"> and </w:t>
      </w:r>
      <w:hyperlink r:id="rId80">
        <w:r>
          <w:rPr>
            <w:rStyle w:val="Hyperlink"/>
            <w:rFonts w:ascii="Times New Roman" w:hAnsi="Times New Roman"/>
            <w:b w:val="false"/>
            <w:i w:val="false"/>
            <w:color w:val="000000"/>
            <w:sz w:val="22"/>
          </w:rPr>
          <w:t>441—176.12(235B)</w:t>
        </w:r>
      </w:hyperlink>
      <w:r>
        <w:rPr>
          <w:rFonts w:ascii="Times New Roman" w:hAnsi="Times New Roman"/>
          <w:b w:val="false"/>
          <w:i w:val="false"/>
          <w:color w:val="000000"/>
          <w:sz w:val="22"/>
        </w:rPr>
        <w:t xml:space="preserve"> and authorized by Iowa Code sections </w:t>
      </w:r>
      <w:hyperlink r:id="rId81">
        <w:r>
          <w:rPr>
            <w:rStyle w:val="Hyperlink"/>
            <w:rFonts w:ascii="Times New Roman" w:hAnsi="Times New Roman"/>
            <w:b w:val="false"/>
            <w:i w:val="false"/>
            <w:color w:val="000000"/>
            <w:sz w:val="22"/>
          </w:rPr>
          <w:t>235A.15(2)</w:t>
        </w:r>
      </w:hyperlink>
      <w:r>
        <w:rPr>
          <w:rFonts w:ascii="Times New Roman" w:hAnsi="Times New Roman"/>
          <w:b w:val="false"/>
          <w:i/>
          <w:color w:val="000000"/>
          <w:sz w:val="22"/>
        </w:rPr>
        <w:t>“e”</w:t>
      </w:r>
      <w:r>
        <w:rPr>
          <w:rFonts w:ascii="Times New Roman" w:hAnsi="Times New Roman"/>
          <w:b w:val="false"/>
          <w:i w:val="false"/>
          <w:color w:val="000000"/>
          <w:sz w:val="22"/>
        </w:rPr>
        <w:t xml:space="preserve">(1) and </w:t>
      </w:r>
      <w:hyperlink r:id="rId82">
        <w:r>
          <w:rPr>
            <w:rStyle w:val="Hyperlink"/>
            <w:rFonts w:ascii="Times New Roman" w:hAnsi="Times New Roman"/>
            <w:b w:val="false"/>
            <w:i w:val="false"/>
            <w:color w:val="000000"/>
            <w:sz w:val="22"/>
          </w:rPr>
          <w:t>235B.6(2)</w:t>
        </w:r>
      </w:hyperlink>
      <w:r>
        <w:rPr>
          <w:rFonts w:ascii="Times New Roman" w:hAnsi="Times New Roman"/>
          <w:b w:val="false"/>
          <w:i/>
          <w:color w:val="000000"/>
          <w:sz w:val="22"/>
        </w:rPr>
        <w:t>“e”</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research relating to protected health information, the researcher shall provide the department with information about the nature of the research, the protocol, the type of information being requested, and any other relevant information that is available concerning the request. If the researcher feels that contact with the subject is needed, the researcher shall demonstrate to the department that the research cannot be conducted without contact with the subject. The researcher shall pay for the costs of obtaining authorizations needed to contact the subjects and for the cost of files and preparation needed for the research.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9.10(18)</w:t>
      </w:r>
      <w:r>
        <w:rPr>
          <w:rFonts w:ascii="Times New Roman" w:hAnsi="Times New Roman"/>
          <w:b w:val="false"/>
          <w:i w:val="false"/>
          <w:color w:val="000000"/>
          <w:sz w:val="22"/>
        </w:rPr>
        <w:t> </w:t>
      </w:r>
      <w:r>
        <w:rPr>
          <w:rFonts w:ascii="Times New Roman" w:hAnsi="Times New Roman"/>
          <w:b w:val="false"/>
          <w:i/>
          <w:color w:val="000000"/>
          <w:sz w:val="22"/>
        </w:rPr>
        <w:t xml:space="preserve">Threat to health or safety.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All programs. </w:t>
      </w:r>
      <w:r>
        <w:rPr>
          <w:rFonts w:ascii="Times New Roman" w:hAnsi="Times New Roman"/>
          <w:b w:val="false"/>
          <w:i w:val="false"/>
          <w:color w:val="000000"/>
          <w:sz w:val="22"/>
        </w:rPr>
        <w:t>A client’s name, identification, location, and details of a client’s threatened or actual harm to department staff or property may be reported to law enforcement officials. Other information regarding the client’s relationship to the department shall not be released. When a department staff person believes a client intends to harm someone, the staff person may warn the intended victim or police or both. Only the name, identification, and location of the client and the details of the client’s plan of harm shall be disclosed.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Protected health information. </w:t>
      </w:r>
      <w:r>
        <w:rPr>
          <w:rFonts w:ascii="Times New Roman" w:hAnsi="Times New Roman"/>
          <w:b w:val="false"/>
          <w:i w:val="false"/>
          <w:color w:val="000000"/>
          <w:sz w:val="22"/>
        </w:rPr>
        <w:t>The department will follow the disclosure standards in 45 CFR §164.512 as amended to June 25,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9.10(19)</w:t>
      </w:r>
      <w:r>
        <w:rPr>
          <w:rFonts w:ascii="Times New Roman" w:hAnsi="Times New Roman"/>
          <w:b w:val="false"/>
          <w:i w:val="false"/>
          <w:color w:val="000000"/>
          <w:sz w:val="22"/>
        </w:rPr>
        <w:t> </w:t>
      </w:r>
      <w:r>
        <w:rPr>
          <w:rFonts w:ascii="Times New Roman" w:hAnsi="Times New Roman"/>
          <w:b w:val="false"/>
          <w:i/>
          <w:color w:val="000000"/>
          <w:sz w:val="22"/>
        </w:rPr>
        <w:t xml:space="preserve">Required by law.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Information is shared with other agencies without a contract or written agreement when federal law or regulations require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use or disclose protected health information to the extent that use or disclosure is required by law and the use or disclosure complies with and is limited to the relevant requirements of the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State law shall preempt rules in this chapter about protected health information when any one of the following conditions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Exception granted by Secretary of Health and Human Services under 45 CFR §160.204 as amended to March 26, 2013.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State law more stringent. The provision of state law relates to the privacy of protected health information and is more stringent than a requirement of this chapter, within the meaning of “more stringent” found at 45 CFR §160.202 as amended to March 26, 2013.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Reporting requirements. The provision of state law, including state procedures established under the law, as applicable, provides for the reporting of disease or injury, child abuse, birth, or death, or for the conduct of public health surveillance, investigation, or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Requirements related to audits, monitoring, evaluation, licensing, and certification. The provision of state law requires a health plan to report, or to provide access to, information for the purpose of management audits, financial audits, program monitoring and evaluation, or the licensure or certification of facilities and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9.10(20)</w:t>
      </w:r>
      <w:r>
        <w:rPr>
          <w:rFonts w:ascii="Times New Roman" w:hAnsi="Times New Roman"/>
          <w:b w:val="false"/>
          <w:i w:val="false"/>
          <w:color w:val="000000"/>
          <w:sz w:val="22"/>
        </w:rPr>
        <w:t> </w:t>
      </w:r>
      <w:r>
        <w:rPr>
          <w:rFonts w:ascii="Times New Roman" w:hAnsi="Times New Roman"/>
          <w:b w:val="false"/>
          <w:i/>
          <w:color w:val="000000"/>
          <w:sz w:val="22"/>
        </w:rPr>
        <w:t xml:space="preserve">Treatment, payment, or health care operations.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use or disclose protected health information for treatment, payment, or health care operations, as permitted by 45 CFR §164.506 as amended to March 26, 2013, except for psychotherapy notes, which are subject to the limits described in paragraph </w:t>
      </w:r>
      <w:hyperlink r:id="rId83">
        <w:r>
          <w:rPr>
            <w:rStyle w:val="Hyperlink"/>
            <w:rFonts w:ascii="Times New Roman" w:hAnsi="Times New Roman"/>
            <w:b w:val="false"/>
            <w:i w:val="false"/>
            <w:color w:val="000000"/>
            <w:sz w:val="22"/>
          </w:rPr>
          <w:t>9.10(21)</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use or disclosure shall be consistent with other applicable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use or disclose psychotherapy notes without an authorization for any one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carry out the following treatment, payment, or health care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Use by the originator of the psychotherapy notes for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Use or disclosure by the department for its own training programs in which students, trainees, or practitioners in mental health learn under supervision to practice or improve their skills in group, joint, family, or individual counseling.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Use or disclosure by the department to defend itself in a legal action or other proceeding brought by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required by the Secretary of Health and Human Services to investigate or determine the department’s compliance with federal HIPAA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health oversight activities with respect to the oversight of the originator of the psychotherapy notes.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necessary to prevent or lessen a serious and imminent threat to the health or safety of a person or the public as described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When required by law as described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To disclose protected health information in the designated record set to a coroner or medical examiner as described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9.10(21)</w:t>
      </w:r>
      <w:r>
        <w:rPr>
          <w:rFonts w:ascii="Times New Roman" w:hAnsi="Times New Roman"/>
          <w:b w:val="false"/>
          <w:i w:val="false"/>
          <w:color w:val="000000"/>
          <w:sz w:val="22"/>
        </w:rPr>
        <w:t> </w:t>
      </w:r>
      <w:r>
        <w:rPr>
          <w:rFonts w:ascii="Times New Roman" w:hAnsi="Times New Roman"/>
          <w:b w:val="false"/>
          <w:i/>
          <w:color w:val="000000"/>
          <w:sz w:val="22"/>
        </w:rPr>
        <w:t xml:space="preserve">Other uses and disclosures for which an authorization or opportunity to agree or object is not required. </w:t>
      </w:r>
      <w:r>
        <w:rPr>
          <w:rFonts w:ascii="Times New Roman" w:hAnsi="Times New Roman"/>
          <w:b w:val="false"/>
          <w:i w:val="false"/>
          <w:color w:val="000000"/>
          <w:sz w:val="22"/>
        </w:rPr>
        <w:t>The department may use or disclose protected health information for which an authorization or opportunity to agree or object is not required as permitted by 45 CFR §164.512 as amended to June 25,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9.10(22)</w:t>
      </w:r>
      <w:r>
        <w:rPr>
          <w:rFonts w:ascii="Times New Roman" w:hAnsi="Times New Roman"/>
          <w:b w:val="false"/>
          <w:i w:val="false"/>
          <w:color w:val="000000"/>
          <w:sz w:val="22"/>
        </w:rPr>
        <w:t> </w:t>
      </w:r>
      <w:r>
        <w:rPr>
          <w:rFonts w:ascii="Times New Roman" w:hAnsi="Times New Roman"/>
          <w:b w:val="false"/>
          <w:i/>
          <w:color w:val="000000"/>
          <w:sz w:val="22"/>
        </w:rPr>
        <w:t xml:space="preserve">Victims of domestic violence. </w:t>
      </w:r>
      <w:r>
        <w:rPr>
          <w:rFonts w:ascii="Times New Roman" w:hAnsi="Times New Roman"/>
          <w:b w:val="false"/>
          <w:i w:val="false"/>
          <w:color w:val="000000"/>
          <w:sz w:val="22"/>
        </w:rPr>
        <w:t>The department shall disclose confidential information about an individual whom the department reasonably believes to be a victim of domestic violence when required by state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9.10(23)</w:t>
      </w:r>
      <w:r>
        <w:rPr>
          <w:rFonts w:ascii="Times New Roman" w:hAnsi="Times New Roman"/>
          <w:b w:val="false"/>
          <w:i w:val="false"/>
          <w:color w:val="000000"/>
          <w:sz w:val="22"/>
        </w:rPr>
        <w:t> </w:t>
      </w:r>
      <w:r>
        <w:rPr>
          <w:rFonts w:ascii="Times New Roman" w:hAnsi="Times New Roman"/>
          <w:b w:val="false"/>
          <w:i/>
          <w:color w:val="000000"/>
          <w:sz w:val="22"/>
        </w:rPr>
        <w:t xml:space="preserve">Whistle blowers. </w:t>
      </w:r>
      <w:r>
        <w:rPr>
          <w:rFonts w:ascii="Times New Roman" w:hAnsi="Times New Roman"/>
          <w:b w:val="false"/>
          <w:i w:val="false"/>
          <w:color w:val="000000"/>
          <w:sz w:val="22"/>
        </w:rPr>
        <w:t>The department is not considered to have violated the requirements of this chapter when a member of its workforce or a business associate discloses protected health information, provided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workforce member or business associate has a good-faith belief that the department or a business associate has engaged in conduct that is unlawful or otherwise violates professional or clinical standards, or has provided care, services, or conditions that potentially endanger one or more patients, workers, or the public;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disclosure is made to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health oversight agency or public health authority authorized by law to investigate or oversee conduct or conditions for the purpose of reporting the allegation of failure to meet professional standards or misconduct.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appropriate health care accreditation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attorney retained by or on behalf of the workforce member or business associate for the purpose of determining the legal options of the workforce member or business associate.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9.10(24)</w:t>
      </w:r>
      <w:r>
        <w:rPr>
          <w:rFonts w:ascii="Times New Roman" w:hAnsi="Times New Roman"/>
          <w:b w:val="false"/>
          <w:i w:val="false"/>
          <w:color w:val="000000"/>
          <w:sz w:val="22"/>
        </w:rPr>
        <w:t> </w:t>
      </w:r>
      <w:r>
        <w:rPr>
          <w:rFonts w:ascii="Times New Roman" w:hAnsi="Times New Roman"/>
          <w:b w:val="false"/>
          <w:i/>
          <w:color w:val="000000"/>
          <w:sz w:val="22"/>
        </w:rPr>
        <w:t xml:space="preserve">Secondary to a use or disclosure of protected health information. </w:t>
      </w:r>
      <w:r>
        <w:rPr>
          <w:rFonts w:ascii="Times New Roman" w:hAnsi="Times New Roman"/>
          <w:b w:val="false"/>
          <w:i w:val="false"/>
          <w:color w:val="000000"/>
          <w:sz w:val="22"/>
        </w:rPr>
        <w:t>The department may use or disclose protected health information that is secondary to a use or disclosure otherwise permitted or required by these rules, such as when a visitor in a facility overhears a doctor speaking to a subject about the subject’s health.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9.10(25)</w:t>
      </w:r>
      <w:r>
        <w:rPr>
          <w:rFonts w:ascii="Times New Roman" w:hAnsi="Times New Roman"/>
          <w:b w:val="false"/>
          <w:i w:val="false"/>
          <w:color w:val="000000"/>
          <w:sz w:val="22"/>
        </w:rPr>
        <w:t> </w:t>
      </w:r>
      <w:r>
        <w:rPr>
          <w:rFonts w:ascii="Times New Roman" w:hAnsi="Times New Roman"/>
          <w:b w:val="false"/>
          <w:i/>
          <w:color w:val="000000"/>
          <w:sz w:val="22"/>
        </w:rPr>
        <w:t xml:space="preserve">De-identified data or a limited data set. </w:t>
      </w:r>
      <w:r>
        <w:rPr>
          <w:rFonts w:ascii="Times New Roman" w:hAnsi="Times New Roman"/>
          <w:b w:val="false"/>
          <w:i w:val="false"/>
          <w:color w:val="000000"/>
          <w:sz w:val="22"/>
        </w:rPr>
        <w:t>The department may use or disclose protected health information to create information that is de-identified or a limited data set under the conditions specified in 45 CFR §164.514 as amended to June 7, 2013.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441—9.11</w:t>
      </w:r>
      <w:r>
        <w:rPr>
          <w:rFonts w:ascii="Times New Roman" w:hAnsi="Times New Roman"/>
          <w:b/>
          <w:i w:val="false"/>
          <w:color w:val="000000"/>
          <w:sz w:val="22"/>
        </w:rPr>
        <w:t xml:space="preserve">(22) </w:t>
      </w:r>
      <w:r>
        <w:rPr>
          <w:rFonts w:ascii="Times New Roman" w:hAnsi="Times New Roman"/>
          <w:b/>
          <w:i w:val="false"/>
          <w:color w:val="000000"/>
          <w:sz w:val="22"/>
        </w:rPr>
        <w:t xml:space="preserve">Availability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9.11(1)</w:t>
      </w:r>
      <w:r>
        <w:rPr>
          <w:rFonts w:ascii="Times New Roman" w:hAnsi="Times New Roman"/>
          <w:b w:val="false"/>
          <w:i w:val="false"/>
          <w:color w:val="000000"/>
          <w:sz w:val="22"/>
        </w:rPr>
        <w:t> </w:t>
      </w:r>
      <w:r>
        <w:rPr>
          <w:rFonts w:ascii="Times New Roman" w:hAnsi="Times New Roman"/>
          <w:b w:val="false"/>
          <w:i/>
          <w:color w:val="000000"/>
          <w:sz w:val="22"/>
        </w:rPr>
        <w:t xml:space="preserve">Open records. </w:t>
      </w:r>
      <w:r>
        <w:rPr>
          <w:rFonts w:ascii="Times New Roman" w:hAnsi="Times New Roman"/>
          <w:b w:val="false"/>
          <w:i w:val="false"/>
          <w:color w:val="000000"/>
          <w:sz w:val="22"/>
        </w:rPr>
        <w:t>Department records are open for public inspection and copying unless otherwise provided by rule or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9.11(2)</w:t>
      </w:r>
      <w:r>
        <w:rPr>
          <w:rFonts w:ascii="Times New Roman" w:hAnsi="Times New Roman"/>
          <w:b w:val="false"/>
          <w:i w:val="false"/>
          <w:color w:val="000000"/>
          <w:sz w:val="22"/>
        </w:rPr>
        <w:t> </w:t>
      </w:r>
      <w:r>
        <w:rPr>
          <w:rFonts w:ascii="Times New Roman" w:hAnsi="Times New Roman"/>
          <w:b w:val="false"/>
          <w:i/>
          <w:color w:val="000000"/>
          <w:sz w:val="22"/>
        </w:rPr>
        <w:t xml:space="preserve">Confidential records. </w:t>
      </w:r>
      <w:r>
        <w:rPr>
          <w:rFonts w:ascii="Times New Roman" w:hAnsi="Times New Roman"/>
          <w:b w:val="false"/>
          <w:i w:val="false"/>
          <w:color w:val="000000"/>
          <w:sz w:val="22"/>
        </w:rPr>
        <w:t xml:space="preserve">Iowa Code chapters governing the operations of the department establish the confidential nature of many department records. The department also administers several federally funded programs and is authorized by Iowa Code section </w:t>
      </w:r>
      <w:hyperlink r:id="rId84">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 xml:space="preserve"> to enforce confidentiality standards from federal law and regulation as required for receipt of the funds where the department has determined that the right to examine and copy public records under Iowa Code section </w:t>
      </w:r>
      <w:hyperlink r:id="rId85">
        <w:r>
          <w:rPr>
            <w:rStyle w:val="Hyperlink"/>
            <w:rFonts w:ascii="Times New Roman" w:hAnsi="Times New Roman"/>
            <w:b w:val="false"/>
            <w:i w:val="false"/>
            <w:color w:val="000000"/>
            <w:sz w:val="22"/>
          </w:rPr>
          <w:t>22.2</w:t>
        </w:r>
      </w:hyperlink>
      <w:r>
        <w:rPr>
          <w:rFonts w:ascii="Times New Roman" w:hAnsi="Times New Roman"/>
          <w:b w:val="false"/>
          <w:i w:val="false"/>
          <w:color w:val="000000"/>
          <w:sz w:val="22"/>
        </w:rPr>
        <w:t xml:space="preserve"> would cause the denial of funds, services, or essential information from the United States government that would otherwise be available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9.11(3)</w:t>
      </w:r>
      <w:r>
        <w:rPr>
          <w:rFonts w:ascii="Times New Roman" w:hAnsi="Times New Roman"/>
          <w:b w:val="false"/>
          <w:i w:val="false"/>
          <w:color w:val="000000"/>
          <w:sz w:val="22"/>
        </w:rPr>
        <w:t> </w:t>
      </w:r>
      <w:r>
        <w:rPr>
          <w:rFonts w:ascii="Times New Roman" w:hAnsi="Times New Roman"/>
          <w:b w:val="false"/>
          <w:i/>
          <w:color w:val="000000"/>
          <w:sz w:val="22"/>
        </w:rPr>
        <w:t xml:space="preserve">Authority to release confidential records. </w:t>
      </w:r>
      <w:r>
        <w:rPr>
          <w:rFonts w:ascii="Times New Roman" w:hAnsi="Times New Roman"/>
          <w:b w:val="false"/>
          <w:i w:val="false"/>
          <w:color w:val="000000"/>
          <w:sz w:val="22"/>
        </w:rPr>
        <w:t xml:space="preserve">The department may have discretion to disclose some confidential records that are exempt from disclosure under Iowa Code section </w:t>
      </w:r>
      <w:hyperlink r:id="rId86">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provision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441—9.12</w:t>
      </w:r>
      <w:r>
        <w:rPr>
          <w:rFonts w:ascii="Times New Roman" w:hAnsi="Times New Roman"/>
          <w:b/>
          <w:i w:val="false"/>
          <w:color w:val="000000"/>
          <w:sz w:val="22"/>
        </w:rPr>
        <w:t xml:space="preserve">(22,252G)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Rescinded </w:t>
      </w:r>
      <w:r>
        <w:rPr>
          <w:rFonts w:ascii="Times New Roman" w:hAnsi="Times New Roman"/>
          <w:b/>
          <w:i w:val="false"/>
          <w:color w:val="000000"/>
          <w:sz w:val="22"/>
        </w:rPr>
        <w:t>ARC 0300D</w:t>
      </w:r>
      <w:r>
        <w:rPr>
          <w:rFonts w:ascii="Times New Roman" w:hAnsi="Times New Roman"/>
          <w:b w:val="false"/>
          <w:i w:val="false"/>
          <w:color w:val="000000"/>
          <w:sz w:val="22"/>
        </w:rPr>
        <w:t xml:space="preserve">, </w:t>
      </w:r>
      <w:r>
        <w:rPr>
          <w:rFonts w:ascii="Times New Roman" w:hAnsi="Times New Roman"/>
          <w:b w:val="false"/>
          <w:i w:val="false"/>
          <w:color w:val="000000"/>
          <w:sz w:val="22"/>
        </w:rPr>
        <w:t>IAB 5/27/26</w:t>
      </w:r>
      <w:r>
        <w:rPr>
          <w:rFonts w:ascii="Times New Roman" w:hAnsi="Times New Roman"/>
          <w:b w:val="false"/>
          <w:i w:val="false"/>
          <w:color w:val="000000"/>
          <w:sz w:val="22"/>
        </w:rPr>
        <w:t xml:space="preserve">, effective 7/1/26. </w:t>
      </w:r>
    </w:p>
    <w:p>
      <w:pPr>
        <w:spacing w:before="0" w:after="0"/>
        <w:ind w:left="120"/>
        <w:jc w:val="both"/>
      </w:pPr>
      <w:r>
        <w:rPr>
          <w:rFonts w:ascii="Times New Roman" w:hAnsi="Times New Roman"/>
          <w:b/>
          <w:i w:val="false"/>
          <w:color w:val="000000"/>
          <w:sz w:val="22"/>
        </w:rPr>
        <w:t>441—9.13</w:t>
      </w:r>
      <w:r>
        <w:rPr>
          <w:rFonts w:ascii="Times New Roman" w:hAnsi="Times New Roman"/>
          <w:b/>
          <w:i w:val="false"/>
          <w:color w:val="000000"/>
          <w:sz w:val="22"/>
        </w:rPr>
        <w:t xml:space="preserve">(17A,22) </w:t>
      </w:r>
      <w:r>
        <w:rPr>
          <w:rFonts w:ascii="Times New Roman" w:hAnsi="Times New Roman"/>
          <w:b/>
          <w:i w:val="false"/>
          <w:color w:val="000000"/>
          <w:sz w:val="22"/>
        </w:rPr>
        <w:t xml:space="preserve">Special policies and procedures for protected health information. </w:t>
      </w:r>
      <w:r>
        <w:rPr>
          <w:rFonts w:ascii="Times New Roman" w:hAnsi="Times New Roman"/>
          <w:b w:val="false"/>
          <w:i w:val="false"/>
          <w:color w:val="000000"/>
          <w:sz w:val="22"/>
        </w:rPr>
        <w:t>The department will follow all special policies and procedures for using and disclosing protected health information as outlined in 45 CFR Part 164 as amended through December 31, 2023, including the minimum necessary standard, uses and disclosures for premium rating and related purposes, verification and documentation requirements, notice of privacy practices, the right to receive an accounting of disclosures, complaint procedures, appeal rights and record retention.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441—9.14</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 who may exercise rights of the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9.14(1)</w:t>
      </w:r>
      <w:r>
        <w:rPr>
          <w:rFonts w:ascii="Times New Roman" w:hAnsi="Times New Roman"/>
          <w:b w:val="false"/>
          <w:i w:val="false"/>
          <w:color w:val="000000"/>
          <w:sz w:val="22"/>
        </w:rPr>
        <w:t> </w:t>
      </w:r>
      <w:r>
        <w:rPr>
          <w:rFonts w:ascii="Times New Roman" w:hAnsi="Times New Roman"/>
          <w:b w:val="false"/>
          <w:i/>
          <w:color w:val="000000"/>
          <w:sz w:val="22"/>
        </w:rPr>
        <w:t xml:space="preserve">Adults. </w:t>
      </w:r>
      <w:r>
        <w:rPr>
          <w:rFonts w:ascii="Times New Roman" w:hAnsi="Times New Roman"/>
          <w:b w:val="false"/>
          <w:i w:val="false"/>
          <w:color w:val="000000"/>
          <w:sz w:val="22"/>
        </w:rPr>
        <w:t xml:space="preserve">When the subject is an adult, including an emancipated minor, the subject’s rights under this rule may also be exercised by the subject’s legal or personal representative, except as provided in subrule </w:t>
      </w:r>
      <w:hyperlink r:id="rId87">
        <w:r>
          <w:rPr>
            <w:rStyle w:val="Hyperlink"/>
            <w:rFonts w:ascii="Times New Roman" w:hAnsi="Times New Roman"/>
            <w:b w:val="false"/>
            <w:i w:val="false"/>
            <w:color w:val="000000"/>
            <w:sz w:val="22"/>
          </w:rPr>
          <w:t>9.14(3)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9.14(2)</w:t>
      </w:r>
      <w:r>
        <w:rPr>
          <w:rFonts w:ascii="Times New Roman" w:hAnsi="Times New Roman"/>
          <w:b w:val="false"/>
          <w:i w:val="false"/>
          <w:color w:val="000000"/>
          <w:sz w:val="22"/>
        </w:rPr>
        <w:t> </w:t>
      </w:r>
      <w:r>
        <w:rPr>
          <w:rFonts w:ascii="Times New Roman" w:hAnsi="Times New Roman"/>
          <w:b w:val="false"/>
          <w:i/>
          <w:color w:val="000000"/>
          <w:sz w:val="22"/>
        </w:rPr>
        <w:t xml:space="preserve">Minors. </w:t>
      </w:r>
      <w:r>
        <w:rPr>
          <w:rFonts w:ascii="Times New Roman" w:hAnsi="Times New Roman"/>
          <w:b w:val="false"/>
          <w:i w:val="false"/>
          <w:color w:val="000000"/>
          <w:sz w:val="22"/>
        </w:rPr>
        <w:t xml:space="preserve">Within the limits of subrule </w:t>
      </w:r>
      <w:hyperlink r:id="rId88">
        <w:r>
          <w:rPr>
            <w:rStyle w:val="Hyperlink"/>
            <w:rFonts w:ascii="Times New Roman" w:hAnsi="Times New Roman"/>
            <w:b w:val="false"/>
            <w:i w:val="false"/>
            <w:color w:val="000000"/>
            <w:sz w:val="22"/>
          </w:rPr>
          <w:t>9.14(3)</w:t>
        </w:r>
      </w:hyperlink>
      <w:r>
        <w:rPr>
          <w:rFonts w:ascii="Times New Roman" w:hAnsi="Times New Roman"/>
          <w:b w:val="false"/>
          <w:i w:val="false"/>
          <w:color w:val="000000"/>
          <w:sz w:val="22"/>
        </w:rPr>
        <w:t>, when the subject is an unemancipated minor, the subject’s rights under this rule shall be exercised only by the subject’s legal representative, except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the department otherwise deals with the minor as an adult, as in the case of minor parents under the family investment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When otherwise specifically provided by law. However, minor subjects shall be granted access to their own records upon request, subject to the limits in rule </w:t>
      </w:r>
      <w:hyperlink r:id="rId89">
        <w:r>
          <w:rPr>
            <w:rStyle w:val="Hyperlink"/>
            <w:rFonts w:ascii="Times New Roman" w:hAnsi="Times New Roman"/>
            <w:b w:val="false"/>
            <w:i w:val="false"/>
            <w:color w:val="000000"/>
            <w:sz w:val="22"/>
          </w:rPr>
          <w:t>441—9.9(17A,22)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9.14(3)</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Scope of authority. </w:t>
      </w:r>
      <w:r>
        <w:rPr>
          <w:rFonts w:ascii="Times New Roman" w:hAnsi="Times New Roman"/>
          <w:b w:val="false"/>
          <w:i w:val="false"/>
          <w:color w:val="000000"/>
          <w:sz w:val="22"/>
        </w:rPr>
        <w:t>Legal and personal representatives may act only within the scope of their authority. For protected health information, the designation must reflect the subject’s ability to make health care decisions and receive protected health information. For example, court-appointed conservators shall have access to and authority to release only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and address of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Amounts of assistance or type of services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Information about the economic circumstances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Mental health information. </w:t>
      </w:r>
      <w:r>
        <w:rPr>
          <w:rFonts w:ascii="Times New Roman" w:hAnsi="Times New Roman"/>
          <w:b w:val="false"/>
          <w:i w:val="false"/>
          <w:color w:val="000000"/>
          <w:sz w:val="22"/>
        </w:rPr>
        <w:t xml:space="preserve">Only an adult subject or a subject’s legal representative may consent to the disclosure of mental health information. Records of involuntary hospitalization shall be released only as provided in Iowa Code section </w:t>
      </w:r>
      <w:hyperlink r:id="rId90">
        <w:r>
          <w:rPr>
            <w:rStyle w:val="Hyperlink"/>
            <w:rFonts w:ascii="Times New Roman" w:hAnsi="Times New Roman"/>
            <w:b w:val="false"/>
            <w:i w:val="false"/>
            <w:color w:val="000000"/>
            <w:sz w:val="22"/>
          </w:rPr>
          <w:t>229.24</w:t>
        </w:r>
      </w:hyperlink>
      <w:r>
        <w:rPr>
          <w:rFonts w:ascii="Times New Roman" w:hAnsi="Times New Roman"/>
          <w:b w:val="false"/>
          <w:i w:val="false"/>
          <w:color w:val="000000"/>
          <w:sz w:val="22"/>
        </w:rPr>
        <w:t xml:space="preserve">. Medical records of persons hospitalized under Iowa Code chapter </w:t>
      </w:r>
      <w:hyperlink r:id="rId91">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 xml:space="preserve"> shall be released only as provided in Iowa Code section </w:t>
      </w:r>
      <w:hyperlink r:id="rId92">
        <w:r>
          <w:rPr>
            <w:rStyle w:val="Hyperlink"/>
            <w:rFonts w:ascii="Times New Roman" w:hAnsi="Times New Roman"/>
            <w:b w:val="false"/>
            <w:i w:val="false"/>
            <w:color w:val="000000"/>
            <w:sz w:val="22"/>
          </w:rPr>
          <w:t>229.25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Substance abuse information. </w:t>
      </w:r>
      <w:r>
        <w:rPr>
          <w:rFonts w:ascii="Times New Roman" w:hAnsi="Times New Roman"/>
          <w:b w:val="false"/>
          <w:i w:val="false"/>
          <w:color w:val="000000"/>
          <w:sz w:val="22"/>
        </w:rPr>
        <w:t>Only the subject may consent to the disclosure of substance abuse information, regardless of the subject’s age or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Failure to act in good faith. </w:t>
      </w:r>
      <w:r>
        <w:rPr>
          <w:rFonts w:ascii="Times New Roman" w:hAnsi="Times New Roman"/>
          <w:b w:val="false"/>
          <w:i w:val="false"/>
          <w:color w:val="000000"/>
          <w:sz w:val="22"/>
        </w:rPr>
        <w:t>If the department has reason to believe that the legal or personal representative is not acting in good faith in the best interests of the subject, the department may refuse to release information on the authorization of the legal or personal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Abuse, neglect, and endangerment situations. </w:t>
      </w:r>
      <w:r>
        <w:rPr>
          <w:rFonts w:ascii="Times New Roman" w:hAnsi="Times New Roman"/>
          <w:b w:val="false"/>
          <w:i w:val="false"/>
          <w:color w:val="000000"/>
          <w:sz w:val="22"/>
        </w:rPr>
        <w:t>Notwithstanding a state law or any other requirement of this chapter, the department, in the exercise of professional judgment, may elect not to treat a person as a subject’s personal representative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has reason to believe that the subject has been or may be subjected to domestic violence, abuse, or neglect by the person;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has reason to believe that treating the person as a personal representative could endanger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Protected health information. </w:t>
      </w:r>
      <w:r>
        <w:rPr>
          <w:rFonts w:ascii="Times New Roman" w:hAnsi="Times New Roman"/>
          <w:b w:val="false"/>
          <w:i w:val="false"/>
          <w:color w:val="000000"/>
          <w:sz w:val="22"/>
        </w:rPr>
        <w:t>A parent, guardian, or other person acting in place of a parent who does not represent the minor for protected health information may still access protected health information about the minor if required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Deceased subjects. </w:t>
      </w:r>
      <w:r>
        <w:rPr>
          <w:rFonts w:ascii="Times New Roman" w:hAnsi="Times New Roman"/>
          <w:b w:val="false"/>
          <w:i w:val="false"/>
          <w:color w:val="000000"/>
          <w:sz w:val="22"/>
        </w:rPr>
        <w:t>If, under applicable law, an executor, administrator, or other person has authority to act on behalf of a deceased subject or of the subject’s estate, the department shall treat that person as a personal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Other. </w:t>
      </w:r>
      <w:r>
        <w:rPr>
          <w:rFonts w:ascii="Times New Roman" w:hAnsi="Times New Roman"/>
          <w:b w:val="false"/>
          <w:i w:val="false"/>
          <w:color w:val="000000"/>
          <w:sz w:val="22"/>
        </w:rPr>
        <w:t>If, under applicable law, the subject of a confidential record is precluded from having a copy of a record concerning the subject disclosed to a third party, the department shall not treat the third party as a personal representative.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9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94">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w:t>
      </w:r>
      <w:hyperlink r:id="rId95">
        <w:r>
          <w:rPr>
            <w:rStyle w:val="Hyperlink"/>
            <w:rFonts w:ascii="Times New Roman" w:hAnsi="Times New Roman"/>
            <w:b w:val="false"/>
            <w:i w:val="false"/>
            <w:color w:val="000000"/>
            <w:sz w:val="22"/>
          </w:rPr>
          <w:t>135</w:t>
        </w:r>
      </w:hyperlink>
      <w:r>
        <w:rPr>
          <w:rFonts w:ascii="Times New Roman" w:hAnsi="Times New Roman"/>
          <w:b w:val="false"/>
          <w:i w:val="false"/>
          <w:color w:val="000000"/>
          <w:sz w:val="22"/>
        </w:rPr>
        <w:t xml:space="preserve">, </w:t>
      </w:r>
      <w:hyperlink r:id="rId96">
        <w:r>
          <w:rPr>
            <w:rStyle w:val="Hyperlink"/>
            <w:rFonts w:ascii="Times New Roman" w:hAnsi="Times New Roman"/>
            <w:b w:val="false"/>
            <w:i w:val="false"/>
            <w:color w:val="000000"/>
            <w:sz w:val="22"/>
          </w:rPr>
          <w:t>217</w:t>
        </w:r>
      </w:hyperlink>
      <w:r>
        <w:rPr>
          <w:rFonts w:ascii="Times New Roman" w:hAnsi="Times New Roman"/>
          <w:b w:val="false"/>
          <w:i w:val="false"/>
          <w:color w:val="000000"/>
          <w:sz w:val="22"/>
        </w:rPr>
        <w:t xml:space="preserve">, </w:t>
      </w:r>
      <w:hyperlink r:id="rId97">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xml:space="preserve">, and </w:t>
      </w:r>
      <w:hyperlink r:id="rId98">
        <w:r>
          <w:rPr>
            <w:rStyle w:val="Hyperlink"/>
            <w:rFonts w:ascii="Times New Roman" w:hAnsi="Times New Roman"/>
            <w:b w:val="false"/>
            <w:i w:val="false"/>
            <w:color w:val="000000"/>
            <w:sz w:val="22"/>
          </w:rPr>
          <w:t>252G</w:t>
        </w:r>
      </w:hyperlink>
      <w:r>
        <w:rPr>
          <w:rFonts w:ascii="Times New Roman" w:hAnsi="Times New Roman"/>
          <w:b w:val="false"/>
          <w:i w:val="false"/>
          <w:color w:val="000000"/>
          <w:sz w:val="22"/>
        </w:rPr>
        <w:t xml:space="preserve"> and the Health Insurance Portability and Accountability Act of 1996.</w:t>
      </w:r>
    </w:p>
    <w:p>
      <w:pPr>
        <w:spacing w:before="0" w:after="0"/>
        <w:ind w:left="120"/>
        <w:jc w:val="center"/>
      </w:pPr>
      <w:r>
        <w:rPr>
          <w:rFonts w:ascii="Times New Roman" w:hAnsi="Times New Roman"/>
          <w:b w:val="false"/>
          <w:i w:val="false"/>
          <w:color w:val="000000"/>
          <w:sz w:val="21"/>
        </w:rPr>
        <w:t>[Filed emergency 11/25/75—published 12/15/75, effective 11/25/75]</w:t>
      </w:r>
    </w:p>
    <w:p>
      <w:pPr>
        <w:spacing w:before="0" w:after="0"/>
        <w:ind w:left="120"/>
        <w:jc w:val="center"/>
      </w:pPr>
      <w:r>
        <w:rPr>
          <w:rFonts w:ascii="Times New Roman" w:hAnsi="Times New Roman"/>
          <w:b w:val="false"/>
          <w:i w:val="false"/>
          <w:color w:val="000000"/>
          <w:sz w:val="21"/>
        </w:rPr>
        <w:t>[Filed 12/17/76, Notice 11/3/76—published 1/12/77, effective 2/16/77]</w:t>
      </w:r>
    </w:p>
    <w:p>
      <w:pPr>
        <w:spacing w:before="0" w:after="0"/>
        <w:ind w:left="120"/>
        <w:jc w:val="center"/>
      </w:pPr>
      <w:r>
        <w:rPr>
          <w:rFonts w:ascii="Times New Roman" w:hAnsi="Times New Roman"/>
          <w:b w:val="false"/>
          <w:i w:val="false"/>
          <w:color w:val="000000"/>
          <w:sz w:val="21"/>
        </w:rPr>
        <w:t>[Filed 9/6/79, Notice 7/11/79—published 10/3/79, effective 11/7/79]</w:t>
      </w:r>
    </w:p>
    <w:p>
      <w:pPr>
        <w:spacing w:before="0" w:after="0"/>
        <w:ind w:left="120"/>
        <w:jc w:val="center"/>
      </w:pPr>
      <w:r>
        <w:rPr>
          <w:rFonts w:ascii="Times New Roman" w:hAnsi="Times New Roman"/>
          <w:b w:val="false"/>
          <w:i w:val="false"/>
          <w:color w:val="000000"/>
          <w:sz w:val="21"/>
        </w:rPr>
        <w:t>[Filed 4/23/81, Notice 3/4/81—published 5/13/81, effective 6/17/81]</w:t>
      </w:r>
    </w:p>
    <w:p>
      <w:pPr>
        <w:spacing w:before="0" w:after="0"/>
        <w:ind w:left="120"/>
        <w:jc w:val="center"/>
      </w:pPr>
      <w:r>
        <w:rPr>
          <w:rFonts w:ascii="Times New Roman" w:hAnsi="Times New Roman"/>
          <w:b w:val="false"/>
          <w:i w:val="false"/>
          <w:color w:val="000000"/>
          <w:sz w:val="21"/>
        </w:rPr>
        <w:t>[Filed emergency 2/10/84—published 2/29/84, effective 2/10/84]</w:t>
      </w:r>
    </w:p>
    <w:p>
      <w:pPr>
        <w:spacing w:before="0" w:after="0"/>
        <w:ind w:left="120"/>
        <w:jc w:val="center"/>
      </w:pPr>
      <w:r>
        <w:rPr>
          <w:rFonts w:ascii="Times New Roman" w:hAnsi="Times New Roman"/>
          <w:b w:val="false"/>
          <w:i w:val="false"/>
          <w:color w:val="000000"/>
          <w:sz w:val="21"/>
        </w:rPr>
        <w:t>[Filed 3/4/85, Notice 12/19/84—published 3/27/85, effective 5/1/85]</w:t>
      </w:r>
    </w:p>
    <w:p>
      <w:pPr>
        <w:spacing w:before="0" w:after="0"/>
        <w:ind w:left="120"/>
        <w:jc w:val="center"/>
      </w:pPr>
      <w:r>
        <w:rPr>
          <w:rFonts w:ascii="Times New Roman" w:hAnsi="Times New Roman"/>
          <w:b w:val="false"/>
          <w:i w:val="false"/>
          <w:color w:val="000000"/>
          <w:sz w:val="21"/>
        </w:rPr>
        <w:t>[Filed 7/25/86, Notice 5/21/86—published 8/13/86, effective 10/1/86]</w:t>
      </w:r>
    </w:p>
    <w:p>
      <w:pPr>
        <w:spacing w:before="0" w:after="0"/>
        <w:ind w:left="120"/>
        <w:jc w:val="center"/>
      </w:pPr>
      <w:r>
        <w:rPr>
          <w:rFonts w:ascii="Times New Roman" w:hAnsi="Times New Roman"/>
          <w:b w:val="false"/>
          <w:i w:val="false"/>
          <w:color w:val="000000"/>
          <w:sz w:val="21"/>
        </w:rPr>
        <w:t>[Filed 11/14/86, Notice 10/8/86—published 12/3/86, effective 2/1/87]</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4/22/88, Notice 2/10/88—published 5/18/88, effective 7/1/88]</w:t>
      </w:r>
    </w:p>
    <w:p>
      <w:pPr>
        <w:spacing w:before="0" w:after="0"/>
        <w:ind w:left="120"/>
        <w:jc w:val="center"/>
      </w:pPr>
      <w:r>
        <w:rPr>
          <w:rFonts w:ascii="Times New Roman" w:hAnsi="Times New Roman"/>
          <w:b w:val="false"/>
          <w:i w:val="false"/>
          <w:color w:val="000000"/>
          <w:sz w:val="21"/>
        </w:rPr>
        <w:t>[Filed without Notice 12/8/88—published 12/28/88, effective 2/1/89]</w:t>
      </w:r>
    </w:p>
    <w:p>
      <w:pPr>
        <w:spacing w:before="0" w:after="0"/>
        <w:ind w:left="120"/>
        <w:jc w:val="center"/>
      </w:pPr>
      <w:r>
        <w:rPr>
          <w:rFonts w:ascii="Times New Roman" w:hAnsi="Times New Roman"/>
          <w:b w:val="false"/>
          <w:i w:val="false"/>
          <w:color w:val="000000"/>
          <w:sz w:val="21"/>
        </w:rPr>
        <w:t>[Filed emergency 6/29/89 after Notice 5/3/89—published 7/26/89, effective 7/1/89]</w:t>
      </w:r>
    </w:p>
    <w:p>
      <w:pPr>
        <w:spacing w:before="0" w:after="0"/>
        <w:ind w:left="120"/>
        <w:jc w:val="center"/>
      </w:pPr>
      <w:r>
        <w:rPr>
          <w:rFonts w:ascii="Times New Roman" w:hAnsi="Times New Roman"/>
          <w:b w:val="false"/>
          <w:i w:val="false"/>
          <w:color w:val="000000"/>
          <w:sz w:val="21"/>
        </w:rPr>
        <w:t>[Filed 10/10/89, Notice 8/23/89—published 11/1/89, effective 1/1/90]</w:t>
      </w:r>
    </w:p>
    <w:p>
      <w:pPr>
        <w:spacing w:before="0" w:after="0"/>
        <w:ind w:left="120"/>
        <w:jc w:val="center"/>
      </w:pPr>
      <w:r>
        <w:rPr>
          <w:rFonts w:ascii="Times New Roman" w:hAnsi="Times New Roman"/>
          <w:b w:val="false"/>
          <w:i w:val="false"/>
          <w:color w:val="000000"/>
          <w:sz w:val="21"/>
        </w:rPr>
        <w:t>[Filed 12/15/89, Notice 7/26/89—published 1/10/90, effective 3/1/90]</w:t>
      </w:r>
    </w:p>
    <w:p>
      <w:pPr>
        <w:spacing w:before="0" w:after="0"/>
        <w:ind w:left="120"/>
        <w:jc w:val="center"/>
      </w:pPr>
      <w:r>
        <w:rPr>
          <w:rFonts w:ascii="Times New Roman" w:hAnsi="Times New Roman"/>
          <w:b w:val="false"/>
          <w:i w:val="false"/>
          <w:color w:val="000000"/>
          <w:sz w:val="21"/>
        </w:rPr>
        <w:t>[Filed emergency 10/12/90 after Notice 8/22/90—published 10/31/90, effective 11/1/90]</w:t>
      </w:r>
    </w:p>
    <w:p>
      <w:pPr>
        <w:spacing w:before="0" w:after="0"/>
        <w:ind w:left="120"/>
        <w:jc w:val="center"/>
      </w:pPr>
      <w:r>
        <w:rPr>
          <w:rFonts w:ascii="Times New Roman" w:hAnsi="Times New Roman"/>
          <w:b w:val="false"/>
          <w:i w:val="false"/>
          <w:color w:val="000000"/>
          <w:sz w:val="21"/>
        </w:rPr>
        <w:t>[Filed 10/12/90, Notice 8/22/90—published 10/31/90, effective 1/1/91]</w:t>
      </w:r>
    </w:p>
    <w:p>
      <w:pPr>
        <w:spacing w:before="0" w:after="0"/>
        <w:ind w:left="120"/>
        <w:jc w:val="center"/>
      </w:pPr>
      <w:r>
        <w:rPr>
          <w:rFonts w:ascii="Times New Roman" w:hAnsi="Times New Roman"/>
          <w:b w:val="false"/>
          <w:i w:val="false"/>
          <w:color w:val="000000"/>
          <w:sz w:val="21"/>
        </w:rPr>
        <w:t>[Filed 12/13/90, Notice 10/31/90—published 1/9/91, effective 3/1/91]</w:t>
      </w:r>
    </w:p>
    <w:p>
      <w:pPr>
        <w:spacing w:before="0" w:after="0"/>
        <w:ind w:left="120"/>
        <w:jc w:val="center"/>
      </w:pPr>
      <w:r>
        <w:rPr>
          <w:rFonts w:ascii="Times New Roman" w:hAnsi="Times New Roman"/>
          <w:b w:val="false"/>
          <w:i w:val="false"/>
          <w:color w:val="000000"/>
          <w:sz w:val="21"/>
        </w:rPr>
        <w:t>[Filed emergency 6/14/91 after Notice 5/1/91—published 7/10/91, effective 7/1/91]</w:t>
      </w:r>
    </w:p>
    <w:p>
      <w:pPr>
        <w:spacing w:before="0" w:after="0"/>
        <w:ind w:left="120"/>
        <w:jc w:val="center"/>
      </w:pPr>
      <w:r>
        <w:rPr>
          <w:rFonts w:ascii="Times New Roman" w:hAnsi="Times New Roman"/>
          <w:b w:val="false"/>
          <w:i w:val="false"/>
          <w:color w:val="000000"/>
          <w:sz w:val="21"/>
        </w:rPr>
        <w:t>[Filed 8/12/93, Notice 6/23/93—published 9/1/93, effective 11/1/93]</w:t>
      </w:r>
    </w:p>
    <w:p>
      <w:pPr>
        <w:spacing w:before="0" w:after="0"/>
        <w:ind w:left="120"/>
        <w:jc w:val="center"/>
      </w:pPr>
      <w:r>
        <w:rPr>
          <w:rFonts w:ascii="Times New Roman" w:hAnsi="Times New Roman"/>
          <w:b w:val="false"/>
          <w:i w:val="false"/>
          <w:color w:val="000000"/>
          <w:sz w:val="21"/>
        </w:rPr>
        <w:t>[Filed 1/11/95, Notice 11/23/94—published 2/1/95, effective 4/1/95]</w:t>
      </w:r>
    </w:p>
    <w:p>
      <w:pPr>
        <w:spacing w:before="0" w:after="0"/>
        <w:ind w:left="120"/>
        <w:jc w:val="center"/>
      </w:pPr>
      <w:r>
        <w:rPr>
          <w:rFonts w:ascii="Times New Roman" w:hAnsi="Times New Roman"/>
          <w:b w:val="false"/>
          <w:i w:val="false"/>
          <w:color w:val="000000"/>
          <w:sz w:val="21"/>
        </w:rPr>
        <w:t>[Filed emergency 6/12/97—published 7/2/97, effective 7/1/97]</w:t>
      </w:r>
    </w:p>
    <w:p>
      <w:pPr>
        <w:spacing w:before="0" w:after="0"/>
        <w:ind w:left="120"/>
        <w:jc w:val="center"/>
      </w:pPr>
      <w:r>
        <w:rPr>
          <w:rFonts w:ascii="Times New Roman" w:hAnsi="Times New Roman"/>
          <w:b w:val="false"/>
          <w:i w:val="false"/>
          <w:color w:val="000000"/>
          <w:sz w:val="21"/>
        </w:rPr>
        <w:t>[Filed 9/16/97, Notice 7/2/97—published 10/8/97, effective 12/1/97]</w:t>
      </w:r>
    </w:p>
    <w:p>
      <w:pPr>
        <w:spacing w:before="0" w:after="0"/>
        <w:ind w:left="120"/>
        <w:jc w:val="center"/>
      </w:pPr>
      <w:r>
        <w:rPr>
          <w:rFonts w:ascii="Times New Roman" w:hAnsi="Times New Roman"/>
          <w:b w:val="false"/>
          <w:i w:val="false"/>
          <w:color w:val="000000"/>
          <w:sz w:val="21"/>
        </w:rPr>
        <w:t>[Filed 11/12/97, Notice 9/10/97—published 12/3/97, effective 2/1/98]</w:t>
      </w:r>
    </w:p>
    <w:p>
      <w:pPr>
        <w:spacing w:before="0" w:after="0"/>
        <w:ind w:left="120"/>
        <w:jc w:val="center"/>
      </w:pPr>
      <w:r>
        <w:rPr>
          <w:rFonts w:ascii="Times New Roman" w:hAnsi="Times New Roman"/>
          <w:b w:val="false"/>
          <w:i w:val="false"/>
          <w:color w:val="000000"/>
          <w:sz w:val="21"/>
        </w:rPr>
        <w:t>[Filed 8/12/98, Notice 6/17/98—published 9/9/98, effective 11/1/98]</w:t>
      </w:r>
    </w:p>
    <w:p>
      <w:pPr>
        <w:spacing w:before="0" w:after="0"/>
        <w:ind w:left="120"/>
        <w:jc w:val="center"/>
      </w:pPr>
      <w:r>
        <w:rPr>
          <w:rFonts w:ascii="Times New Roman" w:hAnsi="Times New Roman"/>
          <w:b w:val="false"/>
          <w:i w:val="false"/>
          <w:color w:val="000000"/>
          <w:sz w:val="21"/>
        </w:rPr>
        <w:t>[Filed 9/12/00, Notice 7/12/00—published 10/4/00, effective 12/1/00]</w:t>
      </w:r>
    </w:p>
    <w:p>
      <w:pPr>
        <w:spacing w:before="0" w:after="0"/>
        <w:ind w:left="120"/>
        <w:jc w:val="center"/>
      </w:pPr>
      <w:r>
        <w:rPr>
          <w:rFonts w:ascii="Times New Roman" w:hAnsi="Times New Roman"/>
          <w:b w:val="false"/>
          <w:i w:val="false"/>
          <w:color w:val="000000"/>
          <w:sz w:val="21"/>
        </w:rPr>
        <w:t>[Filed emergency 10/10/03—published 10/29/03, effective 11/1/03]</w:t>
      </w:r>
    </w:p>
    <w:p>
      <w:pPr>
        <w:spacing w:before="0" w:after="0"/>
        <w:ind w:left="120"/>
        <w:jc w:val="center"/>
      </w:pPr>
      <w:r>
        <w:rPr>
          <w:rFonts w:ascii="Times New Roman" w:hAnsi="Times New Roman"/>
          <w:b w:val="false"/>
          <w:i w:val="false"/>
          <w:color w:val="000000"/>
          <w:sz w:val="21"/>
        </w:rPr>
        <w:t>[Filed emergency 6/14/04—published 7/7/04, effective 7/1/04]</w:t>
      </w:r>
    </w:p>
    <w:p>
      <w:pPr>
        <w:spacing w:before="0" w:after="0"/>
        <w:ind w:left="120"/>
        <w:jc w:val="center"/>
      </w:pPr>
      <w:r>
        <w:rPr>
          <w:rFonts w:ascii="Times New Roman" w:hAnsi="Times New Roman"/>
          <w:b w:val="false"/>
          <w:i w:val="false"/>
          <w:color w:val="000000"/>
          <w:sz w:val="21"/>
        </w:rPr>
        <w:t>[Filed 9/23/04, Notice 7/7/04—published 10/13/04, effective 11/17/04]</w:t>
      </w:r>
    </w:p>
    <w:p>
      <w:pPr>
        <w:spacing w:before="0" w:after="0"/>
        <w:ind w:left="120"/>
        <w:jc w:val="center"/>
      </w:pPr>
      <w:r>
        <w:rPr>
          <w:rFonts w:ascii="Times New Roman" w:hAnsi="Times New Roman"/>
          <w:b w:val="false"/>
          <w:i w:val="false"/>
          <w:color w:val="000000"/>
          <w:sz w:val="21"/>
        </w:rPr>
        <w:t>[Filed 9/23/04, Notice 8/4/04—published 10/13/04, effective 11/17/04]</w:t>
      </w:r>
    </w:p>
    <w:p>
      <w:pPr>
        <w:spacing w:before="0" w:after="0"/>
        <w:ind w:left="120"/>
        <w:jc w:val="center"/>
      </w:pPr>
      <w:r>
        <w:rPr>
          <w:rFonts w:ascii="Times New Roman" w:hAnsi="Times New Roman"/>
          <w:b w:val="false"/>
          <w:i w:val="false"/>
          <w:color w:val="000000"/>
          <w:sz w:val="21"/>
        </w:rPr>
        <w:t>[Filed without Notice 5/4/05—published 5/25/05, effective 7/1/05]</w:t>
      </w:r>
    </w:p>
    <w:p>
      <w:pPr>
        <w:spacing w:before="0" w:after="0"/>
        <w:ind w:left="120"/>
        <w:jc w:val="center"/>
      </w:pPr>
      <w:r>
        <w:rPr>
          <w:rFonts w:ascii="Times New Roman" w:hAnsi="Times New Roman"/>
          <w:b w:val="false"/>
          <w:i w:val="false"/>
          <w:color w:val="000000"/>
          <w:sz w:val="21"/>
        </w:rPr>
        <w:t>[Filed 8/12/05, Notice 6/8/05—published 8/31/05, effective 11/1/05]</w:t>
      </w:r>
    </w:p>
    <w:p>
      <w:pPr>
        <w:spacing w:before="0" w:after="0"/>
        <w:ind w:left="120"/>
        <w:jc w:val="center"/>
      </w:pPr>
      <w:r>
        <w:rPr>
          <w:rFonts w:ascii="Times New Roman" w:hAnsi="Times New Roman"/>
          <w:b w:val="false"/>
          <w:i w:val="false"/>
          <w:color w:val="000000"/>
          <w:sz w:val="21"/>
        </w:rPr>
        <w:t>[Filed emergency 1/19/07—published 2/14/07, effective 1/20/07]</w:t>
      </w:r>
    </w:p>
    <w:p>
      <w:pPr>
        <w:spacing w:before="0" w:after="0"/>
        <w:ind w:left="120"/>
        <w:jc w:val="center"/>
      </w:pPr>
      <w:r>
        <w:rPr>
          <w:rFonts w:ascii="Times New Roman" w:hAnsi="Times New Roman"/>
          <w:b w:val="false"/>
          <w:i w:val="false"/>
          <w:color w:val="000000"/>
          <w:sz w:val="21"/>
        </w:rPr>
        <w:t>[Filed ARC 0420C</w:t>
      </w:r>
      <w:r>
        <w:rPr>
          <w:rFonts w:ascii="Times New Roman" w:hAnsi="Times New Roman"/>
          <w:b w:val="false"/>
          <w:i w:val="false"/>
          <w:color w:val="000000"/>
          <w:sz w:val="21"/>
        </w:rPr>
        <w:t xml:space="preserve"> (Notice ARC 0255C, IAB 8/8/12)</w:t>
      </w:r>
      <w:r>
        <w:rPr>
          <w:rFonts w:ascii="Times New Roman" w:hAnsi="Times New Roman"/>
          <w:b w:val="false"/>
          <w:i w:val="false"/>
          <w:color w:val="000000"/>
          <w:sz w:val="21"/>
        </w:rPr>
        <w:t>, IAB 10/31/12, effective 1/1/13]</w:t>
      </w:r>
    </w:p>
    <w:p>
      <w:pPr>
        <w:spacing w:before="0" w:after="0"/>
        <w:ind w:left="120"/>
        <w:jc w:val="center"/>
      </w:pPr>
      <w:r>
        <w:rPr>
          <w:rFonts w:ascii="Times New Roman" w:hAnsi="Times New Roman"/>
          <w:b w:val="false"/>
          <w:i w:val="false"/>
          <w:color w:val="000000"/>
          <w:sz w:val="21"/>
        </w:rPr>
        <w:t>[Filed ARC 1262C</w:t>
      </w:r>
      <w:r>
        <w:rPr>
          <w:rFonts w:ascii="Times New Roman" w:hAnsi="Times New Roman"/>
          <w:b w:val="false"/>
          <w:i w:val="false"/>
          <w:color w:val="000000"/>
          <w:sz w:val="21"/>
        </w:rPr>
        <w:t xml:space="preserve"> (Notice ARC 1045C, IAB 10/2/13)</w:t>
      </w:r>
      <w:r>
        <w:rPr>
          <w:rFonts w:ascii="Times New Roman" w:hAnsi="Times New Roman"/>
          <w:b w:val="false"/>
          <w:i w:val="false"/>
          <w:color w:val="000000"/>
          <w:sz w:val="21"/>
        </w:rPr>
        <w:t>, IAB 1/8/14, effective 3/1/14]</w:t>
      </w:r>
    </w:p>
    <w:p>
      <w:pPr>
        <w:spacing w:before="0" w:after="0"/>
        <w:ind w:left="120"/>
        <w:jc w:val="center"/>
      </w:pPr>
      <w:r>
        <w:rPr>
          <w:rFonts w:ascii="Times New Roman" w:hAnsi="Times New Roman"/>
          <w:b w:val="false"/>
          <w:i w:val="false"/>
          <w:color w:val="000000"/>
          <w:sz w:val="21"/>
        </w:rPr>
        <w:t>[Filed ARC 5305C</w:t>
      </w:r>
      <w:r>
        <w:rPr>
          <w:rFonts w:ascii="Times New Roman" w:hAnsi="Times New Roman"/>
          <w:b w:val="false"/>
          <w:i w:val="false"/>
          <w:color w:val="000000"/>
          <w:sz w:val="21"/>
        </w:rPr>
        <w:t xml:space="preserve"> (Notice ARC 5167C, IAB 9/9/20)</w:t>
      </w:r>
      <w:r>
        <w:rPr>
          <w:rFonts w:ascii="Times New Roman" w:hAnsi="Times New Roman"/>
          <w:b w:val="false"/>
          <w:i w:val="false"/>
          <w:color w:val="000000"/>
          <w:sz w:val="21"/>
        </w:rPr>
        <w:t>, IAB 12/2/20, effective 2/1/21]</w:t>
      </w:r>
    </w:p>
    <w:p>
      <w:pPr>
        <w:spacing w:before="0" w:after="0"/>
        <w:ind w:left="120"/>
        <w:jc w:val="center"/>
      </w:pPr>
      <w:r>
        <w:rPr>
          <w:rFonts w:ascii="Times New Roman" w:hAnsi="Times New Roman"/>
          <w:b w:val="false"/>
          <w:i w:val="false"/>
          <w:color w:val="000000"/>
          <w:sz w:val="21"/>
        </w:rPr>
        <w:t>[Filed ARC 5417C</w:t>
      </w:r>
      <w:r>
        <w:rPr>
          <w:rFonts w:ascii="Times New Roman" w:hAnsi="Times New Roman"/>
          <w:b w:val="false"/>
          <w:i w:val="false"/>
          <w:color w:val="000000"/>
          <w:sz w:val="21"/>
        </w:rPr>
        <w:t xml:space="preserve"> (Notice ARC 5274C, IAB 11/18/20)</w:t>
      </w:r>
      <w:r>
        <w:rPr>
          <w:rFonts w:ascii="Times New Roman" w:hAnsi="Times New Roman"/>
          <w:b w:val="false"/>
          <w:i w:val="false"/>
          <w:color w:val="000000"/>
          <w:sz w:val="21"/>
        </w:rPr>
        <w:t>, IAB 2/10/21, effective 4/1/21]</w:t>
      </w:r>
    </w:p>
    <w:p>
      <w:pPr>
        <w:spacing w:before="0" w:after="0"/>
        <w:ind w:left="120"/>
        <w:jc w:val="center"/>
      </w:pPr>
      <w:r>
        <w:rPr>
          <w:rFonts w:ascii="Times New Roman" w:hAnsi="Times New Roman"/>
          <w:b w:val="false"/>
          <w:i w:val="false"/>
          <w:color w:val="000000"/>
          <w:sz w:val="21"/>
        </w:rPr>
        <w:t>[Editorial change: IAC Supplement 6/14/23]</w:t>
      </w:r>
    </w:p>
    <w:p>
      <w:pPr>
        <w:spacing w:before="0" w:after="0"/>
        <w:ind w:left="120"/>
        <w:jc w:val="center"/>
      </w:pPr>
      <w:r>
        <w:rPr>
          <w:rFonts w:ascii="Times New Roman" w:hAnsi="Times New Roman"/>
          <w:b w:val="false"/>
          <w:i w:val="false"/>
          <w:color w:val="000000"/>
          <w:sz w:val="21"/>
        </w:rPr>
        <w:t>[Editorial change: IAC Supplement 6/28/23]</w:t>
      </w:r>
    </w:p>
    <w:p>
      <w:pPr>
        <w:spacing w:before="0" w:after="0"/>
        <w:ind w:left="120"/>
        <w:jc w:val="center"/>
      </w:pPr>
      <w:r>
        <w:rPr>
          <w:rFonts w:ascii="Times New Roman" w:hAnsi="Times New Roman"/>
          <w:b w:val="false"/>
          <w:i w:val="false"/>
          <w:color w:val="000000"/>
          <w:sz w:val="21"/>
        </w:rPr>
        <w:t>[Filed ARC 7711C</w:t>
      </w:r>
      <w:r>
        <w:rPr>
          <w:rFonts w:ascii="Times New Roman" w:hAnsi="Times New Roman"/>
          <w:b w:val="false"/>
          <w:i w:val="false"/>
          <w:color w:val="000000"/>
          <w:sz w:val="21"/>
        </w:rPr>
        <w:t xml:space="preserve"> (Notice ARC 7062C, IAB 8/23/23)</w:t>
      </w:r>
      <w:r>
        <w:rPr>
          <w:rFonts w:ascii="Times New Roman" w:hAnsi="Times New Roman"/>
          <w:b w:val="false"/>
          <w:i w:val="false"/>
          <w:color w:val="000000"/>
          <w:sz w:val="21"/>
        </w:rPr>
        <w:t>, IAB 3/6/24, effective 7/1/24]</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8045C</w:t>
      </w:r>
      <w:r>
        <w:rPr>
          <w:rFonts w:ascii="Times New Roman" w:hAnsi="Times New Roman"/>
          <w:b w:val="false"/>
          <w:i w:val="false"/>
          <w:color w:val="000000"/>
          <w:sz w:val="21"/>
        </w:rPr>
        <w:t xml:space="preserve"> (Notice ARC 7358C, IAB 1/24/24)</w:t>
      </w:r>
      <w:r>
        <w:rPr>
          <w:rFonts w:ascii="Times New Roman" w:hAnsi="Times New Roman"/>
          <w:b w:val="false"/>
          <w:i w:val="false"/>
          <w:color w:val="000000"/>
          <w:sz w:val="21"/>
        </w:rPr>
        <w:t>, IAB 5/29/24, effective 7/3/24]</w:t>
      </w:r>
    </w:p>
    <w:p>
      <w:pPr>
        <w:spacing w:before="0" w:after="0"/>
        <w:ind w:left="120"/>
        <w:jc w:val="center"/>
      </w:pPr>
      <w:r>
        <w:rPr>
          <w:rFonts w:ascii="Times New Roman" w:hAnsi="Times New Roman"/>
          <w:b w:val="false"/>
          <w:i w:val="false"/>
          <w:color w:val="000000"/>
          <w:sz w:val="21"/>
        </w:rPr>
        <w:t>[Filed ARC 8897C</w:t>
      </w:r>
      <w:r>
        <w:rPr>
          <w:rFonts w:ascii="Times New Roman" w:hAnsi="Times New Roman"/>
          <w:b w:val="false"/>
          <w:i w:val="false"/>
          <w:color w:val="000000"/>
          <w:sz w:val="21"/>
        </w:rPr>
        <w:t xml:space="preserve"> (Notice ARC 8426C, IAB 11/27/24)</w:t>
      </w:r>
      <w:r>
        <w:rPr>
          <w:rFonts w:ascii="Times New Roman" w:hAnsi="Times New Roman"/>
          <w:b w:val="false"/>
          <w:i w:val="false"/>
          <w:color w:val="000000"/>
          <w:sz w:val="21"/>
        </w:rPr>
        <w:t>, IAB 2/19/25, effective 3/26/25]</w:t>
      </w:r>
    </w:p>
    <w:p>
      <w:pPr>
        <w:spacing w:before="0" w:after="0"/>
        <w:ind w:left="120"/>
        <w:jc w:val="center"/>
      </w:pPr>
      <w:r>
        <w:rPr>
          <w:rFonts w:ascii="Times New Roman" w:hAnsi="Times New Roman"/>
          <w:b w:val="false"/>
          <w:i w:val="false"/>
          <w:color w:val="000000"/>
          <w:sz w:val="21"/>
        </w:rPr>
        <w:t>[Filed Emergency ARC 0300D, IAB 5/27/26, effective 7/1/26]</w:t>
      </w:r>
    </w:p>
    <w:p>
      <w:pPr>
        <w:spacing w:before="0" w:after="0"/>
        <w:ind w:left="120"/>
        <w:jc w:val="both"/>
      </w:pPr>
      <w:r>
        <w:rPr>
          <w:rFonts w:ascii="Times New Roman" w:hAnsi="Times New Roman"/>
          <w:b w:val="false"/>
          <w:i w:val="false"/>
          <w:color w:val="000000"/>
          <w:sz w:val="22"/>
        </w:rPr>
        <w:t xml:space="preserve">The effective date of </w:t>
      </w:r>
      <w:r>
        <w:rPr>
          <w:rFonts w:ascii="Times New Roman" w:hAnsi="Times New Roman"/>
          <w:b/>
          <w:i w:val="false"/>
          <w:color w:val="000000"/>
          <w:sz w:val="22"/>
        </w:rPr>
        <w:t>ARC 7711C</w:t>
      </w:r>
      <w:r>
        <w:rPr>
          <w:rFonts w:ascii="Times New Roman" w:hAnsi="Times New Roman"/>
          <w:b w:val="false"/>
          <w:i w:val="false"/>
          <w:color w:val="000000"/>
          <w:sz w:val="22"/>
        </w:rPr>
        <w:t xml:space="preserve"> was corrected to July 1, 2024, in the April 3, 2024, Iowa Administrative Bulletin.</w:t>
      </w:r>
    </w:p>
    <w:p>
      <w:pPr>
        <w:spacing w:before="0" w:after="0"/>
        <w:ind w:left="120"/>
        <w:jc w:val="both"/>
      </w:pPr>
    </w:p>
    <w:sectPr>
      <w:footerReference r:id="rId9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pdf" Type="http://schemas.openxmlformats.org/officeDocument/2006/relationships/hyperlink" Id="rId5"/>
    <Relationship TargetMode="External" Target="https://www.legis.iowa.gov/docs/ico/chapter/22.pdf" Type="http://schemas.openxmlformats.org/officeDocument/2006/relationships/hyperlink" Id="rId6"/>
    <Relationship TargetMode="External" Target="https://www.legis.iowa.gov/docs/ico/chapter/22.8.pdf" Type="http://schemas.openxmlformats.org/officeDocument/2006/relationships/hyperlink" Id="rId7"/>
    <Relationship TargetMode="External" Target="https://www.legis.iowa.gov/docs/iac/rule/441.22.10.pdf" Type="http://schemas.openxmlformats.org/officeDocument/2006/relationships/hyperlink" Id="rId8"/>
    <Relationship TargetMode="External" Target="https://www.legis.iowa.gov/docs/ico/chapter/22.8.pdf" Type="http://schemas.openxmlformats.org/officeDocument/2006/relationships/hyperlink" Id="rId9"/>
    <Relationship TargetMode="External" Target="https://www.legis.iowa.gov/docs/ico/chapter/22.10.pdf" Type="http://schemas.openxmlformats.org/officeDocument/2006/relationships/hyperlink" Id="rId10"/>
    <Relationship TargetMode="External" Target="https://www.legis.iowa.gov/docs/iac/rule/441.9.4.pdf" Type="http://schemas.openxmlformats.org/officeDocument/2006/relationships/hyperlink" Id="rId11"/>
    <Relationship TargetMode="External" Target="https://www.legis.iowa.gov/docs/ico/chapter/22.pdf" Type="http://schemas.openxmlformats.org/officeDocument/2006/relationships/hyperlink" Id="rId12"/>
    <Relationship TargetMode="External" Target="https://www.legis.iowa.gov/docs/ico/chapter/22.7.pdf" Type="http://schemas.openxmlformats.org/officeDocument/2006/relationships/hyperlink" Id="rId13"/>
    <Relationship TargetMode="External" Target="https://www.legis.iowa.gov/docs/iac/rule/441.9.3.pdf" Type="http://schemas.openxmlformats.org/officeDocument/2006/relationships/hyperlink" Id="rId14"/>
    <Relationship TargetMode="External" Target="https://www.legis.iowa.gov/docs/iac/rule/441.175.41.pdf" Type="http://schemas.openxmlformats.org/officeDocument/2006/relationships/hyperlink" Id="rId15"/>
    <Relationship TargetMode="External" Target="https://www.legis.iowa.gov/docs/ico/chapter/22.8.pdf" Type="http://schemas.openxmlformats.org/officeDocument/2006/relationships/hyperlink" Id="rId16"/>
    <Relationship TargetMode="External" Target="https://www.legis.iowa.gov/docs/iac/rule/441.175.41.pdf" Type="http://schemas.openxmlformats.org/officeDocument/2006/relationships/hyperlink" Id="rId17"/>
    <Relationship TargetMode="External" Target="https://www.legis.iowa.gov/docs/iac/rule/441.175.41.pdf" Type="http://schemas.openxmlformats.org/officeDocument/2006/relationships/hyperlink" Id="rId18"/>
    <Relationship TargetMode="External" Target="https://www.legis.iowa.gov/docs/iac/rule/441.175.42.pdf" Type="http://schemas.openxmlformats.org/officeDocument/2006/relationships/hyperlink" Id="rId19"/>
    <Relationship TargetMode="External" Target="https://www.legis.iowa.gov/docs/iac/rule/441.176.9.pdf" Type="http://schemas.openxmlformats.org/officeDocument/2006/relationships/hyperlink" Id="rId20"/>
    <Relationship TargetMode="External" Target="https://www.legis.iowa.gov/docs/ico/chapter/22.7.pdf" Type="http://schemas.openxmlformats.org/officeDocument/2006/relationships/hyperlink" Id="rId21"/>
    <Relationship TargetMode="External" Target="https://www.legis.iowa.gov/docs/ico/chapter/22.7.pdf" Type="http://schemas.openxmlformats.org/officeDocument/2006/relationships/hyperlink" Id="rId22"/>
    <Relationship TargetMode="External" Target="https://www.legis.iowa.gov/docs/ico/chapter/22.7.pdf" Type="http://schemas.openxmlformats.org/officeDocument/2006/relationships/hyperlink" Id="rId23"/>
    <Relationship TargetMode="External" Target="https://www.legis.iowa.gov/docs/ico/chapter/22.7.pdf" Type="http://schemas.openxmlformats.org/officeDocument/2006/relationships/hyperlink" Id="rId24"/>
    <Relationship TargetMode="External" Target="https://www.legis.iowa.gov/docs/ico/chapter/22.8.pdf" Type="http://schemas.openxmlformats.org/officeDocument/2006/relationships/hyperlink" Id="rId25"/>
    <Relationship TargetMode="External" Target="https://www.legis.iowa.gov/docs/iac/rule/441.9.7.pdf" Type="http://schemas.openxmlformats.org/officeDocument/2006/relationships/hyperlink" Id="rId26"/>
    <Relationship TargetMode="External" Target="https://www.legis.iowa.gov/docs/iac/rule/441.9.7.pdf" Type="http://schemas.openxmlformats.org/officeDocument/2006/relationships/hyperlink" Id="rId27"/>
    <Relationship TargetMode="External" Target="https://www.legis.iowa.gov/docs/iac/rule/441.9.7.pdf" Type="http://schemas.openxmlformats.org/officeDocument/2006/relationships/hyperlink" Id="rId28"/>
    <Relationship TargetMode="External" Target="https://www.legis.iowa.gov/docs/iac/rule/441.9.7.pdf" Type="http://schemas.openxmlformats.org/officeDocument/2006/relationships/hyperlink" Id="rId29"/>
    <Relationship TargetMode="External" Target="https://www.legis.iowa.gov/docs/iac/rule/...pdf" Type="http://schemas.openxmlformats.org/officeDocument/2006/relationships/hyperlink" Id="rId30"/>
    <Relationship TargetMode="External" Target="https://www.legis.iowa.gov/docs/ico/chapter/2C.9.pdf" Type="http://schemas.openxmlformats.org/officeDocument/2006/relationships/hyperlink" Id="rId31"/>
    <Relationship TargetMode="External" Target="https://www.legis.iowa.gov/docs/ico/chapter/11.2.pdf" Type="http://schemas.openxmlformats.org/officeDocument/2006/relationships/hyperlink" Id="rId32"/>
    <Relationship TargetMode="External" Target="https://www.legis.iowa.gov/docs/iac/chapter/441.93.pdf" Type="http://schemas.openxmlformats.org/officeDocument/2006/relationships/hyperlink" Id="rId33"/>
    <Relationship TargetMode="External" Target="https://www.legis.iowa.gov/docs/ico/chapter/125.80.pdf" Type="http://schemas.openxmlformats.org/officeDocument/2006/relationships/hyperlink" Id="rId34"/>
    <Relationship TargetMode="External" Target="https://www.legis.iowa.gov/docs/ico/chapter/125.84.pdf" Type="http://schemas.openxmlformats.org/officeDocument/2006/relationships/hyperlink" Id="rId35"/>
    <Relationship TargetMode="External" Target="https://www.legis.iowa.gov/docs/ico/chapter/125.86.pdf" Type="http://schemas.openxmlformats.org/officeDocument/2006/relationships/hyperlink" Id="rId36"/>
    <Relationship TargetMode="External" Target="https://www.legis.iowa.gov/docs/ico/chapter/229.8.pdf" Type="http://schemas.openxmlformats.org/officeDocument/2006/relationships/hyperlink" Id="rId37"/>
    <Relationship TargetMode="External" Target="https://www.legis.iowa.gov/docs/ico/chapter/229.10.pdf" Type="http://schemas.openxmlformats.org/officeDocument/2006/relationships/hyperlink" Id="rId38"/>
    <Relationship TargetMode="External" Target="https://www.legis.iowa.gov/docs/ico/chapter/229.13.pdf" Type="http://schemas.openxmlformats.org/officeDocument/2006/relationships/hyperlink" Id="rId39"/>
    <Relationship TargetMode="External" Target="https://www.legis.iowa.gov/docs/ico/chapter/229.14.pdf" Type="http://schemas.openxmlformats.org/officeDocument/2006/relationships/hyperlink" Id="rId40"/>
    <Relationship TargetMode="External" Target="https://www.legis.iowa.gov/docs/ico/chapter/229.15.pdf" Type="http://schemas.openxmlformats.org/officeDocument/2006/relationships/hyperlink" Id="rId41"/>
    <Relationship TargetMode="External" Target="https://www.legis.iowa.gov/docs/ico/chapter/229.22.pdf" Type="http://schemas.openxmlformats.org/officeDocument/2006/relationships/hyperlink" Id="rId42"/>
    <Relationship TargetMode="External" Target="https://www.legis.iowa.gov/docs/ico/chapter/232.48.pdf" Type="http://schemas.openxmlformats.org/officeDocument/2006/relationships/hyperlink" Id="rId43"/>
    <Relationship TargetMode="External" Target="https://www.legis.iowa.gov/docs/ico/chapter/232.49.pdf" Type="http://schemas.openxmlformats.org/officeDocument/2006/relationships/hyperlink" Id="rId44"/>
    <Relationship TargetMode="External" Target="https://www.legis.iowa.gov/docs/ico/chapter/232.52.pdf" Type="http://schemas.openxmlformats.org/officeDocument/2006/relationships/hyperlink" Id="rId45"/>
    <Relationship TargetMode="External" Target="https://www.legis.iowa.gov/docs/ico/chapter/232.71B.pdf" Type="http://schemas.openxmlformats.org/officeDocument/2006/relationships/hyperlink" Id="rId46"/>
    <Relationship TargetMode="External" Target="https://www.legis.iowa.gov/docs/ico/chapter/232.81.pdf" Type="http://schemas.openxmlformats.org/officeDocument/2006/relationships/hyperlink" Id="rId47"/>
    <Relationship TargetMode="External" Target="https://www.legis.iowa.gov/docs/ico/chapter/232.97.pdf" Type="http://schemas.openxmlformats.org/officeDocument/2006/relationships/hyperlink" Id="rId48"/>
    <Relationship TargetMode="External" Target="https://www.legis.iowa.gov/docs/ico/chapter/232.98.pdf" Type="http://schemas.openxmlformats.org/officeDocument/2006/relationships/hyperlink" Id="rId49"/>
    <Relationship TargetMode="External" Target="https://www.legis.iowa.gov/docs/ico/chapter/232.102.pdf" Type="http://schemas.openxmlformats.org/officeDocument/2006/relationships/hyperlink" Id="rId50"/>
    <Relationship TargetMode="External" Target="https://www.legis.iowa.gov/docs/ico/chapter/232.111.pdf" Type="http://schemas.openxmlformats.org/officeDocument/2006/relationships/hyperlink" Id="rId51"/>
    <Relationship TargetMode="External" Target="https://www.legis.iowa.gov/docs/ico/chapter/232.117.pdf" Type="http://schemas.openxmlformats.org/officeDocument/2006/relationships/hyperlink" Id="rId52"/>
    <Relationship TargetMode="External" Target="https://www.legis.iowa.gov/docs/ico/chapter/235B.3.pdf" Type="http://schemas.openxmlformats.org/officeDocument/2006/relationships/hyperlink" Id="rId53"/>
    <Relationship TargetMode="External" Target="https://www.legis.iowa.gov/docs/ico/chapter/234.pdf" Type="http://schemas.openxmlformats.org/officeDocument/2006/relationships/hyperlink" Id="rId54"/>
    <Relationship TargetMode="External" Target="https://www.legis.iowa.gov/docs/ico/chapter/252A.pdf" Type="http://schemas.openxmlformats.org/officeDocument/2006/relationships/hyperlink" Id="rId55"/>
    <Relationship TargetMode="External" Target="https://www.legis.iowa.gov/docs/ico/chapter/252B.pdf" Type="http://schemas.openxmlformats.org/officeDocument/2006/relationships/hyperlink" Id="rId56"/>
    <Relationship TargetMode="External" Target="https://www.legis.iowa.gov/docs/ico/chapter/252C.pdf" Type="http://schemas.openxmlformats.org/officeDocument/2006/relationships/hyperlink" Id="rId57"/>
    <Relationship TargetMode="External" Target="https://www.legis.iowa.gov/docs/ico/chapter/252D.pdf" Type="http://schemas.openxmlformats.org/officeDocument/2006/relationships/hyperlink" Id="rId58"/>
    <Relationship TargetMode="External" Target="https://www.legis.iowa.gov/docs/ico/chapter/252E.pdf" Type="http://schemas.openxmlformats.org/officeDocument/2006/relationships/hyperlink" Id="rId59"/>
    <Relationship TargetMode="External" Target="https://www.legis.iowa.gov/docs/ico/chapter/252F.pdf" Type="http://schemas.openxmlformats.org/officeDocument/2006/relationships/hyperlink" Id="rId60"/>
    <Relationship TargetMode="External" Target="https://www.legis.iowa.gov/docs/ico/chapter/252G.pdf" Type="http://schemas.openxmlformats.org/officeDocument/2006/relationships/hyperlink" Id="rId61"/>
    <Relationship TargetMode="External" Target="https://www.legis.iowa.gov/docs/ico/chapter/252H.pdf" Type="http://schemas.openxmlformats.org/officeDocument/2006/relationships/hyperlink" Id="rId62"/>
    <Relationship TargetMode="External" Target="https://www.legis.iowa.gov/docs/ico/chapter/252I.pdf" Type="http://schemas.openxmlformats.org/officeDocument/2006/relationships/hyperlink" Id="rId63"/>
    <Relationship TargetMode="External" Target="https://www.legis.iowa.gov/docs/ico/chapter/252J.pdf" Type="http://schemas.openxmlformats.org/officeDocument/2006/relationships/hyperlink" Id="rId64"/>
    <Relationship TargetMode="External" Target="https://www.legis.iowa.gov/docs/ico/chapter/252K.pdf" Type="http://schemas.openxmlformats.org/officeDocument/2006/relationships/hyperlink" Id="rId65"/>
    <Relationship TargetMode="External" Target="https://www.legis.iowa.gov/docs/ico/chapter/598.pdf" Type="http://schemas.openxmlformats.org/officeDocument/2006/relationships/hyperlink" Id="rId66"/>
    <Relationship TargetMode="External" Target="https://www.legis.iowa.gov/docs/ico/chapter/600B.pdf" Type="http://schemas.openxmlformats.org/officeDocument/2006/relationships/hyperlink" Id="rId67"/>
    <Relationship TargetMode="External" Target="https://www.legis.iowa.gov/docs/iac/rule/441.98.116.pdf" Type="http://schemas.openxmlformats.org/officeDocument/2006/relationships/hyperlink" Id="rId68"/>
    <Relationship TargetMode="External" Target="https://www.legis.iowa.gov/docs/ico/chapter/235A.15.pdf" Type="http://schemas.openxmlformats.org/officeDocument/2006/relationships/hyperlink" Id="rId69"/>
    <Relationship TargetMode="External" Target="https://www.legis.iowa.gov/docs/ico/chapter/235B.7.pdf" Type="http://schemas.openxmlformats.org/officeDocument/2006/relationships/hyperlink" Id="rId70"/>
    <Relationship TargetMode="External" Target="https://www.legis.iowa.gov/docs/ico/chapter/232.71B.pdf" Type="http://schemas.openxmlformats.org/officeDocument/2006/relationships/hyperlink" Id="rId71"/>
    <Relationship TargetMode="External" Target="https://www.legis.iowa.gov/docs/ico/chapter/235B.3.pdf" Type="http://schemas.openxmlformats.org/officeDocument/2006/relationships/hyperlink" Id="rId72"/>
    <Relationship TargetMode="External" Target="https://www.legis.iowa.gov/docs/ico/chapter/235A.17.pdf" Type="http://schemas.openxmlformats.org/officeDocument/2006/relationships/hyperlink" Id="rId73"/>
    <Relationship TargetMode="External" Target="https://www.legis.iowa.gov/docs/ico/chapter/235A.15.pdf" Type="http://schemas.openxmlformats.org/officeDocument/2006/relationships/hyperlink" Id="rId74"/>
    <Relationship TargetMode="External" Target="https://www.legis.iowa.gov/docs/ico/chapter/600.16.pdf" Type="http://schemas.openxmlformats.org/officeDocument/2006/relationships/hyperlink" Id="rId75"/>
    <Relationship TargetMode="External" Target="https://www.legis.iowa.gov/docs/ico/chapter/600.24.pdf" Type="http://schemas.openxmlformats.org/officeDocument/2006/relationships/hyperlink" Id="rId76"/>
    <Relationship TargetMode="External" Target="https://www.legis.iowa.gov/docs/ico/chapter/228.5.pdf" Type="http://schemas.openxmlformats.org/officeDocument/2006/relationships/hyperlink" Id="rId77"/>
    <Relationship TargetMode="External" Target="https://www.legis.iowa.gov/docs/ico/chapter/229.25.pdf" Type="http://schemas.openxmlformats.org/officeDocument/2006/relationships/hyperlink" Id="rId78"/>
    <Relationship TargetMode="External" Target="https://www.legis.iowa.gov/docs/iac/rule/441.175.42.pdf" Type="http://schemas.openxmlformats.org/officeDocument/2006/relationships/hyperlink" Id="rId79"/>
    <Relationship TargetMode="External" Target="https://www.legis.iowa.gov/docs/iac/rule/441.176.12.pdf" Type="http://schemas.openxmlformats.org/officeDocument/2006/relationships/hyperlink" Id="rId80"/>
    <Relationship TargetMode="External" Target="https://www.legis.iowa.gov/docs/ico/chapter/235A.15.pdf" Type="http://schemas.openxmlformats.org/officeDocument/2006/relationships/hyperlink" Id="rId81"/>
    <Relationship TargetMode="External" Target="https://www.legis.iowa.gov/docs/ico/chapter/235B.6.pdf" Type="http://schemas.openxmlformats.org/officeDocument/2006/relationships/hyperlink" Id="rId82"/>
    <Relationship TargetMode="External" Target="https://www.legis.iowa.gov/docs/iac/rule/441.9.10.pdf" Type="http://schemas.openxmlformats.org/officeDocument/2006/relationships/hyperlink" Id="rId83"/>
    <Relationship TargetMode="External" Target="https://www.legis.iowa.gov/docs/ico/chapter/22.9.pdf" Type="http://schemas.openxmlformats.org/officeDocument/2006/relationships/hyperlink" Id="rId84"/>
    <Relationship TargetMode="External" Target="https://www.legis.iowa.gov/docs/ico/chapter/22.2.pdf" Type="http://schemas.openxmlformats.org/officeDocument/2006/relationships/hyperlink" Id="rId85"/>
    <Relationship TargetMode="External" Target="https://www.legis.iowa.gov/docs/ico/chapter/22.7.pdf" Type="http://schemas.openxmlformats.org/officeDocument/2006/relationships/hyperlink" Id="rId86"/>
    <Relationship TargetMode="External" Target="https://www.legis.iowa.gov/docs/iac/rule/441.9.14.pdf" Type="http://schemas.openxmlformats.org/officeDocument/2006/relationships/hyperlink" Id="rId87"/>
    <Relationship TargetMode="External" Target="https://www.legis.iowa.gov/docs/iac/rule/441.9.14.pdf" Type="http://schemas.openxmlformats.org/officeDocument/2006/relationships/hyperlink" Id="rId88"/>
    <Relationship TargetMode="External" Target="https://www.legis.iowa.gov/docs/iac/rule/441.9.9.pdf" Type="http://schemas.openxmlformats.org/officeDocument/2006/relationships/hyperlink" Id="rId89"/>
    <Relationship TargetMode="External" Target="https://www.legis.iowa.gov/docs/ico/chapter/229.24.pdf" Type="http://schemas.openxmlformats.org/officeDocument/2006/relationships/hyperlink" Id="rId90"/>
    <Relationship TargetMode="External" Target="https://www.legis.iowa.gov/docs/ico/chapter/229.pdf" Type="http://schemas.openxmlformats.org/officeDocument/2006/relationships/hyperlink" Id="rId91"/>
    <Relationship TargetMode="External" Target="https://www.legis.iowa.gov/docs/ico/chapter/229.25.pdf" Type="http://schemas.openxmlformats.org/officeDocument/2006/relationships/hyperlink" Id="rId92"/>
    <Relationship TargetMode="External" Target="https://www.legis.iowa.gov/docs/ico/chapter/17A.pdf" Type="http://schemas.openxmlformats.org/officeDocument/2006/relationships/hyperlink" Id="rId93"/>
    <Relationship TargetMode="External" Target="https://www.legis.iowa.gov/docs/ico/chapter/22.pdf" Type="http://schemas.openxmlformats.org/officeDocument/2006/relationships/hyperlink" Id="rId94"/>
    <Relationship TargetMode="External" Target="https://www.legis.iowa.gov/docs/ico/chapter/135.pdf" Type="http://schemas.openxmlformats.org/officeDocument/2006/relationships/hyperlink" Id="rId95"/>
    <Relationship TargetMode="External" Target="https://www.legis.iowa.gov/docs/ico/chapter/217.pdf" Type="http://schemas.openxmlformats.org/officeDocument/2006/relationships/hyperlink" Id="rId96"/>
    <Relationship TargetMode="External" Target="https://www.legis.iowa.gov/docs/ico/chapter/228.pdf" Type="http://schemas.openxmlformats.org/officeDocument/2006/relationships/hyperlink" Id="rId97"/>
    <Relationship TargetMode="External" Target="https://www.legis.iowa.gov/docs/ico/chapter/252G.pdf" Type="http://schemas.openxmlformats.org/officeDocument/2006/relationships/hyperlink" Id="rId98"/>
    <Relationship Target="footer.xml" Type="http://schemas.openxmlformats.org/officeDocument/2006/relationships/footer" Id="rId9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