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265—7.1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includes any matter described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 or an authorized representative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authority board or members of the authority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entire authority board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section </w:t>
      </w:r>
      <w:hyperlink r:id="rId9">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Requests for contested case proceedings shall be filed with the authority in writing within the time specified by the particular rules or statutes governing the subject matter or, in the absence of such law, the time specified in the authority action in question. If no such time is specified by the authority, the request shall be filed within 12 months of the authority action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should state the name and address of the requester, identify the specific authority action that is disputed, identify the provisions of law or precedent requiring or authorizing the holding of a contested case proceeding, and include a short and plain statement of the issues of material fact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Delivery of the notice of hearing to the person requesting a contested case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methods specified in Iowa Code section </w:t>
      </w:r>
      <w:hyperlink r:id="rId1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hearing shall contain the information specified by Iowa Code section </w:t>
      </w:r>
      <w:hyperlink r:id="rId11">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authority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that the presiding officer be an administrative law judge pursuant to Iowa Code section </w:t>
      </w:r>
      <w:hyperlink r:id="rId12">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265—7.6</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 xml:space="preserve">In each contested case in which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requires an evidentiary hearing, the chairperson of the authority will determine whether the hearing will be held before the authority board, one or more members of the authority board, or an administrative law judge. Parties requesting that the presiding officer assigned to render a proposed decision be an administrative law judge must file a written request within 20 days after service of a notice of hearing that identifies or describes the presiding officer as the authority board or members of the authority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deny a request made pursuant to subrule </w:t>
      </w:r>
      <w:hyperlink r:id="rId15">
        <w:r>
          <w:rPr>
            <w:rStyle w:val="Hyperlink"/>
            <w:rFonts w:ascii="Times New Roman" w:hAnsi="Times New Roman"/>
            <w:b w:val="false"/>
            <w:i w:val="false"/>
            <w:color w:val="000000"/>
            <w:sz w:val="22"/>
          </w:rPr>
          <w:t>7.6(1)</w:t>
        </w:r>
      </w:hyperlink>
      <w:r>
        <w:rPr>
          <w:rFonts w:ascii="Times New Roman" w:hAnsi="Times New Roman"/>
          <w:b w:val="false"/>
          <w:i w:val="false"/>
          <w:color w:val="000000"/>
          <w:sz w:val="22"/>
        </w:rPr>
        <w:t xml:space="preserve"> only upon a finding that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Conditions specified in Iowa Code section </w:t>
      </w:r>
      <w:hyperlink r:id="rId16">
        <w:r>
          <w:rPr>
            <w:rStyle w:val="Hyperlink"/>
            <w:rFonts w:ascii="Times New Roman" w:hAnsi="Times New Roman"/>
            <w:b w:val="false"/>
            <w:i w:val="false"/>
            <w:color w:val="000000"/>
            <w:sz w:val="22"/>
          </w:rPr>
          <w:t>17A.11(1)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Neither the authority nor any officer of the authority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17">
        <w:r>
          <w:rPr>
            <w:rStyle w:val="Hyperlink"/>
            <w:rFonts w:ascii="Times New Roman" w:hAnsi="Times New Roman"/>
            <w:b w:val="false"/>
            <w:i w:val="false"/>
            <w:color w:val="000000"/>
            <w:sz w:val="22"/>
          </w:rPr>
          <w:t>7.6(4)</w:t>
        </w:r>
      </w:hyperlink>
      <w:r>
        <w:rPr>
          <w:rFonts w:ascii="Times New Roman" w:hAnsi="Times New Roman"/>
          <w:b w:val="false"/>
          <w:i w:val="false"/>
          <w:color w:val="000000"/>
          <w:sz w:val="22"/>
        </w:rPr>
        <w:t>, the parties shall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any of the authority’s cases shall have sufficient technical expertise identified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by another provision of law, all rulings by an administrative law judge acting as presiding officer are subject to appeal to the authority board. A party must seek any available intra-authority appeal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members of the authority board, when reviewing a proposed decision upon intra-authority appeal, shall have the powers of and comply with the provisions of this chapter that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agree to waive any provision of this chapter. However, the authority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or video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or interactive video proceedings, including the hearing for the contested case proceeding, may be held with the consent of all parties. The presiding officer will determine the location of the parties and witnesses for telephone hearings. The convenience of the witnesses or parties, as well as the nature of the case, will be considered when location is chosen. The cost of the telephone hearing or an interactive video hearing may be assessed equally to each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authority functions, including fact-gathering for purposes other than investigation of the matter that culminates in a contested case. Factual information relevant to the merits of a contested case received by a person who later serves as presiding officer in that case shall be disclosed if required by Iowa Code section </w:t>
      </w:r>
      <w:hyperlink r:id="rId1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subrules </w:t>
      </w:r>
      <w:hyperlink r:id="rId19">
        <w:r>
          <w:rPr>
            <w:rStyle w:val="Hyperlink"/>
            <w:rFonts w:ascii="Times New Roman" w:hAnsi="Times New Roman"/>
            <w:b w:val="false"/>
            <w:i w:val="false"/>
            <w:color w:val="000000"/>
            <w:sz w:val="22"/>
          </w:rPr>
          <w:t>7.9(3)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7.23(9)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21">
        <w:r>
          <w:rPr>
            <w:rStyle w:val="Hyperlink"/>
            <w:rFonts w:ascii="Times New Roman" w:hAnsi="Times New Roman"/>
            <w:b w:val="false"/>
            <w:i w:val="false"/>
            <w:color w:val="000000"/>
            <w:sz w:val="22"/>
          </w:rPr>
          <w:t>7.9(1)</w:t>
        </w:r>
      </w:hyperlink>
      <w:r>
        <w:rPr>
          <w:rFonts w:ascii="Times New Roman" w:hAnsi="Times New Roman"/>
          <w:b w:val="false"/>
          <w:i w:val="false"/>
          <w:color w:val="000000"/>
          <w:sz w:val="22"/>
        </w:rPr>
        <w:t xml:space="preserve">, the party shall file a motion supported by an affidavit pursuant to Iowa Code section </w:t>
      </w:r>
      <w:hyperlink r:id="rId22">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23">
        <w:r>
          <w:rPr>
            <w:rStyle w:val="Hyperlink"/>
            <w:rFonts w:ascii="Times New Roman" w:hAnsi="Times New Roman"/>
            <w:b w:val="false"/>
            <w:i w:val="false"/>
            <w:color w:val="000000"/>
            <w:sz w:val="22"/>
          </w:rPr>
          <w:t>265—7.25</w:t>
        </w:r>
      </w:hyperlink>
      <w:r>
        <w:rPr>
          <w:rFonts w:ascii="Times New Roman" w:hAnsi="Times New Roman"/>
          <w:b w:val="false"/>
          <w:i w:val="false"/>
          <w:color w:val="000000"/>
          <w:sz w:val="22"/>
        </w:rPr>
        <w:t xml:space="preserve">(17A) and seek a stay under rule </w:t>
      </w:r>
      <w:hyperlink r:id="rId24">
        <w:r>
          <w:rPr>
            <w:rStyle w:val="Hyperlink"/>
            <w:rFonts w:ascii="Times New Roman" w:hAnsi="Times New Roman"/>
            <w:b w:val="false"/>
            <w:i w:val="false"/>
            <w:color w:val="000000"/>
            <w:sz w:val="22"/>
          </w:rPr>
          <w:t>265—7.29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 A petitioner in a contested case proceeding has 20 days from delivery of the notice of hearing or subsequent order of the presiding officer to file a petition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A petition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val="false"/>
          <w:color w:val="000000"/>
          <w:sz w:val="22"/>
        </w:rPr>
        <w:t>Answers are to be filed within 20 days of service of the petition unless otherwise ordered. A party may move to dismiss or apply for a more definite and detailed statement when appropriate. An answer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filing the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or entities on whose behalf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any attorney representing the person or entity on whose behalf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Specific admission, denial, or other answer to all material allegations of the pleading to which it responds;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facts deemed to show an affirmative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additional defenses the pleader may claim;</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and to an answer may be allowed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authority, simultaneously with their filing. Except for the original notice of hearing and an application for rehearing as provided in Iowa Code section </w:t>
      </w:r>
      <w:hyperlink r:id="rId2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Service method.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Filing timing. </w:t>
      </w:r>
      <w:r>
        <w:rPr>
          <w:rFonts w:ascii="Times New Roman" w:hAnsi="Times New Roman"/>
          <w:b w:val="false"/>
          <w:i w:val="false"/>
          <w:color w:val="000000"/>
          <w:sz w:val="22"/>
        </w:rPr>
        <w:t xml:space="preserve">After the notice of hearing, all pleadings, motions, documents or other papers in a contested case proceeding are to be filed with the authority at the address set forth in rule </w:t>
      </w:r>
      <w:hyperlink r:id="rId26">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(16). All pleadings, motions, documents or other papers served upon a party pursuant to these rules shall be filed simultaneously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 xml:space="preserve">Except where otherwise provided by law, a document is deemed filed at the time it is delivered to the authority at the address set forth in rule </w:t>
      </w:r>
      <w:hyperlink r:id="rId27">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(16),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(authority office and address)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The presiding officer shall rule on motions in regard to discovery. Opposing parties shall respond within ten days of the filing of the motion unless the time is shortened as provided in subrule </w:t>
      </w:r>
      <w:hyperlink r:id="rId28">
        <w:r>
          <w:rPr>
            <w:rStyle w:val="Hyperlink"/>
            <w:rFonts w:ascii="Times New Roman" w:hAnsi="Times New Roman"/>
            <w:b w:val="false"/>
            <w:i w:val="false"/>
            <w:color w:val="000000"/>
            <w:sz w:val="22"/>
          </w:rPr>
          <w:t>7.13(1)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A party may be issued a subpoena by the authority upon written request. In the absence of good cause for permitting later action, a request for a subpoena must be received at least three days before the scheduled hearing. Requests for a subpoena shall include the name, address, and telephone number of the requesting party. 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authority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authority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shall comply with and are disposed of pursuant to the Iowa Rules of Civil Procedure unless inconsistent with this rule or other laws governing contested cases. Motions for summary judgment must be filed and served at least 45 days prior to the scheduled hearing date or other time period determined by the presiding officer. Any party resisting the motion shall file and serve a resistance within 15 days from the date a copy of the motion was served unless otherwise ordered by the presiding officer. The time fixed for hearing or nonoral submission shall be at least 20 days after the filing of the motion unless a shorter time is ordered by the presiding officer. A summary judgment order rendered on all issues in a contested case is subject to rehearing pursuant to rule </w:t>
      </w:r>
      <w:hyperlink r:id="rId29">
        <w:r>
          <w:rPr>
            <w:rStyle w:val="Hyperlink"/>
            <w:rFonts w:ascii="Times New Roman" w:hAnsi="Times New Roman"/>
            <w:b w:val="false"/>
            <w:i w:val="false"/>
            <w:color w:val="000000"/>
            <w:sz w:val="22"/>
          </w:rPr>
          <w:t>265—7.28</w:t>
        </w:r>
      </w:hyperlink>
      <w:r>
        <w:rPr>
          <w:rFonts w:ascii="Times New Roman" w:hAnsi="Times New Roman"/>
          <w:b w:val="false"/>
          <w:i w:val="false"/>
          <w:color w:val="000000"/>
          <w:sz w:val="22"/>
        </w:rPr>
        <w:t xml:space="preserve">(17A) and appeal pursuant to rule </w:t>
      </w:r>
      <w:hyperlink r:id="rId30">
        <w:r>
          <w:rPr>
            <w:rStyle w:val="Hyperlink"/>
            <w:rFonts w:ascii="Times New Roman" w:hAnsi="Times New Roman"/>
            <w:b w:val="false"/>
            <w:i w:val="false"/>
            <w:color w:val="000000"/>
            <w:sz w:val="22"/>
          </w:rPr>
          <w:t>265—7.27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at least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or on behalf of the authority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that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items specified by subrule </w:t>
      </w:r>
      <w:hyperlink r:id="rId31">
        <w:r>
          <w:rPr>
            <w:rStyle w:val="Hyperlink"/>
            <w:rFonts w:ascii="Times New Roman" w:hAnsi="Times New Roman"/>
            <w:b w:val="false"/>
            <w:i w:val="false"/>
            <w:color w:val="000000"/>
            <w:sz w:val="22"/>
          </w:rPr>
          <w:t>7.16(2)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or other electronic means unless otherwise ordered. Parties shall exchange and receive witness and exhibit lists in advance of a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continuance may be made if the presiding officer waives the requirement for a written motion. However, a party making such an oral application for a continuance must confirm that request by written application within five days after the oral request unless waived by the presiding officer. Applications for continuance shall not be made or granted without notice to all parties except when notice is not feasible. The authority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A withdrawal is with prejudice unless otherwise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Motions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 statement of good cause for the failure to file in a timely manner shall be included in any later motion. Unless inequitable or unjust, an intervenor shall be bound by any agreement, arrangement, or other matter previously raised in the case. Requests by untimely intervenors for continuances that would delay the proceeding may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A motion for leave to intervene shall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other orders and rulings to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gives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are afforded the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is to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for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may enter default in accordance with Iowa Code section </w:t>
      </w:r>
      <w:hyperlink r:id="rId32">
        <w:r>
          <w:rPr>
            <w:rStyle w:val="Hyperlink"/>
            <w:rFonts w:ascii="Times New Roman" w:hAnsi="Times New Roman"/>
            <w:b w:val="false"/>
            <w:i w:val="false"/>
            <w:color w:val="000000"/>
            <w:sz w:val="22"/>
          </w:rPr>
          <w:t>17A.12(3)</w:t>
        </w:r>
      </w:hyperlink>
      <w:r>
        <w:rPr>
          <w:rFonts w:ascii="Times New Roman" w:hAnsi="Times New Roman"/>
          <w:b w:val="false"/>
          <w:i w:val="false"/>
          <w:color w:val="000000"/>
          <w:sz w:val="22"/>
        </w:rPr>
        <w:t>. 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authority action unless, within 15 days after the date of notification or mailing of the decision, a motion to vacate is filed and served on all parties or an appeal of a decision on the merits is timely initiated within the time provided by rule </w:t>
      </w:r>
      <w:hyperlink r:id="rId33">
        <w:r>
          <w:rPr>
            <w:rStyle w:val="Hyperlink"/>
            <w:rFonts w:ascii="Times New Roman" w:hAnsi="Times New Roman"/>
            <w:b w:val="false"/>
            <w:i w:val="false"/>
            <w:color w:val="000000"/>
            <w:sz w:val="22"/>
          </w:rPr>
          <w:t>265—7.27</w:t>
        </w:r>
      </w:hyperlink>
      <w:r>
        <w:rPr>
          <w:rFonts w:ascii="Times New Roman" w:hAnsi="Times New Roman"/>
          <w:b w:val="false"/>
          <w:i w:val="false"/>
          <w:color w:val="000000"/>
          <w:sz w:val="22"/>
        </w:rPr>
        <w:t>(17A). A motion to vacate must state all facts relied upon by the moving party that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34">
        <w:r>
          <w:rPr>
            <w:rStyle w:val="Hyperlink"/>
            <w:rFonts w:ascii="Times New Roman" w:hAnsi="Times New Roman"/>
            <w:b w:val="false"/>
            <w:i w:val="false"/>
            <w:color w:val="000000"/>
            <w:sz w:val="22"/>
          </w:rPr>
          <w:t>265—7.25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7.22(8)</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35">
        <w:r>
          <w:rPr>
            <w:rStyle w:val="Hyperlink"/>
            <w:rFonts w:ascii="Times New Roman" w:hAnsi="Times New Roman"/>
            <w:b w:val="false"/>
            <w:i w:val="false"/>
            <w:color w:val="000000"/>
            <w:sz w:val="22"/>
          </w:rPr>
          <w:t>265—7.29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36">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governs ex parte communications in authority contested cases. This does not prohibit persons jointly assigned tasks related to the contested case from communicating with each other. Nothing in this provision is intended to preclude the presiding officer from communicating with members of the agency or seeking the advice or help of persons other than those with a personal interest in, or those engaged in personally investigating as defined in subrule </w:t>
      </w:r>
      <w:hyperlink r:id="rId37">
        <w:r>
          <w:rPr>
            <w:rStyle w:val="Hyperlink"/>
            <w:rFonts w:ascii="Times New Roman" w:hAnsi="Times New Roman"/>
            <w:b w:val="false"/>
            <w:i w:val="false"/>
            <w:color w:val="000000"/>
            <w:sz w:val="22"/>
          </w:rPr>
          <w:t>7.9(2)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while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38">
        <w:r>
          <w:rPr>
            <w:rStyle w:val="Hyperlink"/>
            <w:rFonts w:ascii="Times New Roman" w:hAnsi="Times New Roman"/>
            <w:b w:val="false"/>
            <w:i w:val="false"/>
            <w:color w:val="000000"/>
            <w:sz w:val="22"/>
          </w:rPr>
          <w:t>265—7.12</w:t>
        </w:r>
      </w:hyperlink>
      <w:r>
        <w:rPr>
          <w:rFonts w:ascii="Times New Roman" w:hAnsi="Times New Roman"/>
          <w:b w:val="false"/>
          <w:i w:val="false"/>
          <w:color w:val="000000"/>
          <w:sz w:val="22"/>
        </w:rPr>
        <w:t>(17A) and may be supplemented by telephone, electronic mail or other means of notification. Where permitted, oral communications may be initiated through conference telephone call or other electronic means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39">
        <w:r>
          <w:rPr>
            <w:rStyle w:val="Hyperlink"/>
            <w:rFonts w:ascii="Times New Roman" w:hAnsi="Times New Roman"/>
            <w:b w:val="false"/>
            <w:i w:val="false"/>
            <w:color w:val="000000"/>
            <w:sz w:val="22"/>
          </w:rPr>
          <w:t>7.23(1)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40">
        <w:r>
          <w:rPr>
            <w:rStyle w:val="Hyperlink"/>
            <w:rFonts w:ascii="Times New Roman" w:hAnsi="Times New Roman"/>
            <w:b w:val="false"/>
            <w:i w:val="false"/>
            <w:color w:val="000000"/>
            <w:sz w:val="22"/>
          </w:rPr>
          <w:t>265—7.17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7.23(8)</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the procedures indicated in Iowa Code section </w:t>
      </w:r>
      <w:hyperlink r:id="rId41">
        <w:r>
          <w:rPr>
            <w:rStyle w:val="Hyperlink"/>
            <w:rFonts w:ascii="Times New Roman" w:hAnsi="Times New Roman"/>
            <w:b w:val="false"/>
            <w:i w:val="false"/>
            <w:color w:val="000000"/>
            <w:sz w:val="22"/>
          </w:rPr>
          <w:t>17A.17(4)</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7.23(9)</w:t>
      </w:r>
      <w:r>
        <w:rPr>
          <w:rFonts w:ascii="Times New Roman" w:hAnsi="Times New Roman"/>
          <w:b w:val="false"/>
          <w:i w:val="false"/>
          <w:color w:val="000000"/>
          <w:sz w:val="22"/>
        </w:rPr>
        <w:t> </w:t>
      </w:r>
      <w:r>
        <w:rPr>
          <w:rFonts w:ascii="Times New Roman" w:hAnsi="Times New Roman"/>
          <w:b w:val="false"/>
          <w:i w:val="false"/>
          <w:color w:val="000000"/>
          <w:sz w:val="22"/>
        </w:rPr>
        <w:t xml:space="preserve">Presiding officers shall disclose pre-assignment ex parte communications in accordance with Iowa Code section </w:t>
      </w:r>
      <w:hyperlink r:id="rId42">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Factual information contained in an investigative report or similar document need not be separately disclosed by the presiding officer as long as such documents have been or will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authority. Violation of ex parte communication prohibitions by authority personnel shall be reported to the director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authority shall provide a copy of the whole or any portion of the record at cost. The cost of preparing a copy of the record or of transcribing the hearing record shall be paid by the requesting party. Parties who request that a hearing be recorded by certified shorthand reporters rather than by electronic means shall bear the cost of recording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authority board may review an interlocutory order of the presiding officer. In determining whether to do so, the authority board shall weigh the extent to which its granting the interlocutory appeal would expedite final resolution of the case and the extent to which review of that interlocutory order by the authority board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265—7.26</w:t>
      </w:r>
      <w:r>
        <w:rPr>
          <w:rFonts w:ascii="Times New Roman" w:hAnsi="Times New Roman"/>
          <w:b/>
          <w:i w:val="false"/>
          <w:color w:val="000000"/>
          <w:sz w:val="22"/>
        </w:rPr>
        <w:t xml:space="preserve">(17A) </w:t>
      </w:r>
      <w:r>
        <w:rPr>
          <w:rFonts w:ascii="Times New Roman" w:hAnsi="Times New Roman"/>
          <w:b/>
          <w:i w:val="false"/>
          <w:color w:val="000000"/>
          <w:sz w:val="22"/>
        </w:rPr>
        <w:t xml:space="preserve">Posthearing procedures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color w:val="000000"/>
          <w:sz w:val="22"/>
        </w:rPr>
        <w:t xml:space="preserve">Filing by parties of briefs and proposed findings. </w:t>
      </w:r>
      <w:r>
        <w:rPr>
          <w:rFonts w:ascii="Times New Roman" w:hAnsi="Times New Roman"/>
          <w:b w:val="false"/>
          <w:i w:val="false"/>
          <w:color w:val="000000"/>
          <w:sz w:val="22"/>
        </w:rPr>
        <w:t>The presiding officer may ask the parties to submit proposed findings and conclusions of law and a proposed order or briefs. Copies of the submission shall be served on all parties. The submission schedule, including waiver or briefs, shall be determined at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or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quorum of the authority board presides over the reception of evidence at the hearing, its decision is a final decision. The decision shall be in writing and shall include findings of fact and conclusions of law in conformance with Iowa Code chapter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contested case in which the hearing is held before an administrative law judge or a panel of the authority board members constituting less than a quorum of the authority board, the presiding officer or panel shall render a proposed decision. The proposed decision shall be in writing and shall include findings of fact and conclusions of law in conformance with Iowa Code chapter </w:t>
      </w:r>
      <w:hyperlink r:id="rId4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proposed decision becomes the final decision of the authority without further proceedings unless there is an appeal to, or review on motion of, the authority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color w:val="000000"/>
          <w:sz w:val="22"/>
        </w:rPr>
        <w:t xml:space="preserve">Decisions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prepared. </w:t>
      </w:r>
      <w:r>
        <w:rPr>
          <w:rFonts w:ascii="Times New Roman" w:hAnsi="Times New Roman"/>
          <w:b w:val="false"/>
          <w:i w:val="false"/>
          <w:color w:val="000000"/>
          <w:sz w:val="22"/>
        </w:rPr>
        <w:t>The presiding officer who presided at the reception of evidence shall prepare a proposed or final decision or order in each case. Findings of fact shall be prepared by the presiding officer at the reception of the evidence in a case unless the officer becomes unavailable. If the officer is unavailable, the findings of fact may be prepared by another person qualified to be a presiding officer who has read the record unless demeanor of witnesses is a substantial factor. If demeanor is a substantial factor and the presiding officer is unavailable, the portions of the hearing involving demeanor shall be heard again or the case shall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decision or order. </w:t>
      </w:r>
      <w:r>
        <w:rPr>
          <w:rFonts w:ascii="Times New Roman" w:hAnsi="Times New Roman"/>
          <w:b w:val="false"/>
          <w:i w:val="false"/>
          <w:color w:val="000000"/>
          <w:sz w:val="22"/>
        </w:rPr>
        <w:t xml:space="preserve">Proposed or final decisions or orders are rendered in accordance with Iowa Code section </w:t>
      </w:r>
      <w:hyperlink r:id="rId45">
        <w:r>
          <w:rPr>
            <w:rStyle w:val="Hyperlink"/>
            <w:rFonts w:ascii="Times New Roman" w:hAnsi="Times New Roman"/>
            <w:b w:val="false"/>
            <w:i w:val="false"/>
            <w:color w:val="000000"/>
            <w:sz w:val="22"/>
          </w:rPr>
          <w:t>17A.16(1)</w:t>
        </w:r>
      </w:hyperlink>
      <w:r>
        <w:rPr>
          <w:rFonts w:ascii="Times New Roman" w:hAnsi="Times New Roman"/>
          <w:b w:val="false"/>
          <w:i w:val="false"/>
          <w:color w:val="000000"/>
          <w:sz w:val="22"/>
        </w:rPr>
        <w:t xml:space="preserve">. Proposed decisions or orders include rulings upon each proposed finding if a party submitted proposed findings of fact in accordance with subrule </w:t>
      </w:r>
      <w:hyperlink r:id="rId46">
        <w:r>
          <w:rPr>
            <w:rStyle w:val="Hyperlink"/>
            <w:rFonts w:ascii="Times New Roman" w:hAnsi="Times New Roman"/>
            <w:b w:val="false"/>
            <w:i w:val="false"/>
            <w:color w:val="000000"/>
            <w:sz w:val="22"/>
          </w:rPr>
          <w:t>7.26(1)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A copy of the proposed decision or order shall be delivered to the parties either by personal service or by certified mail, return receipt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authority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authority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authority. The notice of appeal must be signed by the appealing party or a representative of that party and contain a certificate of service. If a member of the authority board or the authority initiates review of a proposed decision, the director shall mail a notice of review to all parties. The notice of appeal or the notice of review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authority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authority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authority may resolve the appeal on the briefs or provide an opportunity for oral argument. The authority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authority decision on the existing record and whether, on the basis of the grounds enumerated in subrule </w:t>
      </w:r>
      <w:hyperlink r:id="rId47">
        <w:r>
          <w:rPr>
            <w:rStyle w:val="Hyperlink"/>
            <w:rFonts w:ascii="Times New Roman" w:hAnsi="Times New Roman"/>
            <w:b w:val="false"/>
            <w:i w:val="false"/>
            <w:color w:val="000000"/>
            <w:sz w:val="22"/>
          </w:rPr>
          <w:t>7.27(4)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filed with the authority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7.28(4)</w:t>
      </w:r>
      <w:r>
        <w:rPr>
          <w:rFonts w:ascii="Times New Roman" w:hAnsi="Times New Roman"/>
          <w:b w:val="false"/>
          <w:i w:val="false"/>
          <w:color w:val="000000"/>
          <w:sz w:val="22"/>
        </w:rPr>
        <w:t>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authority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7.28(5)</w:t>
      </w:r>
      <w:r>
        <w:rPr>
          <w:rFonts w:ascii="Times New Roman" w:hAnsi="Times New Roman"/>
          <w:b w:val="false"/>
          <w:i w:val="false"/>
          <w:color w:val="000000"/>
          <w:sz w:val="22"/>
        </w:rPr>
        <w:t> </w:t>
      </w:r>
      <w:r>
        <w:rPr>
          <w:rFonts w:ascii="Times New Roman" w:hAnsi="Times New Roman"/>
          <w:b w:val="false"/>
          <w:i w:val="false"/>
          <w:color w:val="000000"/>
          <w:sz w:val="22"/>
        </w:rPr>
        <w:t>Any application for a rehearing shall be deemed denied unless the authority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authority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authority for a stay of an order issued in that proceeding or for other temporary remedies, pending review by the authority. The petition shall be filed with the notice of appeal and shall state the reasons justifying a stay or other temporary remedy. The authority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authority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authority shall consider the factors listed in Iowa Code section </w:t>
      </w:r>
      <w:hyperlink r:id="rId48">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authority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to by the parties, without necessity for the production of evidence at an evidentiary hearing. If such agreement is reached, a jointly submitted schedule detailing the method and timetable for submission of the record, briefs and oral argument should be submitted by the parties to the presiding officer for approval as soon as practicable. If the parties cannot agree, any party may file and serve a motion for summary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and welfare and, consistent with the Constitution and other provisions of law, the authority may issue a written order in compliance with Iowa Code section </w:t>
      </w:r>
      <w:hyperlink r:id="rId49">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authority by emergency adjudicative order. Before issuing an emergency adjudicative order, the authority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authority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authority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authority’s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authority;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authority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authority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 issued, the authority shall make reasonable immediate efforts to contact by telephone or electronic mail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authority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shall include notification of the date on which the authority’s proceedings are scheduled for completion. After issuance of an emergency adjudicative order, continuance of further authority proceedings to a later date will be granted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265—7.32</w:t>
      </w:r>
      <w:r>
        <w:rPr>
          <w:rFonts w:ascii="Times New Roman" w:hAnsi="Times New Roman"/>
          <w:b/>
          <w:i w:val="false"/>
          <w:color w:val="000000"/>
          <w:sz w:val="22"/>
        </w:rPr>
        <w:t xml:space="preserve">(17A,16) </w:t>
      </w:r>
      <w:r>
        <w:rPr>
          <w:rFonts w:ascii="Times New Roman" w:hAnsi="Times New Roman"/>
          <w:b/>
          <w:i w:val="false"/>
          <w:color w:val="000000"/>
          <w:sz w:val="22"/>
        </w:rPr>
        <w:t xml:space="preserve">Informal procedure prior to hearing. </w:t>
      </w:r>
      <w:r>
        <w:rPr>
          <w:rFonts w:ascii="Times New Roman" w:hAnsi="Times New Roman"/>
          <w:b w:val="false"/>
          <w:i w:val="false"/>
          <w:color w:val="000000"/>
          <w:sz w:val="22"/>
        </w:rPr>
        <w:t xml:space="preserve">Any person who desires to pursue informal settlement of any contested case may make a request for an informal settlement to the director. When the authority is a party, all informal settlements shall be made by the director. All informal settlements are subject to ratification by the board. A request for informal settlement should be received by the director not less than 15 days before the authority board meeting at which the request is to be considered. The director shall schedule consideration of the request at the next regular authority board meeting occurring more than 30 days after the request for an informal settlement is made. Not more than ten days after the authority meeting at which the request is scheduled for consideration, the director will notify the petitioner in writing of the authority’s disposition of the request. If the authority determines that a conference is appropriate, the party will be notified when, where, and with whom such a conference is to be held. The terms of any settlement agreed to by the parties shall be embodied in a written stipulation. Upon receipt of the request, all formal contested case procedures are stayed, except in the case of emergency orders as provided in rule </w:t>
      </w:r>
      <w:hyperlink r:id="rId50">
        <w:r>
          <w:rPr>
            <w:rStyle w:val="Hyperlink"/>
            <w:rFonts w:ascii="Times New Roman" w:hAnsi="Times New Roman"/>
            <w:b w:val="false"/>
            <w:i w:val="false"/>
            <w:color w:val="000000"/>
            <w:sz w:val="22"/>
          </w:rPr>
          <w:t>265—7.31</w:t>
        </w:r>
      </w:hyperlink>
      <w:r>
        <w:rPr>
          <w:rFonts w:ascii="Times New Roman" w:hAnsi="Times New Roman"/>
          <w:b w:val="false"/>
          <w:i w:val="false"/>
          <w:color w:val="000000"/>
          <w:sz w:val="22"/>
        </w:rPr>
        <w:t xml:space="preserve">(17A). If informal settlement is unsuccessful, formal contested case proceedings may be instituted in accordance with rule </w:t>
      </w:r>
      <w:hyperlink r:id="rId51">
        <w:r>
          <w:rPr>
            <w:rStyle w:val="Hyperlink"/>
            <w:rFonts w:ascii="Times New Roman" w:hAnsi="Times New Roman"/>
            <w:b w:val="false"/>
            <w:i w:val="false"/>
            <w:color w:val="000000"/>
            <w:sz w:val="22"/>
          </w:rPr>
          <w:t>265—7.5</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9405C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12/17/82, Notice 11/10/82—published 1/5/83, effective 2/9/83]</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emergency 9/3/99 after Notice 4/21/99—published 9/22/99, effective 9/3/99]</w:t>
      </w:r>
    </w:p>
    <w:p>
      <w:pPr>
        <w:spacing w:before="0" w:after="0"/>
        <w:ind w:left="120"/>
        <w:jc w:val="center"/>
      </w:pPr>
      <w:r>
        <w:rPr>
          <w:rFonts w:ascii="Times New Roman" w:hAnsi="Times New Roman"/>
          <w:b w:val="false"/>
          <w:i w:val="false"/>
          <w:color w:val="000000"/>
          <w:sz w:val="21"/>
        </w:rPr>
        <w:t>[Filed emergency 4/3/07—published 4/25/07, effective 4/3/07]</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9405C</w:t>
      </w:r>
      <w:r>
        <w:rPr>
          <w:rFonts w:ascii="Times New Roman" w:hAnsi="Times New Roman"/>
          <w:b w:val="false"/>
          <w:i w:val="false"/>
          <w:color w:val="000000"/>
          <w:sz w:val="21"/>
        </w:rPr>
        <w:t xml:space="preserve"> (Notice ARC 9187C, IAB 4/30/25)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17A.12.pdf" Type="http://schemas.openxmlformats.org/officeDocument/2006/relationships/hyperlink" Id="rId10"/>
    <Relationship TargetMode="External" Target="https://www.legis.iowa.gov/docs/ico/chapter/17A.12.pdf" Type="http://schemas.openxmlformats.org/officeDocument/2006/relationships/hyperlink" Id="rId11"/>
    <Relationship TargetMode="External" Target="https://www.legis.iowa.gov/docs/ico/chapter/17A.11.pdf" Type="http://schemas.openxmlformats.org/officeDocument/2006/relationships/hyperlink" Id="rId12"/>
    <Relationship TargetMode="External" Target="https://www.legis.iowa.gov/docs/iac/rule/265.7.6.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ac/rule/265.7.6.pdf" Type="http://schemas.openxmlformats.org/officeDocument/2006/relationships/hyperlink" Id="rId15"/>
    <Relationship TargetMode="External" Target="https://www.legis.iowa.gov/docs/ico/chapter/17A.11.pdf" Type="http://schemas.openxmlformats.org/officeDocument/2006/relationships/hyperlink" Id="rId16"/>
    <Relationship TargetMode="External" Target="https://www.legis.iowa.gov/docs/iac/rule/265.7.6.pdf" Type="http://schemas.openxmlformats.org/officeDocument/2006/relationships/hyperlink" Id="rId17"/>
    <Relationship TargetMode="External" Target="https://www.legis.iowa.gov/docs/ico/chapter/17A.17.pdf" Type="http://schemas.openxmlformats.org/officeDocument/2006/relationships/hyperlink" Id="rId18"/>
    <Relationship TargetMode="External" Target="https://www.legis.iowa.gov/docs/iac/rule/265.7.9.pdf" Type="http://schemas.openxmlformats.org/officeDocument/2006/relationships/hyperlink" Id="rId19"/>
    <Relationship TargetMode="External" Target="https://www.legis.iowa.gov/docs/iac/rule/265.7.23.pdf" Type="http://schemas.openxmlformats.org/officeDocument/2006/relationships/hyperlink" Id="rId20"/>
    <Relationship TargetMode="External" Target="https://www.legis.iowa.gov/docs/iac/rule/265.7.9.pdf" Type="http://schemas.openxmlformats.org/officeDocument/2006/relationships/hyperlink" Id="rId21"/>
    <Relationship TargetMode="External" Target="https://www.legis.iowa.gov/docs/ico/chapter/17A.17.pdf" Type="http://schemas.openxmlformats.org/officeDocument/2006/relationships/hyperlink" Id="rId22"/>
    <Relationship TargetMode="External" Target="https://www.legis.iowa.gov/docs/iac/rule/265.7.25.pdf" Type="http://schemas.openxmlformats.org/officeDocument/2006/relationships/hyperlink" Id="rId23"/>
    <Relationship TargetMode="External" Target="https://www.legis.iowa.gov/docs/iac/rule/265.7.29.pdf" Type="http://schemas.openxmlformats.org/officeDocument/2006/relationships/hyperlink" Id="rId24"/>
    <Relationship TargetMode="External" Target="https://www.legis.iowa.gov/docs/ico/chapter/17A.16.pdf" Type="http://schemas.openxmlformats.org/officeDocument/2006/relationships/hyperlink" Id="rId25"/>
    <Relationship TargetMode="External" Target="https://www.legis.iowa.gov/docs/iac/rule/265.1.3.pdf" Type="http://schemas.openxmlformats.org/officeDocument/2006/relationships/hyperlink" Id="rId26"/>
    <Relationship TargetMode="External" Target="https://www.legis.iowa.gov/docs/iac/rule/265.1.3.pdf" Type="http://schemas.openxmlformats.org/officeDocument/2006/relationships/hyperlink" Id="rId27"/>
    <Relationship TargetMode="External" Target="https://www.legis.iowa.gov/docs/iac/rule/265.7.13.pdf" Type="http://schemas.openxmlformats.org/officeDocument/2006/relationships/hyperlink" Id="rId28"/>
    <Relationship TargetMode="External" Target="https://www.legis.iowa.gov/docs/iac/rule/265.7.28.pdf" Type="http://schemas.openxmlformats.org/officeDocument/2006/relationships/hyperlink" Id="rId29"/>
    <Relationship TargetMode="External" Target="https://www.legis.iowa.gov/docs/iac/rule/265.7.27.pdf" Type="http://schemas.openxmlformats.org/officeDocument/2006/relationships/hyperlink" Id="rId30"/>
    <Relationship TargetMode="External" Target="https://www.legis.iowa.gov/docs/iac/rule/265.7.16.pdf" Type="http://schemas.openxmlformats.org/officeDocument/2006/relationships/hyperlink" Id="rId31"/>
    <Relationship TargetMode="External" Target="https://www.legis.iowa.gov/docs/ico/chapter/17A.12.pdf" Type="http://schemas.openxmlformats.org/officeDocument/2006/relationships/hyperlink" Id="rId32"/>
    <Relationship TargetMode="External" Target="https://www.legis.iowa.gov/docs/iac/rule/265.7.27.pdf" Type="http://schemas.openxmlformats.org/officeDocument/2006/relationships/hyperlink" Id="rId33"/>
    <Relationship TargetMode="External" Target="https://www.legis.iowa.gov/docs/iac/rule/265.7.25.pdf" Type="http://schemas.openxmlformats.org/officeDocument/2006/relationships/hyperlink" Id="rId34"/>
    <Relationship TargetMode="External" Target="https://www.legis.iowa.gov/docs/iac/rule/265.7.29.pdf" Type="http://schemas.openxmlformats.org/officeDocument/2006/relationships/hyperlink" Id="rId35"/>
    <Relationship TargetMode="External" Target="https://www.legis.iowa.gov/docs/ico/chapter/17A.17.pdf" Type="http://schemas.openxmlformats.org/officeDocument/2006/relationships/hyperlink" Id="rId36"/>
    <Relationship TargetMode="External" Target="https://www.legis.iowa.gov/docs/iac/rule/265.7.9.pdf" Type="http://schemas.openxmlformats.org/officeDocument/2006/relationships/hyperlink" Id="rId37"/>
    <Relationship TargetMode="External" Target="https://www.legis.iowa.gov/docs/iac/rule/265.7.12.pdf" Type="http://schemas.openxmlformats.org/officeDocument/2006/relationships/hyperlink" Id="rId38"/>
    <Relationship TargetMode="External" Target="https://www.legis.iowa.gov/docs/iac/rule/265.7.23.pdf" Type="http://schemas.openxmlformats.org/officeDocument/2006/relationships/hyperlink" Id="rId39"/>
    <Relationship TargetMode="External" Target="https://www.legis.iowa.gov/docs/iac/rule/265.7.17.pdf" Type="http://schemas.openxmlformats.org/officeDocument/2006/relationships/hyperlink" Id="rId40"/>
    <Relationship TargetMode="External" Target="https://www.legis.iowa.gov/docs/ico/chapter/17A.17.pdf" Type="http://schemas.openxmlformats.org/officeDocument/2006/relationships/hyperlink" Id="rId41"/>
    <Relationship TargetMode="External" Target="https://www.legis.iowa.gov/docs/ico/chapter/17A.17.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7A.pdf" Type="http://schemas.openxmlformats.org/officeDocument/2006/relationships/hyperlink" Id="rId44"/>
    <Relationship TargetMode="External" Target="https://www.legis.iowa.gov/docs/ico/chapter/17A.16.pdf" Type="http://schemas.openxmlformats.org/officeDocument/2006/relationships/hyperlink" Id="rId45"/>
    <Relationship TargetMode="External" Target="https://www.legis.iowa.gov/docs/iac/rule/265.7.26.pdf" Type="http://schemas.openxmlformats.org/officeDocument/2006/relationships/hyperlink" Id="rId46"/>
    <Relationship TargetMode="External" Target="https://www.legis.iowa.gov/docs/iac/rule/265.7.27.pdf" Type="http://schemas.openxmlformats.org/officeDocument/2006/relationships/hyperlink" Id="rId47"/>
    <Relationship TargetMode="External" Target="https://www.legis.iowa.gov/docs/ico/chapter/17A.19.pdf" Type="http://schemas.openxmlformats.org/officeDocument/2006/relationships/hyperlink" Id="rId48"/>
    <Relationship TargetMode="External" Target="https://www.legis.iowa.gov/docs/ico/chapter/17A.18A.pdf" Type="http://schemas.openxmlformats.org/officeDocument/2006/relationships/hyperlink" Id="rId49"/>
    <Relationship TargetMode="External" Target="https://www.legis.iowa.gov/docs/iac/rule/265.7.31.pdf" Type="http://schemas.openxmlformats.org/officeDocument/2006/relationships/hyperlink" Id="rId50"/>
    <Relationship TargetMode="External" Target="https://www.legis.iowa.gov/docs/iac/rule/265.7.5.pdf" Type="http://schemas.openxmlformats.org/officeDocument/2006/relationships/hyperlink" Id="rId51"/>
    <Relationship TargetMode="External" Target="https://www.legis.iowa.gov/docs/ico/chapter/17A.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