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w:t>
      </w:r>
    </w:p>
    <w:p>
      <w:pPr>
        <w:spacing w:before="0" w:after="0"/>
        <w:ind w:left="120"/>
        <w:jc w:val="center"/>
      </w:pPr>
      <w:r>
        <w:rPr>
          <w:rFonts w:ascii="Times New Roman" w:hAnsi="Times New Roman"/>
          <w:b w:val="false"/>
          <w:i w:val="false"/>
          <w:color w:val="000000"/>
          <w:sz w:val="21"/>
        </w:rPr>
        <w:t>PETITION FOR DECLARATORY ORDER</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6/4/30</w:t>
      </w:r>
    </w:p>
    <w:p>
      <w:pPr>
        <w:spacing w:before="0" w:after="0"/>
        <w:ind w:left="120"/>
        <w:jc w:val="both"/>
      </w:pPr>
      <w:r>
        <w:rPr>
          <w:rFonts w:ascii="Times New Roman" w:hAnsi="Times New Roman"/>
          <w:b/>
          <w:i w:val="false"/>
          <w:color w:val="000000"/>
          <w:sz w:val="22"/>
        </w:rPr>
        <w:t>265—16.1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16.1(1)</w:t>
      </w:r>
      <w:r>
        <w:rPr>
          <w:rFonts w:ascii="Times New Roman" w:hAnsi="Times New Roman"/>
          <w:b w:val="false"/>
          <w:i w:val="false"/>
          <w:color w:val="000000"/>
          <w:sz w:val="22"/>
        </w:rPr>
        <w:t> </w:t>
      </w:r>
      <w:r>
        <w:rPr>
          <w:rFonts w:ascii="Times New Roman" w:hAnsi="Times New Roman"/>
          <w:b w:val="false"/>
          <w:i w:val="false"/>
          <w:color w:val="000000"/>
          <w:sz w:val="22"/>
        </w:rPr>
        <w:t>Any person may file a petition with the authority for a declaratory order as to the applicability to specified circumstances of a statute, rule, or order within the primary jurisdiction of the authority at Iowa Finance Authority, 1963 Bell Avenue, Suite 200, Des Moines, Iowa 50315, Attn: Legal Counsel.  Petitions may also be delivered by email to an email address supplied by the authority’s legal counsel. A petition is deemed filed when it is received by the authority. The authority will provide the petitioner with a file-stamped copy of the petition if the petitioner provides the authority an extra copy for this purpose. The authority will accept only typewritten petitions that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480"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BEFORE THE</w:t>
            </w:r>
            <w:r>
              <w:br/>
            </w:r>
            <w:r>
              <w:rPr>
                <w:rFonts w:ascii="Times New Roman" w:hAnsi="Times New Roman"/>
                <w:b w:val="false"/>
                <w:i w:val="false"/>
                <w:color w:val="000000"/>
                <w:sz w:val="20"/>
              </w:rPr>
              <w:t>IOWA FINANCE AUTHORITY</w:t>
            </w:r>
          </w:p>
        </w:tc>
      </w:tr>
      <w:tr>
        <w:trPr>
          <w:trHeight w:val="1125" w:hRule="atLeast"/>
        </w:trPr>
        <w:tc>
          <w:tcPr>
            <w:tcW w:w="4850"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Petition by (Name of Petitioner)</w:t>
            </w:r>
            <w:r>
              <w:br/>
            </w:r>
            <w:r>
              <w:rPr>
                <w:rFonts w:ascii="Times New Roman" w:hAnsi="Times New Roman"/>
                <w:b w:val="false"/>
                <w:i w:val="false"/>
                <w:color w:val="000000"/>
                <w:sz w:val="20"/>
              </w:rPr>
              <w:t>for a Declaratory Order on</w:t>
            </w:r>
            <w:r>
              <w:br/>
            </w:r>
            <w:r>
              <w:rPr>
                <w:rFonts w:ascii="Times New Roman" w:hAnsi="Times New Roman"/>
                <w:b w:val="false"/>
                <w:i w:val="false"/>
                <w:color w:val="000000"/>
                <w:sz w:val="20"/>
              </w:rPr>
              <w:t>(Cite provisions of law involved).</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96"/>
              </w:rPr>
              <w:t>}</w:t>
            </w:r>
          </w:p>
        </w:tc>
        <w:tc>
          <w:tcPr>
            <w:tcW w:w="4850"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PETITION FOR</w:t>
            </w:r>
            <w:r>
              <w:br/>
            </w:r>
            <w:r>
              <w:rPr>
                <w:rFonts w:ascii="Times New Roman" w:hAnsi="Times New Roman"/>
                <w:b w:val="false"/>
                <w:i w:val="false"/>
                <w:color w:val="000000"/>
                <w:sz w:val="20"/>
              </w:rPr>
              <w:t>DECLARATORY ORDER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16.1(2)</w:t>
      </w:r>
      <w:r>
        <w:rPr>
          <w:rFonts w:ascii="Times New Roman" w:hAnsi="Times New Roman"/>
          <w:b w:val="false"/>
          <w:i w:val="false"/>
          <w:color w:val="000000"/>
          <w:sz w:val="22"/>
        </w:rPr>
        <w:t> </w:t>
      </w: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clear and concise statement of all relevant facts on which the order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and the relevant language of the specific statutes, rules, policies, decisions, or orders, whose applicability is questioned, and any other relevant law.</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questions petitioner wants answered, stated clearly and concisely.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answers to the questions desired by the petitioner and a summary of the reasons urged by the petitioner in support of those answers.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reasons for requesting the declaratory order and disclosure of the petitioner’s interest in the outcome.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statement indicating whether the petitioner is currently a party to another proceeding involving the questions at issue and whether, to the petitioner’s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names and addresses of other persons, or a description of any class of persons, known by the petitioner to be affected by, or interested in, the questions presented in the petition.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Any request by the petitioner for a meeting provided for by rule </w:t>
      </w:r>
      <w:hyperlink r:id="rId5">
        <w:r>
          <w:rPr>
            <w:rStyle w:val="Hyperlink"/>
            <w:rFonts w:ascii="Times New Roman" w:hAnsi="Times New Roman"/>
            <w:b w:val="false"/>
            <w:i w:val="false"/>
            <w:color w:val="000000"/>
            <w:sz w:val="22"/>
          </w:rPr>
          <w:t>265—16.7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16.1(3)</w:t>
      </w:r>
      <w:r>
        <w:rPr>
          <w:rFonts w:ascii="Times New Roman" w:hAnsi="Times New Roman"/>
          <w:b w:val="false"/>
          <w:i w:val="false"/>
          <w:color w:val="000000"/>
          <w:sz w:val="22"/>
        </w:rPr>
        <w:t> </w:t>
      </w:r>
      <w:r>
        <w:rPr>
          <w:rFonts w:ascii="Times New Roman" w:hAnsi="Times New Roman"/>
          <w:b w:val="false"/>
          <w:i w:val="false"/>
          <w:color w:val="000000"/>
          <w:sz w:val="22"/>
        </w:rPr>
        <w:t>The petition must be dated and signed by the petitioner or the petitioner’s representative. It must also include the name, mailing address, and telephone number of the petitioner and petitioner’s representative and a statement indicating the person to whom communications concerning the petition should be directed.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9153C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265—16.2</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 xml:space="preserve">Within 15 days after receipt of a petition for a declaratory order, the authority shall give notice of the petition to all persons not served by the petitioner pursuant to rule </w:t>
      </w:r>
      <w:hyperlink r:id="rId6">
        <w:r>
          <w:rPr>
            <w:rStyle w:val="Hyperlink"/>
            <w:rFonts w:ascii="Times New Roman" w:hAnsi="Times New Roman"/>
            <w:b w:val="false"/>
            <w:i w:val="false"/>
            <w:color w:val="000000"/>
            <w:sz w:val="22"/>
          </w:rPr>
          <w:t>265—16.6</w:t>
        </w:r>
      </w:hyperlink>
      <w:r>
        <w:rPr>
          <w:rFonts w:ascii="Times New Roman" w:hAnsi="Times New Roman"/>
          <w:b w:val="false"/>
          <w:i w:val="false"/>
          <w:color w:val="000000"/>
          <w:sz w:val="22"/>
        </w:rPr>
        <w:t>(17A) to whom notice is required by any provision of law. The authority may give notice to any other persons. The authority may require the petitioner to serve the notice on all persons to whom notice is required by any provision of law and provide a written statement to the authority attesting that notice has been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9153C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265—16.3</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w:t>
      </w:r>
      <w:r>
        <w:rPr>
          <w:rFonts w:ascii="Times New Roman" w:hAnsi="Times New Roman"/>
          <w:b w:val="false"/>
          <w:i w:val="false"/>
          <w:color w:val="000000"/>
          <w:sz w:val="22"/>
        </w:rPr>
        <w:t> </w:t>
      </w:r>
      <w:r>
        <w:rPr>
          <w:rFonts w:ascii="Times New Roman" w:hAnsi="Times New Roman"/>
          <w:b w:val="false"/>
          <w:i w:val="false"/>
          <w:color w:val="000000"/>
          <w:sz w:val="22"/>
        </w:rPr>
        <w:t>Persons who qualify under any applicable provision of law as an intervenor and who file a petition for intervention within 20 days of the filing of a petition for declaratory order may intervene in a proceeding for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16.3(2)</w:t>
      </w:r>
      <w:r>
        <w:rPr>
          <w:rFonts w:ascii="Times New Roman" w:hAnsi="Times New Roman"/>
          <w:b w:val="false"/>
          <w:i w:val="false"/>
          <w:color w:val="000000"/>
          <w:sz w:val="22"/>
        </w:rPr>
        <w:t> </w:t>
      </w:r>
      <w:r>
        <w:rPr>
          <w:rFonts w:ascii="Times New Roman" w:hAnsi="Times New Roman"/>
          <w:b w:val="false"/>
          <w:i w:val="false"/>
          <w:color w:val="000000"/>
          <w:sz w:val="22"/>
        </w:rPr>
        <w:t>Any person who files a petition for intervention at any time prior to the issuance of an order may be allowed to intervene in a proceeding for a declaratory order at the discretion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16.3(3)</w:t>
      </w:r>
      <w:r>
        <w:rPr>
          <w:rFonts w:ascii="Times New Roman" w:hAnsi="Times New Roman"/>
          <w:b w:val="false"/>
          <w:i w:val="false"/>
          <w:color w:val="000000"/>
          <w:sz w:val="22"/>
        </w:rPr>
        <w:t> </w:t>
      </w:r>
      <w:r>
        <w:rPr>
          <w:rFonts w:ascii="Times New Roman" w:hAnsi="Times New Roman"/>
          <w:b w:val="false"/>
          <w:i w:val="false"/>
          <w:color w:val="000000"/>
          <w:sz w:val="22"/>
        </w:rPr>
        <w:t>Filing a petition for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 for intervention shall be filed at the address or email address indicated in rule </w:t>
      </w:r>
      <w:hyperlink r:id="rId7">
        <w:r>
          <w:rPr>
            <w:rStyle w:val="Hyperlink"/>
            <w:rFonts w:ascii="Times New Roman" w:hAnsi="Times New Roman"/>
            <w:b w:val="false"/>
            <w:i w:val="false"/>
            <w:color w:val="000000"/>
            <w:sz w:val="22"/>
          </w:rPr>
          <w:t>265—16.1</w:t>
        </w:r>
      </w:hyperlink>
      <w:r>
        <w:rPr>
          <w:rFonts w:ascii="Times New Roman" w:hAnsi="Times New Roman"/>
          <w:b w:val="false"/>
          <w:i w:val="false"/>
          <w:color w:val="000000"/>
          <w:sz w:val="22"/>
        </w:rPr>
        <w:t>(17A). A petition is deemed filed when it is received by the authority. The authority will provide the petitioner with a file-stamped copy of the petition for intervention if the petitioner provides an extra copy for this purpose. The authority will accept only typewritten petitions that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480"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BEFORE THE</w:t>
            </w:r>
            <w:r>
              <w:br/>
            </w:r>
            <w:r>
              <w:rPr>
                <w:rFonts w:ascii="Times New Roman" w:hAnsi="Times New Roman"/>
                <w:b w:val="false"/>
                <w:i w:val="false"/>
                <w:color w:val="000000"/>
                <w:sz w:val="20"/>
              </w:rPr>
              <w:t>IOWA FINANCE AUTHORITY</w:t>
            </w:r>
          </w:p>
        </w:tc>
      </w:tr>
      <w:tr>
        <w:trPr>
          <w:trHeight w:val="112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20"/>
              </w:rPr>
              <w:t>Petition by (Name of Original Petitioner) for a Declaratory Order on</w:t>
            </w:r>
          </w:p>
          <w:p>
            <w:pPr>
              <w:spacing w:before="0" w:after="0"/>
              <w:ind w:left="160"/>
              <w:jc w:val="left"/>
            </w:pPr>
            <w:r>
              <w:rPr>
                <w:rFonts w:ascii="Times New Roman" w:hAnsi="Times New Roman"/>
                <w:b w:val="false"/>
                <w:i w:val="false"/>
                <w:color w:val="000000"/>
                <w:sz w:val="20"/>
              </w:rPr>
              <w:t xml:space="preserve">(Cite provisions of law cited in </w:t>
            </w:r>
            <w:r>
              <w:br/>
            </w:r>
            <w:r>
              <w:rPr>
                <w:rFonts w:ascii="Times New Roman" w:hAnsi="Times New Roman"/>
                <w:b w:val="false"/>
                <w:i w:val="false"/>
                <w:color w:val="000000"/>
                <w:sz w:val="20"/>
              </w:rPr>
              <w:t>original petition).</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96"/>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20"/>
              </w:rPr>
              <w:t>PETITION FOR</w:t>
            </w:r>
          </w:p>
          <w:p>
            <w:pPr>
              <w:spacing w:before="0" w:after="0"/>
              <w:ind w:left="160"/>
              <w:jc w:val="center"/>
            </w:pPr>
            <w:r>
              <w:rPr>
                <w:rFonts w:ascii="Times New Roman" w:hAnsi="Times New Roman"/>
                <w:b w:val="false"/>
                <w:i w:val="false"/>
                <w:color w:val="000000"/>
                <w:sz w:val="20"/>
              </w:rPr>
              <w:t>INTERVENTION</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petition for intervention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Facts supporting the intervenor’s standing and qualifications for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answers urged by the intervenor to the question or questions presented and a summary of the reasons urged in support of those answers.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Reasons for requesting intervention and disclosure of the intervenor’s interest in the outcome.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statement indicating whether the intervenor is currently a party to any proceeding involving the questions at issue and whether, to the intervenor’s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any additional persons, or a description of any additional class of persons, known by the intervenor to be affected by, or interested in, the questions presented.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the intervenor consents to be bound by the determination of the matters presented by the declaratory order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petition must be dated and signed by the intervenor or the intervenor’s representative. It must also include the name, mailing address, and telephone number of the intervenor and the intervenor’s representative, and a statement indicating the person to whom communications should be directed.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9153C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265—16.4</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or any intervenor may file a brief in support of the position urged. The authority may request a brief from the petitioner, any intervenor, or any other person concerning the questions raised.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9153C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265—16.5</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 xml:space="preserve">Inquiries concerning the status of a declaratory order proceeding may be made to the address or email address indicated in rule </w:t>
      </w:r>
      <w:hyperlink r:id="rId8">
        <w:r>
          <w:rPr>
            <w:rStyle w:val="Hyperlink"/>
            <w:rFonts w:ascii="Times New Roman" w:hAnsi="Times New Roman"/>
            <w:b w:val="false"/>
            <w:i w:val="false"/>
            <w:color w:val="000000"/>
            <w:sz w:val="22"/>
          </w:rPr>
          <w:t>265—16.1</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9153C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265—16.6</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petitions and other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w:t>
      </w:r>
      <w:r>
        <w:rPr>
          <w:rFonts w:ascii="Times New Roman" w:hAnsi="Times New Roman"/>
          <w:b w:val="false"/>
          <w:i w:val="false"/>
          <w:color w:val="000000"/>
          <w:sz w:val="22"/>
        </w:rPr>
        <w:t> </w:t>
      </w:r>
      <w:r>
        <w:rPr>
          <w:rFonts w:ascii="Times New Roman" w:hAnsi="Times New Roman"/>
          <w:b w:val="false"/>
          <w:i w:val="false"/>
          <w:color w:val="000000"/>
          <w:sz w:val="22"/>
        </w:rPr>
        <w:t>Except where otherwise provided by law, every petition for declaratory order, petition for intervention, brief, or other paper filed in a proceeding for a declaratory order shall be served upon each of the parties of record to the proceeding, and on all other persons identified in the petition for declaratory order or petition for intervention as affected by or interested in the questions presented, simultaneously with their filing with the authority. The party filing a document is responsible for service on all parties and other affected or interested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w:t>
      </w:r>
      <w:r>
        <w:rPr>
          <w:rFonts w:ascii="Times New Roman" w:hAnsi="Times New Roman"/>
          <w:b w:val="false"/>
          <w:i w:val="false"/>
          <w:color w:val="000000"/>
          <w:sz w:val="22"/>
        </w:rPr>
        <w:t> </w:t>
      </w:r>
      <w:r>
        <w:rPr>
          <w:rFonts w:ascii="Times New Roman" w:hAnsi="Times New Roman"/>
          <w:b w:val="false"/>
          <w:i w:val="false"/>
          <w:color w:val="000000"/>
          <w:sz w:val="22"/>
        </w:rPr>
        <w:t xml:space="preserve">All petitions for declaratory orders, petitions for intervention, briefs, or other papers in a proceeding for a declaratory order shall be filed at the address or email address indicated in rule </w:t>
      </w:r>
      <w:hyperlink r:id="rId9">
        <w:r>
          <w:rPr>
            <w:rStyle w:val="Hyperlink"/>
            <w:rFonts w:ascii="Times New Roman" w:hAnsi="Times New Roman"/>
            <w:b w:val="false"/>
            <w:i w:val="false"/>
            <w:color w:val="000000"/>
            <w:sz w:val="22"/>
          </w:rPr>
          <w:t>265—16.1</w:t>
        </w:r>
      </w:hyperlink>
      <w:r>
        <w:rPr>
          <w:rFonts w:ascii="Times New Roman" w:hAnsi="Times New Roman"/>
          <w:b w:val="false"/>
          <w:i w:val="false"/>
          <w:color w:val="000000"/>
          <w:sz w:val="22"/>
        </w:rPr>
        <w:t>(17A). All documents are considered filed upon receipt.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9153C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265—16.7</w:t>
      </w:r>
      <w:r>
        <w:rPr>
          <w:rFonts w:ascii="Times New Roman" w:hAnsi="Times New Roman"/>
          <w:b/>
          <w:i w:val="false"/>
          <w:color w:val="000000"/>
          <w:sz w:val="22"/>
        </w:rPr>
        <w:t xml:space="preserve">(17A) </w:t>
      </w:r>
      <w:r>
        <w:rPr>
          <w:rFonts w:ascii="Times New Roman" w:hAnsi="Times New Roman"/>
          <w:b/>
          <w:i w:val="false"/>
          <w:color w:val="000000"/>
          <w:sz w:val="22"/>
        </w:rPr>
        <w:t xml:space="preserve">Consideration. </w:t>
      </w:r>
      <w:r>
        <w:rPr>
          <w:rFonts w:ascii="Times New Roman" w:hAnsi="Times New Roman"/>
          <w:b w:val="false"/>
          <w:i w:val="false"/>
          <w:color w:val="000000"/>
          <w:sz w:val="22"/>
        </w:rPr>
        <w:t>The authority may schedule a brief and informal meeting between the original petitioner, all intervenors, and authority staff to discuss the questions raised. The authority may solicit comments from any person on the questions raised. Also, comments on the questions raised may be submitted to the authority by any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9153C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265—16.8</w:t>
      </w:r>
      <w:r>
        <w:rPr>
          <w:rFonts w:ascii="Times New Roman" w:hAnsi="Times New Roman"/>
          <w:b/>
          <w:i w:val="false"/>
          <w:color w:val="000000"/>
          <w:sz w:val="22"/>
        </w:rPr>
        <w:t xml:space="preserve">(17A) </w:t>
      </w:r>
      <w:r>
        <w:rPr>
          <w:rFonts w:ascii="Times New Roman" w:hAnsi="Times New Roman"/>
          <w:b/>
          <w:i w:val="false"/>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shall take action on the petition in the time frame established by Iowa Code section </w:t>
      </w:r>
      <w:hyperlink r:id="rId10">
        <w:r>
          <w:rPr>
            <w:rStyle w:val="Hyperlink"/>
            <w:rFonts w:ascii="Times New Roman" w:hAnsi="Times New Roman"/>
            <w:b w:val="false"/>
            <w:i w:val="false"/>
            <w:color w:val="000000"/>
            <w:sz w:val="22"/>
          </w:rPr>
          <w:t>17A.9(5)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16.8(2)</w:t>
      </w:r>
      <w:r>
        <w:rPr>
          <w:rFonts w:ascii="Times New Roman" w:hAnsi="Times New Roman"/>
          <w:b w:val="false"/>
          <w:i w:val="false"/>
          <w:color w:val="000000"/>
          <w:sz w:val="22"/>
        </w:rPr>
        <w:t> </w:t>
      </w:r>
      <w:r>
        <w:rPr>
          <w:rFonts w:ascii="Times New Roman" w:hAnsi="Times New Roman"/>
          <w:b w:val="false"/>
          <w:i w:val="false"/>
          <w:color w:val="000000"/>
          <w:sz w:val="22"/>
        </w:rPr>
        <w:t>The date of issuance of an order or of a refusal to issue an order is the date of mailing of the order or refusal or date of delivery if service is by other means unless another date is specified in the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9153C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265—16.9</w:t>
      </w:r>
      <w:r>
        <w:rPr>
          <w:rFonts w:ascii="Times New Roman" w:hAnsi="Times New Roman"/>
          <w:b/>
          <w:i w:val="false"/>
          <w:color w:val="000000"/>
          <w:sz w:val="22"/>
        </w:rPr>
        <w:t xml:space="preserve">(17A)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shall not issue a declaratory order if prohibited by Iowa Code section </w:t>
      </w:r>
      <w:hyperlink r:id="rId11">
        <w:r>
          <w:rPr>
            <w:rStyle w:val="Hyperlink"/>
            <w:rFonts w:ascii="Times New Roman" w:hAnsi="Times New Roman"/>
            <w:b w:val="false"/>
            <w:i w:val="false"/>
            <w:color w:val="000000"/>
            <w:sz w:val="22"/>
          </w:rPr>
          <w:t>17A.9(1)</w:t>
        </w:r>
      </w:hyperlink>
      <w:r>
        <w:rPr>
          <w:rFonts w:ascii="Times New Roman" w:hAnsi="Times New Roman"/>
          <w:b w:val="false"/>
          <w:i w:val="false"/>
          <w:color w:val="000000"/>
          <w:sz w:val="22"/>
        </w:rPr>
        <w:t xml:space="preserve"> and may refuse to issue a declaratory order on some or all questions raised for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petition does not substantially comply with the form indicated in rule </w:t>
      </w:r>
      <w:hyperlink r:id="rId12">
        <w:r>
          <w:rPr>
            <w:rStyle w:val="Hyperlink"/>
            <w:rFonts w:ascii="Times New Roman" w:hAnsi="Times New Roman"/>
            <w:b w:val="false"/>
            <w:i w:val="false"/>
            <w:color w:val="000000"/>
            <w:sz w:val="22"/>
          </w:rPr>
          <w:t>265—16.1</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petition does not contain facts sufficient to demonstrate that the petitioner will be aggrieved or adversely affected by the failure of the authority to issue an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authority does not have jurisdiction over the questions presented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questions presented by the petition are also presented in a current rulemaking, contested case, or other authority or judicial proceeding, that may definitively resolve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questions presented by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facts or questions presented in the petition are unclear, overbroad, insufficient, or otherwise inappropriate as a basis upon which to issue an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There is no need to issue an order because the questions raised in the petition have been settled due to a change in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petition is not based upon facts calculated to aid in the planning of future conduct but is instead based solely upon prior conduct to establish the effect of that conduct or to challenge a decision the authority has already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petition requests a declaratory order that would necessarily determine the legal rights, duties, or responsibilities of other persons who have not joined in the petition, intervened separately, or filed a similar petition and whose position on the questions presented may fairly be presumed to be adverse to that of petitioner.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petitioner requests the authority to determine whether a statute is unconstitutional on its 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16.9(2)</w:t>
      </w:r>
      <w:r>
        <w:rPr>
          <w:rFonts w:ascii="Times New Roman" w:hAnsi="Times New Roman"/>
          <w:b w:val="false"/>
          <w:i w:val="false"/>
          <w:color w:val="000000"/>
          <w:sz w:val="22"/>
        </w:rPr>
        <w:t> </w:t>
      </w:r>
      <w:r>
        <w:rPr>
          <w:rFonts w:ascii="Times New Roman" w:hAnsi="Times New Roman"/>
          <w:b w:val="false"/>
          <w:i w:val="false"/>
          <w:color w:val="000000"/>
          <w:sz w:val="22"/>
        </w:rPr>
        <w:t>If the authority refuses to issue a declaratory order, the authority must indicate the specific grounds for the refusal. Refusal to issue a declaratory order constitutes final agency action on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16.9(3)</w:t>
      </w:r>
      <w:r>
        <w:rPr>
          <w:rFonts w:ascii="Times New Roman" w:hAnsi="Times New Roman"/>
          <w:b w:val="false"/>
          <w:i w:val="false"/>
          <w:color w:val="000000"/>
          <w:sz w:val="22"/>
        </w:rPr>
        <w:t> </w:t>
      </w:r>
      <w:r>
        <w:rPr>
          <w:rFonts w:ascii="Times New Roman" w:hAnsi="Times New Roman"/>
          <w:b w:val="false"/>
          <w:i w:val="false"/>
          <w:color w:val="000000"/>
          <w:sz w:val="22"/>
        </w:rPr>
        <w:t>The authority’s refusal to issue a declaratory order pursuant to this provision does not preclude a petitioner from filing a new petition that seeks to eliminate the grounds for the authority’s refusal to issue an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9153C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265—16.10</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of declaratory order—effective date. </w:t>
      </w:r>
      <w:r>
        <w:rPr>
          <w:rFonts w:ascii="Times New Roman" w:hAnsi="Times New Roman"/>
          <w:b w:val="false"/>
          <w:i w:val="false"/>
          <w:color w:val="000000"/>
          <w:sz w:val="22"/>
        </w:rPr>
        <w:t>In addition to the order itself, a declaratory order must contain the date of its issuance; the name of petitioner and all intervenors; the specific statutes, rules, policies, decisions, or orders involved; the particular facts upon which it is based; and the reasons for its conclusion. A declaratory order is effective on the date of issuance.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9153C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265—16.11</w:t>
      </w:r>
      <w:r>
        <w:rPr>
          <w:rFonts w:ascii="Times New Roman" w:hAnsi="Times New Roman"/>
          <w:b/>
          <w:i w:val="false"/>
          <w:color w:val="000000"/>
          <w:sz w:val="22"/>
        </w:rPr>
        <w:t xml:space="preserve">(17A) </w:t>
      </w:r>
      <w:r>
        <w:rPr>
          <w:rFonts w:ascii="Times New Roman" w:hAnsi="Times New Roman"/>
          <w:b/>
          <w:i w:val="false"/>
          <w:color w:val="000000"/>
          <w:sz w:val="22"/>
        </w:rPr>
        <w:t xml:space="preserve">Copies of orders. </w:t>
      </w:r>
      <w:r>
        <w:rPr>
          <w:rFonts w:ascii="Times New Roman" w:hAnsi="Times New Roman"/>
          <w:b w:val="false"/>
          <w:i w:val="false"/>
          <w:color w:val="000000"/>
          <w:sz w:val="22"/>
        </w:rPr>
        <w:t>A copy of all orders issued in response to a petition for a declaratory order shall be provided promptly to the original petitioner and all intervenors.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9153C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265—16.12</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A declaratory order has the same status and binding effect as a final order issued in a contested case proceeding. It is binding on the authority, the petitioner, and any intervenors who consent to be bound and is applicable only in circumstances where the relevant facts and the law involved are indistinguishable from those on which the order was based. As to all other persons, a declaratory order serves only as precedent and is not binding on the authority. The issuance of a declaratory order constitutes final agency action on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9153C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3">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9/3/99 after Notice 4/21/99—published 9/22/99, effective 9/3/99]</w:t>
      </w:r>
    </w:p>
    <w:p>
      <w:pPr>
        <w:spacing w:before="0" w:after="0"/>
        <w:ind w:left="120"/>
        <w:jc w:val="center"/>
      </w:pPr>
      <w:r>
        <w:rPr>
          <w:rFonts w:ascii="Times New Roman" w:hAnsi="Times New Roman"/>
          <w:b w:val="false"/>
          <w:i w:val="false"/>
          <w:color w:val="000000"/>
          <w:sz w:val="21"/>
        </w:rPr>
        <w:t>[Filed ARC 4319C</w:t>
      </w:r>
      <w:r>
        <w:rPr>
          <w:rFonts w:ascii="Times New Roman" w:hAnsi="Times New Roman"/>
          <w:b w:val="false"/>
          <w:i w:val="false"/>
          <w:color w:val="000000"/>
          <w:sz w:val="21"/>
        </w:rPr>
        <w:t xml:space="preserve"> (Notice ARC 4196C, IAB 1/2/19)</w:t>
      </w:r>
      <w:r>
        <w:rPr>
          <w:rFonts w:ascii="Times New Roman" w:hAnsi="Times New Roman"/>
          <w:b w:val="false"/>
          <w:i w:val="false"/>
          <w:color w:val="000000"/>
          <w:sz w:val="21"/>
        </w:rPr>
        <w:t>, IAB 2/27/19, effective 4/3/19]</w:t>
      </w:r>
    </w:p>
    <w:p>
      <w:pPr>
        <w:spacing w:before="0" w:after="0"/>
        <w:ind w:left="120"/>
        <w:jc w:val="center"/>
      </w:pPr>
      <w:r>
        <w:rPr>
          <w:rFonts w:ascii="Times New Roman" w:hAnsi="Times New Roman"/>
          <w:b w:val="false"/>
          <w:i w:val="false"/>
          <w:color w:val="000000"/>
          <w:sz w:val="21"/>
        </w:rPr>
        <w:t>[Filed ARC 9153C</w:t>
      </w:r>
      <w:r>
        <w:rPr>
          <w:rFonts w:ascii="Times New Roman" w:hAnsi="Times New Roman"/>
          <w:b w:val="false"/>
          <w:i w:val="false"/>
          <w:color w:val="000000"/>
          <w:sz w:val="21"/>
        </w:rPr>
        <w:t xml:space="preserve"> (Notice ARC 8904C, IAB 2/19/25)</w:t>
      </w:r>
      <w:r>
        <w:rPr>
          <w:rFonts w:ascii="Times New Roman" w:hAnsi="Times New Roman"/>
          <w:b w:val="false"/>
          <w:i w:val="false"/>
          <w:color w:val="000000"/>
          <w:sz w:val="21"/>
        </w:rPr>
        <w:t>, IAB 4/30/25, effective 6/4/25]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65.16.7.pdf" Type="http://schemas.openxmlformats.org/officeDocument/2006/relationships/hyperlink" Id="rId5"/>
    <Relationship TargetMode="External" Target="https://www.legis.iowa.gov/docs/iac/rule/265.16.6.pdf" Type="http://schemas.openxmlformats.org/officeDocument/2006/relationships/hyperlink" Id="rId6"/>
    <Relationship TargetMode="External" Target="https://www.legis.iowa.gov/docs/iac/rule/265.16.1.pdf" Type="http://schemas.openxmlformats.org/officeDocument/2006/relationships/hyperlink" Id="rId7"/>
    <Relationship TargetMode="External" Target="https://www.legis.iowa.gov/docs/iac/rule/265.16.1.pdf" Type="http://schemas.openxmlformats.org/officeDocument/2006/relationships/hyperlink" Id="rId8"/>
    <Relationship TargetMode="External" Target="https://www.legis.iowa.gov/docs/iac/rule/265.16.1.pdf" Type="http://schemas.openxmlformats.org/officeDocument/2006/relationships/hyperlink" Id="rId9"/>
    <Relationship TargetMode="External" Target="https://www.legis.iowa.gov/docs/ico/chapter/17A.9.pdf" Type="http://schemas.openxmlformats.org/officeDocument/2006/relationships/hyperlink" Id="rId10"/>
    <Relationship TargetMode="External" Target="https://www.legis.iowa.gov/docs/ico/chapter/17A.9.pdf" Type="http://schemas.openxmlformats.org/officeDocument/2006/relationships/hyperlink" Id="rId11"/>
    <Relationship TargetMode="External" Target="https://www.legis.iowa.gov/docs/iac/rule/265.16.1.pdf" Type="http://schemas.openxmlformats.org/officeDocument/2006/relationships/hyperlink" Id="rId12"/>
    <Relationship TargetMode="External" Target="https://www.legis.iowa.gov/docs/ico/chapter/17A.9.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