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265—15.1</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val="false"/>
          <w:color w:val="000000"/>
          <w:sz w:val="22"/>
        </w:rPr>
        <w:t>Goods or services expected to cost more than $50,000 in the aggregate will be obtained through a formal or informal competitive bidding process conducted by the authority or through the department of administrative services whenever such procurement is in the best interests of the authority as determined by the authority. Goods or services expected to cost $50,000 or less in the aggregate may be obtained in any manner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the authority may exempt any item from competitive bidding if the item is noncompetitive or is purchased in quantities too small to be effectively purchased through competitive bidding; if there is an immediate or emergency need for the item; if the purchase of the item facilitates compliance with set-aside procurement provisions; or if the director of the authority determines, in the director’s sole discretion, that the authority’s best interests will be served by exemption from the bidding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265—15.2</w:t>
      </w:r>
      <w:r>
        <w:rPr>
          <w:rFonts w:ascii="Times New Roman" w:hAnsi="Times New Roman"/>
          <w:b/>
          <w:i w:val="false"/>
          <w:color w:val="000000"/>
          <w:sz w:val="22"/>
        </w:rPr>
        <w:t xml:space="preserve">(16) </w:t>
      </w:r>
      <w:r>
        <w:rPr>
          <w:rFonts w:ascii="Times New Roman" w:hAnsi="Times New Roman"/>
          <w:b/>
          <w:i w:val="false"/>
          <w:color w:val="000000"/>
          <w:sz w:val="22"/>
        </w:rPr>
        <w:t xml:space="preserve">Methods of obtaining bids or proposals used by the authority. </w:t>
      </w:r>
      <w:r>
        <w:rPr>
          <w:rFonts w:ascii="Times New Roman" w:hAnsi="Times New Roman"/>
          <w:b w:val="false"/>
          <w:i w:val="false"/>
          <w:color w:val="000000"/>
          <w:sz w:val="22"/>
        </w:rPr>
        <w:t>Formal or informal bids or proposals may be obtained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Request for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prepare a request for bids for providing the goods or services sought by the authority. The request may be shared on the state website for bid opportunities, shared on the authority’s website, sent directly to vendors, or distributed in other means determined by the authority. The authority may use reverse auction methods to obtain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for bids will include the due date and time of the bid opening, a description of the goods or services needed, and other information deemed necessary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tabulate results as bids are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will make an award by the date identified in the request for bids. The price quoted by the vendors shall remain binding for the time period indicated in the request for bids. If an award is not made within the time frame indicated by the authority when requesting bids, all bids may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Informal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obtain informal bids through use of a written bid form, in electronic format, or in other manners determined appropriate by the authority. The authority will describe the goods or services sought by the authority, the date by which bids must be submitted, the anticipated award date and other information deemed necessary by the authority. The authority may use reverse auction methods to obtain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tabulate results as bids are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award is not made within the time frame indicated by the authority when requesting bids, all bids may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proposals. </w:t>
      </w:r>
      <w:r>
        <w:rPr>
          <w:rFonts w:ascii="Times New Roman" w:hAnsi="Times New Roman"/>
          <w:b w:val="false"/>
          <w:i w:val="false"/>
          <w:color w:val="000000"/>
          <w:sz w:val="22"/>
        </w:rPr>
        <w:t>The authority may issue a request for proposals when cost is not the sole criterion for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a written request for proposals and submit the request to the department of administrative services for submission on the state website for bid opportunities. The authority may publicize a request through other means, including the authority’s website or sending the request for proposals to selected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proposals will generally include the purpose of the request, the scope of work to be performed, submission requirements and due date, terms and conditions of an award, review criteria and the anticipated time frame for awarding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evaluate and rank proposals according to review criteria identified in the request for proposals. If an award is not made within the applicable time frame indicated by the authority when requesting proposals, all proposals may be deemed rejected.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265—15.3</w:t>
      </w:r>
      <w:r>
        <w:rPr>
          <w:rFonts w:ascii="Times New Roman" w:hAnsi="Times New Roman"/>
          <w:b/>
          <w:i w:val="false"/>
          <w:color w:val="000000"/>
          <w:sz w:val="22"/>
        </w:rPr>
        <w:t xml:space="preserve">(16)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authority may enter into contract purchase agreements for items, groups of items, or services. Contract purchase agreements are subject to the competitive bidding requirements previously outlined,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265—15.4</w:t>
      </w:r>
      <w:r>
        <w:rPr>
          <w:rFonts w:ascii="Times New Roman" w:hAnsi="Times New Roman"/>
          <w:b/>
          <w:i w:val="false"/>
          <w:color w:val="000000"/>
          <w:sz w:val="22"/>
        </w:rPr>
        <w:t xml:space="preserve">(16)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The authority may establish blanket purchase agreements. Blanket purchase agreements are subject to the competitive bidding requirements previously outlined,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265—15.5</w:t>
      </w:r>
      <w:r>
        <w:rPr>
          <w:rFonts w:ascii="Times New Roman" w:hAnsi="Times New Roman"/>
          <w:b/>
          <w:i w:val="false"/>
          <w:color w:val="000000"/>
          <w:sz w:val="22"/>
        </w:rPr>
        <w:t xml:space="preserve">(16) </w:t>
      </w:r>
      <w:r>
        <w:rPr>
          <w:rFonts w:ascii="Times New Roman" w:hAnsi="Times New Roman"/>
          <w:b/>
          <w:i w:val="false"/>
          <w:color w:val="000000"/>
          <w:sz w:val="22"/>
        </w:rPr>
        <w:t xml:space="preserve">Bids and proposals to conform to specifications. </w:t>
      </w:r>
      <w:r>
        <w:rPr>
          <w:rFonts w:ascii="Times New Roman" w:hAnsi="Times New Roman"/>
          <w:b w:val="false"/>
          <w:i w:val="false"/>
          <w:color w:val="000000"/>
          <w:sz w:val="22"/>
        </w:rPr>
        <w:t>All bids and proposals must conform to the specifications provided by the authority, including deadlines for submission of bids or proposals. Bids and proposals that do not conform to the specifications stated may be rejected. The authority reserves the right to waive deficiencies in the bids or proposals if the authority’s best interests would be served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265—15.6</w:t>
      </w:r>
      <w:r>
        <w:rPr>
          <w:rFonts w:ascii="Times New Roman" w:hAnsi="Times New Roman"/>
          <w:b/>
          <w:i w:val="false"/>
          <w:color w:val="000000"/>
          <w:sz w:val="22"/>
        </w:rPr>
        <w:t xml:space="preserve">(16) </w:t>
      </w:r>
      <w:r>
        <w:rPr>
          <w:rFonts w:ascii="Times New Roman" w:hAnsi="Times New Roman"/>
          <w:b/>
          <w:i w:val="false"/>
          <w:color w:val="000000"/>
          <w:sz w:val="22"/>
        </w:rPr>
        <w:t xml:space="preserve">Modification or withdrawal of bids. </w:t>
      </w:r>
      <w:r>
        <w:rPr>
          <w:rFonts w:ascii="Times New Roman" w:hAnsi="Times New Roman"/>
          <w:b w:val="false"/>
          <w:i w:val="false"/>
          <w:color w:val="000000"/>
          <w:sz w:val="22"/>
        </w:rPr>
        <w:t>Bids or proposals may be modified or withdrawn prior to the time and date set for the bid or proposal opening. Modifications or withdrawals must be submitted to the authority in writing. A bid or proposal may be withdrawn after opening with the approval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265—15.7</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authority may require bid security, litigation security, and performance security on formal bids or proposals if specified in the request for bids or request for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265—15.8</w:t>
      </w:r>
      <w:r>
        <w:rPr>
          <w:rFonts w:ascii="Times New Roman" w:hAnsi="Times New Roman"/>
          <w:b/>
          <w:i w:val="false"/>
          <w:color w:val="000000"/>
          <w:sz w:val="22"/>
        </w:rPr>
        <w:t xml:space="preserve">(16)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authority reserves the right to reject any or all bids or proposals. Bids and proposals may be rejected because of faulty specifications, abandonment of the project, insufficient funds, evidence of unfair or flawed bidding procedures, failure of a vendor to meet the authority’s requirements or follow submission instructions, or for any other reason if the authority determines that its best interests will be served by rejecting any or all bids. New bids may be requested by the authority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265—15.9</w:t>
      </w:r>
      <w:r>
        <w:rPr>
          <w:rFonts w:ascii="Times New Roman" w:hAnsi="Times New Roman"/>
          <w:b/>
          <w:i w:val="false"/>
          <w:color w:val="000000"/>
          <w:sz w:val="22"/>
        </w:rPr>
        <w:t xml:space="preserve">(16) </w:t>
      </w:r>
      <w:r>
        <w:rPr>
          <w:rFonts w:ascii="Times New Roman" w:hAnsi="Times New Roman"/>
          <w:b/>
          <w:i w:val="false"/>
          <w:color w:val="000000"/>
          <w:sz w:val="22"/>
        </w:rPr>
        <w:t xml:space="preserve">Vendor appeals. </w:t>
      </w:r>
      <w:r>
        <w:rPr>
          <w:rFonts w:ascii="Times New Roman" w:hAnsi="Times New Roman"/>
          <w:b w:val="false"/>
          <w:i w:val="false"/>
          <w:color w:val="000000"/>
          <w:sz w:val="22"/>
        </w:rPr>
        <w:t>Any vendor whose bid or proposal has been timely filed may appeal the decision by filing a written notice of appeal before the authority board within three business days of the date of the award. The notice of appeal shall state the grounds upon which the vendor challenges the authority’s award. Following receipt of a notice of appeal, the authority board will notify the appealing vendor and the vendor who received the contract award of the procedures to be followed in the appeal. The authority board may appoint a designee to proceed with the appeal on its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16.5(1)</w:t>
        </w:r>
      </w:hyperlink>
      <w:r>
        <w:rPr>
          <w:rFonts w:ascii="Times New Roman" w:hAnsi="Times New Roman"/>
          <w:b w:val="false"/>
          <w:i/>
          <w:color w:val="000000"/>
          <w:sz w:val="22"/>
        </w:rPr>
        <w:t>“f.”</w:t>
      </w:r>
    </w:p>
    <w:p>
      <w:pPr>
        <w:spacing w:before="0" w:after="0"/>
        <w:ind w:left="120"/>
        <w:jc w:val="center"/>
      </w:pPr>
      <w:r>
        <w:rPr>
          <w:rFonts w:ascii="Times New Roman" w:hAnsi="Times New Roman"/>
          <w:b w:val="false"/>
          <w:i w:val="false"/>
          <w:color w:val="000000"/>
          <w:sz w:val="21"/>
        </w:rPr>
        <w:t>[Filed 10/4/07, Notice 8/29/07—published 10/24/07, effective 11/28/07]</w:t>
      </w:r>
    </w:p>
    <w:p>
      <w:pPr>
        <w:spacing w:before="0" w:after="0"/>
        <w:ind w:left="120"/>
        <w:jc w:val="center"/>
      </w:pPr>
      <w:r>
        <w:rPr>
          <w:rFonts w:ascii="Times New Roman" w:hAnsi="Times New Roman"/>
          <w:b w:val="false"/>
          <w:i w:val="false"/>
          <w:color w:val="000000"/>
          <w:sz w:val="21"/>
        </w:rPr>
        <w:t>[Filed ARC 0430C</w:t>
      </w:r>
      <w:r>
        <w:rPr>
          <w:rFonts w:ascii="Times New Roman" w:hAnsi="Times New Roman"/>
          <w:b w:val="false"/>
          <w:i w:val="false"/>
          <w:color w:val="000000"/>
          <w:sz w:val="21"/>
        </w:rPr>
        <w:t xml:space="preserve"> (Notice ARC 0287C, IAB 8/22/12)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2001C</w:t>
      </w:r>
      <w:r>
        <w:rPr>
          <w:rFonts w:ascii="Times New Roman" w:hAnsi="Times New Roman"/>
          <w:b w:val="false"/>
          <w:i w:val="false"/>
          <w:color w:val="000000"/>
          <w:sz w:val="21"/>
        </w:rPr>
        <w:t xml:space="preserve"> (Notice ARC 1855C,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9406C</w:t>
      </w:r>
      <w:r>
        <w:rPr>
          <w:rFonts w:ascii="Times New Roman" w:hAnsi="Times New Roman"/>
          <w:b w:val="false"/>
          <w:i w:val="false"/>
          <w:color w:val="000000"/>
          <w:sz w:val="21"/>
        </w:rPr>
        <w:t xml:space="preserve"> (Notice ARC 9188C, IAB 4/30/25)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