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265—13.1</w:t>
      </w:r>
      <w:r>
        <w:rPr>
          <w:rFonts w:ascii="Times New Roman" w:hAnsi="Times New Roman"/>
          <w:b/>
          <w:i w:val="false"/>
          <w:color w:val="000000"/>
          <w:sz w:val="22"/>
        </w:rPr>
        <w:t xml:space="preserve">(16,22)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means records, as identified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 that are not disclosed to members of the public unless otherwise ordered by a court, by the custodian of the records, or by another person duly authorized to release the records. A record may be partially or wholly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a lawful custodian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authority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 for confidential treatment” </w:t>
      </w:r>
      <w:r>
        <w:rPr>
          <w:rFonts w:ascii="Times New Roman" w:hAnsi="Times New Roman"/>
          <w:b w:val="false"/>
          <w:i w:val="false"/>
          <w:color w:val="000000"/>
          <w:sz w:val="22"/>
        </w:rPr>
        <w:t xml:space="preserve">means a request, made pursuant to rule </w:t>
      </w:r>
      <w:hyperlink r:id="rId9">
        <w:r>
          <w:rPr>
            <w:rStyle w:val="Hyperlink"/>
            <w:rFonts w:ascii="Times New Roman" w:hAnsi="Times New Roman"/>
            <w:b w:val="false"/>
            <w:i w:val="false"/>
            <w:color w:val="000000"/>
            <w:sz w:val="22"/>
          </w:rPr>
          <w:t>265—13.4</w:t>
        </w:r>
      </w:hyperlink>
      <w:r>
        <w:rPr>
          <w:rFonts w:ascii="Times New Roman" w:hAnsi="Times New Roman"/>
          <w:b w:val="false"/>
          <w:i w:val="false"/>
          <w:color w:val="000000"/>
          <w:sz w:val="22"/>
        </w:rPr>
        <w:t>(16,22), for the authority to treat a record as a confidential record and withhold such record from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265—13.2</w:t>
      </w:r>
      <w:r>
        <w:rPr>
          <w:rFonts w:ascii="Times New Roman" w:hAnsi="Times New Roman"/>
          <w:b/>
          <w:i w:val="false"/>
          <w:color w:val="000000"/>
          <w:sz w:val="22"/>
        </w:rPr>
        <w:t xml:space="preserve">(16,22) </w:t>
      </w:r>
      <w:r>
        <w:rPr>
          <w:rFonts w:ascii="Times New Roman" w:hAnsi="Times New Roman"/>
          <w:b/>
          <w:i w:val="false"/>
          <w:color w:val="000000"/>
          <w:sz w:val="22"/>
        </w:rPr>
        <w:t xml:space="preserve">Requests for access to authority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 xml:space="preserve">A request for access to an authority record should be directed to the Iowa finance authority, located at the address set forth in rule </w:t>
      </w:r>
      <w:hyperlink r:id="rId10">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If a request for access to a record is misdirected, authority staff will promptly forward the request to the appropriate person within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are available during customary office hours of 8 a.m. to 4:30 p.m. on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authority records may be made in writing, including by email, in person, or by telephone. Requests must identify the particular records sought by name or description in order to facilitate the location of the record. A request made other than in person must include the name, email address, if available, and telephone number of the person requesting the information. If a person asks to be mailed paper copies of a record, a mailing address must be included in the request. A person is not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The authority is authorized to grant or deny access to records according to the provisions of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this chapter or any other provision of law. Access to an open record shall be granted promptly upon request. If the size or nature of the request necessitates time for compliance, the authority shall comply with the request as soon as possible.  The authority may delay access to a record for any of the reasons set forth in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authority must promptly give written notice to the requester of the reason for any delay in access to a record and the estimated length of that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authority, search or remove any record from authority files. Examination and copying of records will be done under the supervision of authority staff to ensure records are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 xml:space="preserve">The authority will permit the copying of records as described in Iowa Code section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authority may charge fees for records as authorized by Iowa Code section </w:t>
      </w:r>
      <w:hyperlink r:id="rId1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or another provision of law. An hourly fee may be estimated in advance and charged for actual authority expenses in the inspection, reviewing, and copying of requested records when the total staff time dedicated to fulfilling the request requires an excess of two hours. When the estimated fee chargeable under this subrule exceeds $25, the authority may require a requester to make an advance payment of all or part of the estimated fee. When a requester has previously failed to pay a fee charged under this subrule, the authority may require advance payment of the full amount of any estimated fee before the authority processes a new or pending request for access to records from that requester, as well as payment in full of the amount previously 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265—13.3</w:t>
      </w:r>
      <w:r>
        <w:rPr>
          <w:rFonts w:ascii="Times New Roman" w:hAnsi="Times New Roman"/>
          <w:b/>
          <w:i w:val="false"/>
          <w:color w:val="000000"/>
          <w:sz w:val="22"/>
        </w:rPr>
        <w:t xml:space="preserve">(16,22)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The following procedures for access to confidential records are in addition to those specified for all authority records in rule </w:t>
      </w:r>
      <w:hyperlink r:id="rId16">
        <w:r>
          <w:rPr>
            <w:rStyle w:val="Hyperlink"/>
            <w:rFonts w:ascii="Times New Roman" w:hAnsi="Times New Roman"/>
            <w:b w:val="false"/>
            <w:i w:val="false"/>
            <w:color w:val="000000"/>
            <w:sz w:val="22"/>
          </w:rPr>
          <w:t>265—13.2</w:t>
        </w:r>
      </w:hyperlink>
      <w:r>
        <w:rPr>
          <w:rFonts w:ascii="Times New Roman" w:hAnsi="Times New Roman"/>
          <w:b w:val="false"/>
          <w:i w:val="false"/>
          <w:color w:val="000000"/>
          <w:sz w:val="22"/>
        </w:rPr>
        <w:t>(16,22).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A person requesting access to a confidential record may be required to provide proof of identity or authority if access to the record is limited to a particular person or class of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 request for access to a confidential record to be in writing. A person requesting access to a confidential record may be required to sign a certified statement or affidavit enumerating the specific grounds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When the authority denies a request for access to a confidential record, in whole or in part, the requester shall be notified in writing. The written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or persons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the denial, including a citation to the applicable provision of law vesting authority in the authority to deny disclosure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When the authority grants a request for access to a confidential record to a particular person, the authority will indicate any lawful restrictions imposed by the authority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265—13.4</w:t>
      </w:r>
      <w:r>
        <w:rPr>
          <w:rFonts w:ascii="Times New Roman" w:hAnsi="Times New Roman"/>
          <w:b/>
          <w:i w:val="false"/>
          <w:color w:val="000000"/>
          <w:sz w:val="22"/>
        </w:rPr>
        <w:t xml:space="preserve">(16,22) </w:t>
      </w:r>
      <w:r>
        <w:rPr>
          <w:rFonts w:ascii="Times New Roman" w:hAnsi="Times New Roman"/>
          <w:b/>
          <w:i w:val="false"/>
          <w:color w:val="000000"/>
          <w:sz w:val="22"/>
        </w:rPr>
        <w:t xml:space="preserve">Requests for confidential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 request for confidential treatment must be submitted in writing to the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information for which confidential treatment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legal and factual basis for confidential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name, address, telephone number, and email address, if available, of the person authorized to respond to any inquiry or action of the authority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Specify the precise period of time for which the confidential treatment is requested,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request additional factual information from the person requesting confidential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must notify the requester in writing of the granting or denial of the request. If a request for confidential treatment is denied, the authority shall notify the requester in writing of the reasons for its denial. Pursuant to Iowa Code section </w:t>
      </w:r>
      <w:hyperlink r:id="rId1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the authority may reasonably delay examination of the record. However, if the authority determines that the requester had no reasonable grounds for the request for confidential treatment, then such record shall not be withheld from public inspection for any period of time after the denial of the request. The authority may notify the requester in writing of the time period allowed to seek injunctive relief or the reasons for the determination that no reasonable grounds exist to justify the treatment of that record as a confidential record. The authority may extend the period of good faith, reasonable delay in allowing examination of the record so that the requester may seek injunctive relief only if no request for examination of that record has been received, or if a court directs the authority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Failure of a person to request confidential treatment for a record does not preclude the authority from treating it as a confidential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265—13.5</w:t>
      </w:r>
      <w:r>
        <w:rPr>
          <w:rFonts w:ascii="Times New Roman" w:hAnsi="Times New Roman"/>
          <w:b/>
          <w:i w:val="false"/>
          <w:color w:val="000000"/>
          <w:sz w:val="22"/>
        </w:rPr>
        <w:t xml:space="preserve">(16,22) </w:t>
      </w:r>
      <w:r>
        <w:rPr>
          <w:rFonts w:ascii="Times New Roman" w:hAnsi="Times New Roman"/>
          <w:b/>
          <w:i w:val="false"/>
          <w:color w:val="000000"/>
          <w:sz w:val="22"/>
        </w:rPr>
        <w:t xml:space="preserve">Additions, dissents or objections. </w:t>
      </w:r>
      <w:r>
        <w:rPr>
          <w:rFonts w:ascii="Times New Roman" w:hAnsi="Times New Roman"/>
          <w:b w:val="false"/>
          <w:i w:val="false"/>
          <w:color w:val="000000"/>
          <w:sz w:val="22"/>
        </w:rPr>
        <w:t>Except as otherwise provided by law, the person who is the subject of a record may have a written statement of additions, dissents or objections entered into that record. The statement must be filed with the authority, must be dated and signed by the person who is the subject of the record, and include the person’s current address and telephone number, and email address, if available. This rule does not authorize the person who is the subject of the record to alter the original record or to expand the official record of any authority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265—13.6</w:t>
      </w:r>
      <w:r>
        <w:rPr>
          <w:rFonts w:ascii="Times New Roman" w:hAnsi="Times New Roman"/>
          <w:b/>
          <w:i w:val="false"/>
          <w:color w:val="000000"/>
          <w:sz w:val="22"/>
        </w:rPr>
        <w:t xml:space="preserve">(16,22) </w:t>
      </w:r>
      <w:r>
        <w:rPr>
          <w:rFonts w:ascii="Times New Roman" w:hAnsi="Times New Roman"/>
          <w:b/>
          <w:i w:val="false"/>
          <w:color w:val="000000"/>
          <w:sz w:val="22"/>
        </w:rPr>
        <w:t xml:space="preserve">Notices to suppliers of information. </w:t>
      </w:r>
      <w:r>
        <w:rPr>
          <w:rFonts w:ascii="Times New Roman" w:hAnsi="Times New Roman"/>
          <w:b w:val="false"/>
          <w:i w:val="false"/>
          <w:color w:val="000000"/>
          <w:sz w:val="22"/>
        </w:rPr>
        <w:t>The authority will notify suppliers of information of the use that will be made of the information, which persons outside the authority might routinely be provided the information collected and identify which parts of the requested information are required and which are optional and will state the consequences of failing to provide the information. This notice may be given in the authority’s rules, on written forms used to collect the information, in contracts, in program guidance, verbally, or by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265—13.7</w:t>
      </w:r>
      <w:r>
        <w:rPr>
          <w:rFonts w:ascii="Times New Roman" w:hAnsi="Times New Roman"/>
          <w:b/>
          <w:i w:val="false"/>
          <w:color w:val="000000"/>
          <w:sz w:val="22"/>
        </w:rPr>
        <w:t xml:space="preserve">(16,22) </w:t>
      </w:r>
      <w:r>
        <w:rPr>
          <w:rFonts w:ascii="Times New Roman" w:hAnsi="Times New Roman"/>
          <w:b/>
          <w:i w:val="false"/>
          <w:color w:val="000000"/>
          <w:sz w:val="22"/>
        </w:rPr>
        <w:t xml:space="preserve">Disclosure of records—consent.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Disclosure for routine use. </w:t>
      </w:r>
      <w:r>
        <w:rPr>
          <w:rFonts w:ascii="Times New Roman" w:hAnsi="Times New Roman"/>
          <w:b w:val="false"/>
          <w:i w:val="false"/>
          <w:color w:val="000000"/>
          <w:sz w:val="22"/>
        </w:rPr>
        <w:t>In this chapter, “routine use” means the disclosure of a record without the consent of the subject or subjects, for a purpose that is compatible with the purpose for which the record was collected. To the extent allowed by law, the following uses are considered routine uses of all authority records, including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authority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to a contractor, including but not limited to the department of inspections, appeals, and licensing, for matters in which it is performing services or functions on behalf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authority, to other state agencies, or to units of local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authority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Other disclosures of confidential records. </w:t>
      </w:r>
      <w:r>
        <w:rPr>
          <w:rFonts w:ascii="Times New Roman" w:hAnsi="Times New Roman"/>
          <w:b w:val="false"/>
          <w:i w:val="false"/>
          <w:color w:val="000000"/>
          <w:sz w:val="22"/>
        </w:rPr>
        <w:t>To the extent allowed by law, the following uses may result in disclosure of confidential records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a recipient who has provided the authority with advance written assurance that the record will be used solely as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authority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pursuant to a showing of compelling circumstances affecting the health or safety of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to the legislative services agency under Iowa Code section </w:t>
      </w:r>
      <w:hyperlink r:id="rId1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the subject or to a third party. A request for such a disclosure must be in writing and must identify the particular record or records that may be disclosed, and the particular person or class of persons to whom the record may be disclosed and, if applicable, the time period during which the record may be disclosed. The person who is the subject of the record and, if applicable, the person to whom the record is to be disclosed, may be required to provide proof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authority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265—13.8</w:t>
      </w:r>
      <w:r>
        <w:rPr>
          <w:rFonts w:ascii="Times New Roman" w:hAnsi="Times New Roman"/>
          <w:b/>
          <w:i w:val="false"/>
          <w:color w:val="000000"/>
          <w:sz w:val="22"/>
        </w:rPr>
        <w:t xml:space="preserve">(16,22)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Authority open records are open for public inspection and copying unless otherwise prohibited by current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records identified in rules </w:t>
      </w:r>
      <w:hyperlink r:id="rId19">
        <w:r>
          <w:rPr>
            <w:rStyle w:val="Hyperlink"/>
            <w:rFonts w:ascii="Times New Roman" w:hAnsi="Times New Roman"/>
            <w:b w:val="false"/>
            <w:i w:val="false"/>
            <w:color w:val="000000"/>
            <w:sz w:val="22"/>
          </w:rPr>
          <w:t>265—13.9</w:t>
        </w:r>
      </w:hyperlink>
      <w:r>
        <w:rPr>
          <w:rFonts w:ascii="Times New Roman" w:hAnsi="Times New Roman"/>
          <w:b w:val="false"/>
          <w:i w:val="false"/>
          <w:color w:val="000000"/>
          <w:sz w:val="22"/>
        </w:rPr>
        <w:t xml:space="preserve">(16,22) and </w:t>
      </w:r>
      <w:hyperlink r:id="rId20">
        <w:r>
          <w:rPr>
            <w:rStyle w:val="Hyperlink"/>
            <w:rFonts w:ascii="Times New Roman" w:hAnsi="Times New Roman"/>
            <w:b w:val="false"/>
            <w:i w:val="false"/>
            <w:color w:val="000000"/>
            <w:sz w:val="22"/>
          </w:rPr>
          <w:t>265—13.10</w:t>
        </w:r>
      </w:hyperlink>
      <w:r>
        <w:rPr>
          <w:rFonts w:ascii="Times New Roman" w:hAnsi="Times New Roman"/>
          <w:b w:val="false"/>
          <w:i w:val="false"/>
          <w:color w:val="000000"/>
          <w:sz w:val="22"/>
        </w:rPr>
        <w:t xml:space="preserve">(16,22), or otherwise maintained by the authority, may be confidential records, in whole or in part, and not routinely made available for public inspection pursuant to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265—13.9</w:t>
      </w:r>
      <w:r>
        <w:rPr>
          <w:rFonts w:ascii="Times New Roman" w:hAnsi="Times New Roman"/>
          <w:b/>
          <w:i w:val="false"/>
          <w:color w:val="000000"/>
          <w:sz w:val="22"/>
        </w:rPr>
        <w:t xml:space="preserve">(16,22)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collects personally identifiable information pursuant to Iowa Code chapter </w:t>
      </w:r>
      <w:hyperlink r:id="rId22">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federal statutes and regulations governing federal programs and the issuance of debt by the authority, and other applicable laws. Personally identifiable information is stored by electronic and physical methods. The authority’s record systems do not match, collate or compare personally identifiable information in each system with personally identifiable information contained in other record systems. The authority’s record systems can collect, maintain and retrieve information by personal identifiers, including names, mailing addresses, and email addresses. This rule describes the nature and extent of personally identifiable information that is collected, maintained and retrieved by the authority by personal identifier in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 xml:space="preserve">Records of persons or organizations participating in the authority’s programs are collected by the authority. These records may contain information about individuals collected pursuant to specific federal or state statutes or regulations. Personally identifiable information, such as name, address, social security number and telephone number, may be included in these records when the applicant is an individual. Portions of program records may be confidential pursuant to Iowa Code section </w:t>
      </w:r>
      <w:hyperlink r:id="rId2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 xml:space="preserve">Records of correspondence from persons outside the authority or sent to persons outside the authority may contain personally identifiable information provided by the sender or recipient of such correspondence. Portions of correspondence may be confidential pursuant to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 authority maintains records regarding litigation or anticipated litigation, which includes judicial and administrative proceedings. These records contain materials that are confidential as attorney work product and attorney-client communications pursuant to Iowa Code sections </w:t>
      </w:r>
      <w:hyperlink r:id="rId2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w:t>
      </w:r>
      <w:r>
        <w:rPr>
          <w:rFonts w:ascii="Times New Roman" w:hAnsi="Times New Roman"/>
          <w:b w:val="false"/>
          <w:i w:val="false"/>
          <w:color w:val="000000"/>
          <w:sz w:val="22"/>
        </w:rPr>
        <w:t>Rule of Civil Procedure 1.503</w:t>
      </w:r>
      <w:r>
        <w:rPr>
          <w:rFonts w:ascii="Times New Roman" w:hAnsi="Times New Roman"/>
          <w:b w:val="false"/>
          <w:i w:val="false"/>
          <w:color w:val="000000"/>
          <w:sz w:val="22"/>
        </w:rPr>
        <w:t>(3); Federal Rule of Civil Procedure 26(b)(3); the rules of evidence; the Code of Professional Responsibility; and case law. Some materials are confidential under other applicable provisions of law or as directed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authority maintains files containing information about employees, families and dependents, and applicants for positions with the authority. Portions of personnel files may be confidential pursuant to Iowa Code section </w:t>
      </w:r>
      <w:hyperlink r:id="rId28">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w:t>
      </w:r>
      <w:r>
        <w:rPr>
          <w:rFonts w:ascii="Times New Roman" w:hAnsi="Times New Roman"/>
          <w:b w:val="false"/>
          <w:i w:val="false"/>
          <w:color w:val="000000"/>
          <w:sz w:val="22"/>
        </w:rPr>
        <w:t> </w:t>
      </w:r>
      <w:r>
        <w:rPr>
          <w:rFonts w:ascii="Times New Roman" w:hAnsi="Times New Roman"/>
          <w:b w:val="false"/>
          <w:i/>
          <w:color w:val="000000"/>
          <w:sz w:val="22"/>
        </w:rPr>
        <w:t xml:space="preserve">Bond records. </w:t>
      </w:r>
      <w:r>
        <w:rPr>
          <w:rFonts w:ascii="Times New Roman" w:hAnsi="Times New Roman"/>
          <w:b w:val="false"/>
          <w:i w:val="false"/>
          <w:color w:val="000000"/>
          <w:sz w:val="22"/>
        </w:rPr>
        <w:t xml:space="preserve">The authority maintains records related to bonds as provided in Iowa Code section </w:t>
      </w:r>
      <w:hyperlink r:id="rId29">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Such records may be confidential pursuant to Iowa Code section </w:t>
      </w:r>
      <w:hyperlink r:id="rId30">
        <w:r>
          <w:rPr>
            <w:rStyle w:val="Hyperlink"/>
            <w:rFonts w:ascii="Times New Roman" w:hAnsi="Times New Roman"/>
            <w:b w:val="false"/>
            <w:i w:val="false"/>
            <w:color w:val="000000"/>
            <w:sz w:val="22"/>
          </w:rPr>
          <w:t>22.7(17)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265—13.10</w:t>
      </w:r>
      <w:r>
        <w:rPr>
          <w:rFonts w:ascii="Times New Roman" w:hAnsi="Times New Roman"/>
          <w:b/>
          <w:i w:val="false"/>
          <w:color w:val="000000"/>
          <w:sz w:val="22"/>
        </w:rPr>
        <w:t xml:space="preserve">(16,22)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authority other than record systems. These records are routinely available to the public. All or portions of such records may contain confidential information pursuant to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 The records are stored by electronic and physical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color w:val="000000"/>
          <w:sz w:val="22"/>
        </w:rPr>
        <w:t xml:space="preserve">Meeting records. </w:t>
      </w:r>
      <w:r>
        <w:rPr>
          <w:rFonts w:ascii="Times New Roman" w:hAnsi="Times New Roman"/>
          <w:b w:val="false"/>
          <w:i w:val="false"/>
          <w:color w:val="000000"/>
          <w:sz w:val="22"/>
        </w:rPr>
        <w:t xml:space="preserve">Agendas, minutes and materials presented to boards and other bodies associated with the authority are available from the authority, except those records concerning closed sessions that are exempt from disclosure under Iowa Code section </w:t>
      </w:r>
      <w:hyperlink r:id="rId33">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Authority meeting records contain information about people who participate in meetings. The information is collected pursuant to Iowa Code section </w:t>
      </w:r>
      <w:hyperlink r:id="rId3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newsletters, and related documents are available from the authority. Authority news releases, project reports, and newsletters may contain information about individuals, including authority staff.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authority programs are available from the authority.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authority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authority employees’ manual, containing procedures describing the authority’s regulations and practices, is available.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265—13.11</w:t>
      </w:r>
      <w:r>
        <w:rPr>
          <w:rFonts w:ascii="Times New Roman" w:hAnsi="Times New Roman"/>
          <w:b/>
          <w:i w:val="false"/>
          <w:color w:val="000000"/>
          <w:sz w:val="22"/>
        </w:rPr>
        <w:t xml:space="preserve">(16,22)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Require the authority to index or retrieve records that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pursuant to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authority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authority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rules of discovery, evidentiary privileges and applicable regulations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3/23/88—published 9/7/88, effective 8/19/88]</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9031C</w:t>
      </w:r>
      <w:r>
        <w:rPr>
          <w:rFonts w:ascii="Times New Roman" w:hAnsi="Times New Roman"/>
          <w:b w:val="false"/>
          <w:i w:val="false"/>
          <w:color w:val="000000"/>
          <w:sz w:val="21"/>
        </w:rPr>
        <w:t xml:space="preserve"> (Notice ARC 8481C, IAB 12/11/24)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ac/rule/265.13.4.pdf" Type="http://schemas.openxmlformats.org/officeDocument/2006/relationships/hyperlink" Id="rId9"/>
    <Relationship TargetMode="External" Target="https://www.legis.iowa.gov/docs/iac/rule/265.1.3.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co/chapter/22.3.pdf" Type="http://schemas.openxmlformats.org/officeDocument/2006/relationships/hyperlink" Id="rId14"/>
    <Relationship TargetMode="External" Target="https://www.legis.iowa.gov/docs/ico/chapter/22.3.pdf" Type="http://schemas.openxmlformats.org/officeDocument/2006/relationships/hyperlink" Id="rId15"/>
    <Relationship TargetMode="External" Target="https://www.legis.iowa.gov/docs/iac/rule/265.13.2.pdf" Type="http://schemas.openxmlformats.org/officeDocument/2006/relationships/hyperlink" Id="rId16"/>
    <Relationship TargetMode="External" Target="https://www.legis.iowa.gov/docs/ico/chapter/22.8.pdf" Type="http://schemas.openxmlformats.org/officeDocument/2006/relationships/hyperlink" Id="rId17"/>
    <Relationship TargetMode="External" Target="https://www.legis.iowa.gov/docs/ico/chapter/2A.3.pdf" Type="http://schemas.openxmlformats.org/officeDocument/2006/relationships/hyperlink" Id="rId18"/>
    <Relationship TargetMode="External" Target="https://www.legis.iowa.gov/docs/iac/rule/265.13.9.pdf" Type="http://schemas.openxmlformats.org/officeDocument/2006/relationships/hyperlink" Id="rId19"/>
    <Relationship TargetMode="External" Target="https://www.legis.iowa.gov/docs/iac/rule/265.13.10.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16.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76.10.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17A.4.pdf" Type="http://schemas.openxmlformats.org/officeDocument/2006/relationships/hyperlink" Id="rId32"/>
    <Relationship TargetMode="External" Target="https://www.legis.iowa.gov/docs/ico/chapter/21.5.pdf" Type="http://schemas.openxmlformats.org/officeDocument/2006/relationships/hyperlink" Id="rId33"/>
    <Relationship TargetMode="External" Target="https://www.legis.iowa.gov/docs/ico/chapter/21.3.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16.pdf" Type="http://schemas.openxmlformats.org/officeDocument/2006/relationships/hyperlink" Id="rId36"/>
    <Relationship TargetMode="External" Target="https://www.legis.iowa.gov/docs/ico/chapter/22.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