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12/4/29</w:t>
      </w:r>
    </w:p>
    <w:p>
      <w:pPr>
        <w:spacing w:before="0" w:after="0"/>
        <w:ind w:left="120"/>
        <w:jc w:val="both"/>
      </w:pPr>
      <w:r>
        <w:rPr>
          <w:rFonts w:ascii="Times New Roman" w:hAnsi="Times New Roman"/>
          <w:b/>
          <w:i w:val="false"/>
          <w:color w:val="000000"/>
          <w:sz w:val="22"/>
        </w:rPr>
        <w:t>199—1.1</w:t>
      </w:r>
      <w:r>
        <w:rPr>
          <w:rFonts w:ascii="Times New Roman" w:hAnsi="Times New Roman"/>
          <w:b/>
          <w:i w:val="false"/>
          <w:color w:val="000000"/>
          <w:sz w:val="22"/>
        </w:rPr>
        <w:t xml:space="preserve">(17A,474)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describes the organization and operation of the Iowa utilities commission (hereinafter referred to as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199—1.2</w:t>
      </w:r>
      <w:r>
        <w:rPr>
          <w:rFonts w:ascii="Times New Roman" w:hAnsi="Times New Roman"/>
          <w:b/>
          <w:i w:val="false"/>
          <w:color w:val="000000"/>
          <w:sz w:val="22"/>
        </w:rPr>
        <w:t xml:space="preserve">(17A,474)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These rules apply to all matters before the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199—1.3</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 request, the commission may grant a waiver from a rule adopted by the commission, in whole or in part, as applied to a specific set of circumstances, if the commission finds, based on clear and convincing evidence, that the waiver request meets the requirements of Iowa Code section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condition the grant of the waiver on such reasonable conditions as appropriate to achieve the objectives of the particular rule in question. The commission may at any time cancel a waiver upon appropriate notice and opportunity for hearing.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w:t>
      </w:r>
      <w:r>
        <w:rPr>
          <w:rFonts w:ascii="Times New Roman" w:hAnsi="Times New Roman"/>
          <w:b/>
          <w:i w:val="false"/>
          <w:color w:val="000000"/>
          <w:sz w:val="22"/>
        </w:rPr>
        <w:t xml:space="preserve">(17A,474) </w:t>
      </w:r>
      <w:r>
        <w:rPr>
          <w:rFonts w:ascii="Times New Roman" w:hAnsi="Times New Roman"/>
          <w:b/>
          <w:i w:val="false"/>
          <w:color w:val="000000"/>
          <w:sz w:val="22"/>
        </w:rPr>
        <w:t xml:space="preserve">Duties of the commission. </w:t>
      </w:r>
      <w:r>
        <w:rPr>
          <w:rFonts w:ascii="Times New Roman" w:hAnsi="Times New Roman"/>
          <w:b w:val="false"/>
          <w:i w:val="false"/>
          <w:color w:val="000000"/>
          <w:sz w:val="22"/>
        </w:rPr>
        <w:t xml:space="preserve">The commission regulates the services and rates of certain electric, gas, telephone, water, sanitary sewer, and storm water drainage utilities pursuant to Iowa Code chapter </w:t>
      </w:r>
      <w:hyperlink r:id="rId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The commission also has jurisdiction over certification of electric power generators pursuant to Iowa Code chapter </w:t>
      </w:r>
      <w:hyperlink r:id="rId7">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franchises for cable and video service providers pursuant to Iowa Code chapter </w:t>
      </w:r>
      <w:hyperlink r:id="rId8">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dual party relay service pursuant to Iowa Code chapter </w:t>
      </w:r>
      <w:hyperlink r:id="rId9">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construction and safety of electric transmission lines pursuant to Iowa Code chapter </w:t>
      </w:r>
      <w:hyperlink r:id="rId10">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and the construction and operation of pipelines and underground storage pursuant to Iowa Code chapters </w:t>
      </w:r>
      <w:hyperlink r:id="rId11">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w:t>
      </w:r>
      <w:r>
        <w:rPr>
          <w:rFonts w:ascii="Times New Roman" w:hAnsi="Times New Roman"/>
          <w:b/>
          <w:i w:val="false"/>
          <w:color w:val="000000"/>
          <w:sz w:val="22"/>
        </w:rPr>
        <w:t xml:space="preserve">(17A,474) </w:t>
      </w:r>
      <w:r>
        <w:rPr>
          <w:rFonts w:ascii="Times New Roman" w:hAnsi="Times New Roman"/>
          <w:b/>
          <w:i w:val="false"/>
          <w:color w:val="000000"/>
          <w:sz w:val="22"/>
        </w:rPr>
        <w:t xml:space="preserve">Organization. </w:t>
      </w:r>
      <w:r>
        <w:rPr>
          <w:rFonts w:ascii="Times New Roman" w:hAnsi="Times New Roman"/>
          <w:b w:val="false"/>
          <w:i w:val="false"/>
          <w:color w:val="000000"/>
          <w:sz w:val="22"/>
        </w:rPr>
        <w:t xml:space="preserve">The commission consists of the three-member commission, the technical and administrative staff, and the general counsel. The three-member commission is the policymaking body, and the chair serves as the administrator of the commission. As administrator, the chair is responsible for all administrative functions and decisions.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199—1.6</w:t>
      </w:r>
      <w:r>
        <w:rPr>
          <w:rFonts w:ascii="Times New Roman" w:hAnsi="Times New Roman"/>
          <w:b/>
          <w:i w:val="false"/>
          <w:color w:val="000000"/>
          <w:sz w:val="22"/>
        </w:rPr>
        <w:t xml:space="preserve">(17A,474) </w:t>
      </w:r>
      <w:r>
        <w:rPr>
          <w:rFonts w:ascii="Times New Roman" w:hAnsi="Times New Roman"/>
          <w:b/>
          <w:i w:val="false"/>
          <w:color w:val="000000"/>
          <w:sz w:val="22"/>
        </w:rPr>
        <w:t xml:space="preserve">Matters applicable to all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 xml:space="preserve">All communications to the commission, other than those filed through the commission’s electronic filing system, may be addressed to the Iowa Utilities Commission, 1375 East Court Avenue, Des Moines, Iowa 50319-0069, unless otherwise specifically directed. Unless otherwise specifically provided, all communications and documents are officially filed upon receipt and acceptance at the office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Monday through Friday. Offices are closed on Saturdays and Sundays and on official state holidays designated in accordance with state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w:t>
      </w:r>
      <w:r>
        <w:rPr>
          <w:rFonts w:ascii="Times New Roman" w:hAnsi="Times New Roman"/>
          <w:b/>
          <w:i w:val="false"/>
          <w:color w:val="000000"/>
          <w:sz w:val="22"/>
        </w:rPr>
        <w:t xml:space="preserve">(22) </w:t>
      </w:r>
      <w:r>
        <w:rPr>
          <w:rFonts w:ascii="Times New Roman" w:hAnsi="Times New Roman"/>
          <w:b/>
          <w:i w:val="false"/>
          <w:color w:val="000000"/>
          <w:sz w:val="22"/>
        </w:rPr>
        <w:t xml:space="preserve">Public information and inspection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Any interested person may examine all public records of the commission by written request or in person at the commission offices. Public records may be examined at the commission office only during regular business hours, 8 a.m. to 4:30 p.m. Monday through Friday, excluding legal holidays. Public records in docketed matters may be examined at any time using the commission’s electronic filing system. Unless otherwise provided by law, all public records, other than confidential records, maintained by the commission will be made available for public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6/24/26</w:t>
      </w:r>
      <w:r>
        <w:rPr>
          <w:rFonts w:ascii="Times New Roman" w:hAnsi="Times New Roman"/>
          <w:b w:val="false"/>
          <w:i w:val="false"/>
          <w:color w:val="000000"/>
          <w:sz w:val="22"/>
        </w:rPr>
        <w:t>, effective 6/1/26.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Records not routinely available for public inspection. </w:t>
      </w:r>
      <w:r>
        <w:rPr>
          <w:rFonts w:ascii="Times New Roman" w:hAnsi="Times New Roman"/>
          <w:b w:val="false"/>
          <w:i w:val="false"/>
          <w:color w:val="000000"/>
          <w:sz w:val="22"/>
        </w:rPr>
        <w:t>The following records are not routinely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Material exempted from disclosure under Iowa’s open records law. </w:t>
      </w:r>
      <w:r>
        <w:rPr>
          <w:rFonts w:ascii="Times New Roman" w:hAnsi="Times New Roman"/>
          <w:b w:val="false"/>
          <w:i w:val="false"/>
          <w:color w:val="000000"/>
          <w:sz w:val="22"/>
        </w:rPr>
        <w:t xml:space="preserve">Certain public records are confidential under the open records law and cannot be released unless otherwise ordered by a court, by the commission as lawful custodian of the records, or by another person duly authorized to release such information pursuant to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 person may request permission to inspect particular records withheld from inspection under this paragraph. If the request is granted, the commission shall withhold the material from public inspection for 14 days to allow the party that submitted the material an opportunity to seek injunctive relief.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records. </w:t>
      </w:r>
      <w:r>
        <w:rPr>
          <w:rFonts w:ascii="Times New Roman" w:hAnsi="Times New Roman"/>
          <w:b w:val="false"/>
          <w:i w:val="false"/>
          <w:color w:val="000000"/>
          <w:sz w:val="22"/>
        </w:rPr>
        <w:t xml:space="preserve">The commission is required to withhold tax records from public inspection pursuant to Iowa Code section </w:t>
      </w:r>
      <w:hyperlink r:id="rId1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Materials exempted pursuant to requests deemed granted by the commission. </w:t>
      </w:r>
      <w:r>
        <w:rPr>
          <w:rFonts w:ascii="Times New Roman" w:hAnsi="Times New Roman"/>
          <w:b w:val="false"/>
          <w:i w:val="false"/>
          <w:color w:val="000000"/>
          <w:sz w:val="22"/>
        </w:rPr>
        <w:t xml:space="preserve">Requests to withhold from public inspection the materials and information listed in the subparagraphs below are deemed granted by the commission pursuant to Iowa Code section </w:t>
      </w:r>
      <w:hyperlink r:id="rId15">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sections, provided that the confidential portions of the filings are identified as confidential and filed as provided in </w:t>
      </w:r>
      <w:hyperlink r:id="rId1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an attorney for the company or corporate officer avers that the material or information satisfies the requirements in Iowa Code section </w:t>
      </w:r>
      <w:hyperlink r:id="rId18">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sections. The material or information filed pursuant to this paragraph will be deemed confidential upon the filer’s receipt of a notice of electronic filing without further review or acknowledgement by the commission, and the material or information will be withheld from public inspection subject to the provisions of subparagraph </w:t>
      </w:r>
      <w:hyperlink r:id="rId20">
        <w:r>
          <w:rPr>
            <w:rStyle w:val="Hyperlink"/>
            <w:rFonts w:ascii="Times New Roman" w:hAnsi="Times New Roman"/>
            <w:b w:val="false"/>
            <w:i w:val="false"/>
            <w:color w:val="000000"/>
            <w:sz w:val="22"/>
          </w:rPr>
          <w:t>1.7(6)</w:t>
        </w:r>
      </w:hyperlink>
      <w:r>
        <w:rPr>
          <w:rFonts w:ascii="Times New Roman" w:hAnsi="Times New Roman"/>
          <w:b w:val="false"/>
          <w:i/>
          <w:color w:val="000000"/>
          <w:sz w:val="22"/>
        </w:rPr>
        <w:t>“b”</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Negotiated transportation rates and prices for natural gas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Reservation charges for portfolio gas supply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Terms and prices for all hedging activity, including financial hedges and weather-related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Sales data by individual natural gas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Natural gas purchase volumes by individual receipt point, by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gas costs included in interstate pipeline contracts and contracted volume quantities, invoices, commodity contracts, and individual commodity purchases and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Design day forecasting model reserve margin calculations for natural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Negotiated purchase prices for electric power, fuel,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Electric customer-specific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Power supply bills in support of energy adjustment clause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Network improvement and maintenance plans and related extensions and progress reports filed with the commission pursuant to </w:t>
      </w:r>
      <w:hyperlink r:id="rId21">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Wireless coverage area maps depicting signal strength filed with the commission pursuant to </w:t>
      </w:r>
      <w:hyperlink r:id="rId22">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Revenue recovery amounts and loop or line count data filed with the commission pursuant to </w:t>
      </w:r>
      <w:hyperlink r:id="rId23">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reports and loop or line count data included in rate floor data filed with the commission pursuant to </w:t>
      </w:r>
      <w:hyperlink r:id="rId24">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Loop or line count data included in rate floor data updates filed with the commission pursuant to </w:t>
      </w:r>
      <w:hyperlink r:id="rId25">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financial records filed by applicants for certificates of convenience and necessity to provide competitive local exchange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The financial records, number of customers, and volumes filed by competitive natural gas providers in each company’s annual report. The aggregate total sales volume is not granted confidential treatment by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financial information regarding affiliate transactions required for rate-regulated utilities. This information is subject to staff and legal review to ensure the information protected is similar to other information included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Information filed in a particular docket that is of the same type, nature, and scope as information for which the commission previously granted confidentiality in that same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Requests that materials or information submitted to the commission be withheld from public inspection. </w:t>
      </w:r>
      <w:r>
        <w:rPr>
          <w:rFonts w:ascii="Times New Roman" w:hAnsi="Times New Roman"/>
          <w:b w:val="false"/>
          <w:i w:val="false"/>
          <w:color w:val="000000"/>
          <w:sz w:val="22"/>
        </w:rPr>
        <w:t>Any person submitting information or materials to the commission may submit a request that part or all of the information or materials not be made available for public inspection pursuant to the following requirements. Persons filing material in the commission’s electronic filing system shall redact protected information as defined in Iowa Rules of Electronic Procedure 16.602 and 16.603.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Marked pages. </w:t>
      </w:r>
      <w:r>
        <w:rPr>
          <w:rFonts w:ascii="Times New Roman" w:hAnsi="Times New Roman"/>
          <w:b w:val="false"/>
          <w:i w:val="false"/>
          <w:color w:val="000000"/>
          <w:sz w:val="22"/>
        </w:rPr>
        <w:t>Each page of the materials to which the request applies shall be marked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The request shall contain a statement of the legal basis for withholding the materials from inspection and the supporting facts. The facts shall be supported by an affidavit from a corporate officer or employee (or an individual, if not a business entity) with personal knowledge of the specific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If a request complies with the requirements of paragraphs </w:t>
      </w:r>
      <w:hyperlink r:id="rId26">
        <w:r>
          <w:rPr>
            <w:rStyle w:val="Hyperlink"/>
            <w:rFonts w:ascii="Times New Roman" w:hAnsi="Times New Roman"/>
            <w:b w:val="false"/>
            <w:i w:val="false"/>
            <w:color w:val="000000"/>
            <w:sz w:val="22"/>
          </w:rPr>
          <w:t>1.7(4)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materials will be temporarily withheld from public inspection. The commission will examine the information to determine whether the information should be afforded confidentiality. If the request is granted, the ruling will be placed in a public file in lieu of the materials withheld from public inspection. If no objection to the request for confidential treatment is filed within 20 days, the commission may defer consideration of the request until a public records request is made for the material or information, and the material or information shall be withheld from public inspection subject to the provisions of subparagraph </w:t>
      </w:r>
      <w:hyperlink r:id="rId27">
        <w:r>
          <w:rPr>
            <w:rStyle w:val="Hyperlink"/>
            <w:rFonts w:ascii="Times New Roman" w:hAnsi="Times New Roman"/>
            <w:b w:val="false"/>
            <w:i w:val="false"/>
            <w:color w:val="000000"/>
            <w:sz w:val="22"/>
          </w:rPr>
          <w:t>1.7(6)</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 xml:space="preserve">If a request for confidentiality is denied, the information will be held confidential for 14 days to allow the applicant an opportunity to seek injunctive relief. After the 14 days expire, the materials will be available for public inspection unless the commission is directed by a court to keep the information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the physical inspection of commission records that are routinely available for public inspection. </w:t>
      </w:r>
      <w:r>
        <w:rPr>
          <w:rFonts w:ascii="Times New Roman" w:hAnsi="Times New Roman"/>
          <w:b w:val="false"/>
          <w:i w:val="false"/>
          <w:color w:val="000000"/>
          <w:sz w:val="22"/>
        </w:rPr>
        <w:t xml:space="preserve">The records in question will be reasonably described by the person requesting them to permit their location by staff personnel. Members of the public will not be given access to the area in which records are kept and will not be permitted to search the files. Advance requests to have records available on a certain date may be made by telephone or by correspondence.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An hourly fee may be charged for searching for requested records. The fee will be based upon the pay scale of the employee who makes the search. No search fee will be charged if the records are not located, the records are not made available for inspection, or the search does not exceed one-quarter hour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w:t>
      </w:r>
      <w:r>
        <w:rPr>
          <w:rFonts w:ascii="Times New Roman" w:hAnsi="Times New Roman"/>
          <w:b w:val="false"/>
          <w:i w:val="false"/>
          <w:color w:val="000000"/>
          <w:sz w:val="22"/>
        </w:rPr>
        <w:t xml:space="preserve">Written requests should list the telephone number (if any) of the person making the request and, for each document requested, should set out all available information that would assist in identifying and locating the document. The request should also set out the maximum search fee the person making the request is prepared to pay. If the maximum search fee is reached before all of the requested documents have been located and copied, the requesting person will be notified. When the requesting person requests that the commission mail copies of the materials, postage and handling expenses should also be included.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for written request. </w:t>
      </w:r>
      <w:r>
        <w:rPr>
          <w:rFonts w:ascii="Times New Roman" w:hAnsi="Times New Roman"/>
          <w:b w:val="false"/>
          <w:i w:val="false"/>
          <w:color w:val="000000"/>
          <w:sz w:val="22"/>
        </w:rPr>
        <w:t>The records will be produced for inspection at the earliest possible date following a request. Records should be inspected within seven days after notice is given that the records have been located and are available for inspection. After seven days, the records will be returned to storage and additional charges may be imposed for having to produce them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Copies. </w:t>
      </w:r>
      <w:r>
        <w:rPr>
          <w:rFonts w:ascii="Times New Roman" w:hAnsi="Times New Roman"/>
          <w:b w:val="false"/>
          <w:i w:val="false"/>
          <w:color w:val="000000"/>
          <w:sz w:val="22"/>
        </w:rPr>
        <w:t xml:space="preserve">Copies of public records may be made in the commission’s records and information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the inspection of commission records that are not routinely available for public inspection. </w:t>
      </w:r>
      <w:r>
        <w:rPr>
          <w:rFonts w:ascii="Times New Roman" w:hAnsi="Times New Roman"/>
          <w:b w:val="false"/>
          <w:i w:val="false"/>
          <w:color w:val="000000"/>
          <w:sz w:val="22"/>
        </w:rPr>
        <w:t>Any person may request access to records that are not routinely available for public inspection.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The request shall include a description of the records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commission may take action on the request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Deny the request with an explanatory statement, if the commission is prohibited from disclosing the records or has determined the requested material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Redact any part of the document that the commission is prohibited from disclosing and disclose the remainder.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interested persons, and withhold the materials from public inspection for 14 days to allow the party who submitted the materials an opportunity to seek injunctive relief.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w:t>
      </w:r>
      <w:r>
        <w:rPr>
          <w:rFonts w:ascii="Times New Roman" w:hAnsi="Times New Roman"/>
          <w:b w:val="false"/>
          <w:i w:val="false"/>
          <w:color w:val="000000"/>
          <w:sz w:val="22"/>
        </w:rPr>
        <w:t> </w:t>
      </w:r>
      <w:r>
        <w:rPr>
          <w:rFonts w:ascii="Times New Roman" w:hAnsi="Times New Roman"/>
          <w:b w:val="false"/>
          <w:i/>
          <w:color w:val="000000"/>
          <w:sz w:val="22"/>
        </w:rPr>
        <w:t xml:space="preserve">Procedures by which the filer of a confidential record may have a copy released to a named third party. </w:t>
      </w:r>
      <w:r>
        <w:rPr>
          <w:rFonts w:ascii="Times New Roman" w:hAnsi="Times New Roman"/>
          <w:b w:val="false"/>
          <w:i w:val="false"/>
          <w:color w:val="000000"/>
          <w:sz w:val="22"/>
        </w:rPr>
        <w:t>The filer of a confidential record may request in writing that a confidential record be released to a named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w:t>
      </w:r>
      <w:r>
        <w:rPr>
          <w:rFonts w:ascii="Times New Roman" w:hAnsi="Times New Roman"/>
          <w:b w:val="false"/>
          <w:i w:val="false"/>
          <w:color w:val="000000"/>
          <w:sz w:val="22"/>
        </w:rPr>
        <w:t> </w:t>
      </w:r>
      <w:r>
        <w:rPr>
          <w:rFonts w:ascii="Times New Roman" w:hAnsi="Times New Roman"/>
          <w:b w:val="false"/>
          <w:i/>
          <w:color w:val="000000"/>
          <w:sz w:val="22"/>
        </w:rPr>
        <w:t xml:space="preserve">Advice and assistance. </w:t>
      </w:r>
      <w:r>
        <w:rPr>
          <w:rFonts w:ascii="Times New Roman" w:hAnsi="Times New Roman"/>
          <w:b w:val="false"/>
          <w:i w:val="false"/>
          <w:color w:val="000000"/>
          <w:sz w:val="22"/>
        </w:rPr>
        <w:t>Individuals who have questions regarding the procedures contained in these rules may contact the commission at the following address: Iowa Utilities Commission, 1375 East Court Avenue, Des Moines, Iowa 50319-0069.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8325C</w:t>
      </w:r>
      <w:r>
        <w:rPr>
          <w:rFonts w:ascii="Times New Roman" w:hAnsi="Times New Roman"/>
          <w:b w:val="false"/>
          <w:i w:val="false"/>
          <w:color w:val="000000"/>
          <w:sz w:val="16"/>
        </w:rPr>
        <w:t>, IAB 10/30/24, effective 12/4/24</w:t>
      </w:r>
      <w:r>
        <w:rPr>
          <w:rFonts w:ascii="Times New Roman" w:hAnsi="Times New Roman"/>
          <w:b w:val="false"/>
          <w:i w:val="false"/>
          <w:color w:val="000000"/>
          <w:sz w:val="16"/>
        </w:rPr>
        <w:t xml:space="preserve">; </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474.1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474.10</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2/11/76, Notice 7/14/75—published 2/23/76, effective 3/29/76]</w:t>
      </w:r>
    </w:p>
    <w:p>
      <w:pPr>
        <w:spacing w:before="0" w:after="0"/>
        <w:ind w:left="120"/>
        <w:jc w:val="center"/>
      </w:pPr>
      <w:r>
        <w:rPr>
          <w:rFonts w:ascii="Times New Roman" w:hAnsi="Times New Roman"/>
          <w:b w:val="false"/>
          <w:i w:val="false"/>
          <w:color w:val="000000"/>
          <w:sz w:val="21"/>
        </w:rPr>
        <w:t>[Filed 6/15/76 without Notice—published 6/28/76, effective 8/2/76]</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5/20/83, Notice 4/13/83—published 6/8/83, effective 7/13/83]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without Notice 7/27/84—published 8/15/84, effective 9/19/84]</w:t>
      </w:r>
    </w:p>
    <w:p>
      <w:pPr>
        <w:spacing w:before="0" w:after="0"/>
        <w:ind w:left="120"/>
        <w:jc w:val="center"/>
      </w:pPr>
      <w:r>
        <w:rPr>
          <w:rFonts w:ascii="Times New Roman" w:hAnsi="Times New Roman"/>
          <w:b w:val="false"/>
          <w:i w:val="false"/>
          <w:color w:val="000000"/>
          <w:sz w:val="21"/>
        </w:rPr>
        <w:t>[Filed 5/19/86, Notice 11/6/85—published 6/4/86, effective 7/9/86]</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10/2/87, Notice 8/12/87—published 10/21/87, effective 1/20/88]</w:t>
      </w:r>
    </w:p>
    <w:p>
      <w:pPr>
        <w:spacing w:before="0" w:after="0"/>
        <w:ind w:left="120"/>
        <w:jc w:val="center"/>
      </w:pPr>
      <w:r>
        <w:rPr>
          <w:rFonts w:ascii="Times New Roman" w:hAnsi="Times New Roman"/>
          <w:b w:val="false"/>
          <w:i w:val="false"/>
          <w:color w:val="000000"/>
          <w:sz w:val="21"/>
        </w:rPr>
        <w:t>[Filed 12/22/88, Notice 10/19/88—published 1/11/89, effective 2/15/89]</w:t>
      </w:r>
    </w:p>
    <w:p>
      <w:pPr>
        <w:spacing w:before="0" w:after="0"/>
        <w:ind w:left="120"/>
        <w:jc w:val="center"/>
      </w:pPr>
      <w:r>
        <w:rPr>
          <w:rFonts w:ascii="Times New Roman" w:hAnsi="Times New Roman"/>
          <w:b w:val="false"/>
          <w:i w:val="false"/>
          <w:color w:val="000000"/>
          <w:sz w:val="21"/>
        </w:rPr>
        <w:t>[Filed 3/29/91, Notice 11/14/90—published 4/17/91, effective 5/22/91]</w:t>
      </w:r>
    </w:p>
    <w:p>
      <w:pPr>
        <w:spacing w:before="0" w:after="0"/>
        <w:ind w:left="120"/>
        <w:jc w:val="center"/>
      </w:pPr>
      <w:r>
        <w:rPr>
          <w:rFonts w:ascii="Times New Roman" w:hAnsi="Times New Roman"/>
          <w:b w:val="false"/>
          <w:i w:val="false"/>
          <w:color w:val="000000"/>
          <w:sz w:val="21"/>
        </w:rPr>
        <w:t>[Filed emergency 8/14/92—published 9/2/92, effective 8/14/92]</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emergency 4/30/99—published 5/19/99, effective 4/30/99]</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10/12/00, Notice 8/23/00—published 11/1/00, effective 12/6/00]</w:t>
      </w:r>
    </w:p>
    <w:p>
      <w:pPr>
        <w:spacing w:before="0" w:after="0"/>
        <w:ind w:left="120"/>
        <w:jc w:val="center"/>
      </w:pPr>
      <w:r>
        <w:rPr>
          <w:rFonts w:ascii="Times New Roman" w:hAnsi="Times New Roman"/>
          <w:b w:val="false"/>
          <w:i w:val="false"/>
          <w:color w:val="000000"/>
          <w:sz w:val="21"/>
        </w:rPr>
        <w:t>[Filed 11/21/01, Notice 5/30/01—published 12/12/01, effective 1/16/02]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4/26/02, Notice 1/9/02—published 5/15/02, effective 6/19/02]</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[Filed 7/27/06, Notice 6/7/06—published 8/16/06, effective 9/20/06]</w:t>
      </w:r>
    </w:p>
    <w:p>
      <w:pPr>
        <w:spacing w:before="0" w:after="0"/>
        <w:ind w:left="120"/>
        <w:jc w:val="center"/>
      </w:pPr>
      <w:r>
        <w:rPr>
          <w:rFonts w:ascii="Times New Roman" w:hAnsi="Times New Roman"/>
          <w:b w:val="false"/>
          <w:i w:val="false"/>
          <w:color w:val="000000"/>
          <w:sz w:val="21"/>
        </w:rPr>
        <w:t>[Filed 10/6/06, Notice 3/15/06—published 10/25/06, effective 11/29/06]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1899C</w:t>
      </w:r>
      <w:r>
        <w:rPr>
          <w:rFonts w:ascii="Times New Roman" w:hAnsi="Times New Roman"/>
          <w:b w:val="false"/>
          <w:i w:val="false"/>
          <w:color w:val="000000"/>
          <w:sz w:val="21"/>
        </w:rPr>
        <w:t xml:space="preserve"> (Notice ARC 1563C, IAB 8/6/14)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3340C</w:t>
      </w:r>
      <w:r>
        <w:rPr>
          <w:rFonts w:ascii="Times New Roman" w:hAnsi="Times New Roman"/>
          <w:b w:val="false"/>
          <w:i w:val="false"/>
          <w:color w:val="000000"/>
          <w:sz w:val="21"/>
        </w:rPr>
        <w:t xml:space="preserve"> (Notice ARC 2957C, IAB 3/1/17)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8325C</w:t>
      </w:r>
      <w:r>
        <w:rPr>
          <w:rFonts w:ascii="Times New Roman" w:hAnsi="Times New Roman"/>
          <w:b w:val="false"/>
          <w:i w:val="false"/>
          <w:color w:val="000000"/>
          <w:sz w:val="21"/>
        </w:rPr>
        <w:t xml:space="preserve"> (Notice ARC 8105C, IAB 7/10/24)</w:t>
      </w:r>
      <w:r>
        <w:rPr>
          <w:rFonts w:ascii="Times New Roman" w:hAnsi="Times New Roman"/>
          <w:b w:val="false"/>
          <w:i w:val="false"/>
          <w:color w:val="000000"/>
          <w:sz w:val="21"/>
        </w:rPr>
        <w:t>, IAB 10/30/24, effective 12/4/24]</w:t>
      </w:r>
    </w:p>
    <w:p>
      <w:pPr>
        <w:spacing w:before="0" w:after="0"/>
        <w:ind w:left="120"/>
        <w:jc w:val="center"/>
      </w:pPr>
      <w:r>
        <w:rPr>
          <w:rFonts w:ascii="Times New Roman" w:hAnsi="Times New Roman"/>
          <w:b w:val="false"/>
          <w:i w:val="false"/>
          <w:color w:val="000000"/>
          <w:sz w:val="21"/>
        </w:rPr>
        <w:t>[Filed Emergency ARC 0375D, IAB 6/24/26, effective 6/1/26]</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A.pdf" Type="http://schemas.openxmlformats.org/officeDocument/2006/relationships/hyperlink" Id="rId7"/>
    <Relationship TargetMode="External" Target="https://www.legis.iowa.gov/docs/ico/chapter/477A.pdf" Type="http://schemas.openxmlformats.org/officeDocument/2006/relationships/hyperlink" Id="rId8"/>
    <Relationship TargetMode="External" Target="https://www.legis.iowa.gov/docs/ico/chapter/477C.pdf" Type="http://schemas.openxmlformats.org/officeDocument/2006/relationships/hyperlink" Id="rId9"/>
    <Relationship TargetMode="External" Target="https://www.legis.iowa.gov/docs/ico/chapter/478.pdf" Type="http://schemas.openxmlformats.org/officeDocument/2006/relationships/hyperlink" Id="rId10"/>
    <Relationship TargetMode="External" Target="https://www.legis.iowa.gov/docs/ico/chapter/479.pdf" Type="http://schemas.openxmlformats.org/officeDocument/2006/relationships/hyperlink" Id="rId11"/>
    <Relationship TargetMode="External" Target="https://www.legis.iowa.gov/docs/ico/chapter/479B.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422.20.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ac/chapter/199.14.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ac/rule/199.1.7.pdf" Type="http://schemas.openxmlformats.org/officeDocument/2006/relationships/hyperlink" Id="rId20"/>
    <Relationship TargetMode="External" Target="https://www.legis.iowa.gov/docs/iac/chapter/199.39.pdf" Type="http://schemas.openxmlformats.org/officeDocument/2006/relationships/hyperlink" Id="rId21"/>
    <Relationship TargetMode="External" Target="https://www.legis.iowa.gov/docs/iac/chapter/199.39.pdf" Type="http://schemas.openxmlformats.org/officeDocument/2006/relationships/hyperlink" Id="rId22"/>
    <Relationship TargetMode="External" Target="https://www.legis.iowa.gov/docs/iac/chapter/199.39.pdf" Type="http://schemas.openxmlformats.org/officeDocument/2006/relationships/hyperlink" Id="rId23"/>
    <Relationship TargetMode="External" Target="https://www.legis.iowa.gov/docs/iac/chapter/199.39.pdf" Type="http://schemas.openxmlformats.org/officeDocument/2006/relationships/hyperlink" Id="rId24"/>
    <Relationship TargetMode="External" Target="https://www.legis.iowa.gov/docs/iac/chapter/199.39.pdf" Type="http://schemas.openxmlformats.org/officeDocument/2006/relationships/hyperlink" Id="rId25"/>
    <Relationship TargetMode="External" Target="https://www.legis.iowa.gov/docs/iac/rule/199.1.7.pdf" Type="http://schemas.openxmlformats.org/officeDocument/2006/relationships/hyperlink" Id="rId26"/>
    <Relationship TargetMode="External" Target="https://www.legis.iowa.gov/docs/iac/rule/199.1.7.pdf" Type="http://schemas.openxmlformats.org/officeDocument/2006/relationships/hyperlink" Id="rId27"/>
    <Relationship TargetMode="External" Target="https://www.legis.iowa.gov/docs/ico/chapter/17A.3.pdf" Type="http://schemas.openxmlformats.org/officeDocument/2006/relationships/hyperlink" Id="rId28"/>
    <Relationship TargetMode="External" Target="https://www.legis.iowa.gov/docs/ico/chapter/474.1.pdf" Type="http://schemas.openxmlformats.org/officeDocument/2006/relationships/hyperlink" Id="rId29"/>
    <Relationship TargetMode="External" Target="https://www.legis.iowa.gov/docs/ico/chapter/474.5.pdf" Type="http://schemas.openxmlformats.org/officeDocument/2006/relationships/hyperlink" Id="rId30"/>
    <Relationship TargetMode="External" Target="https://www.legis.iowa.gov/docs/ico/chapter/474.10.pdf" Type="http://schemas.openxmlformats.org/officeDocument/2006/relationships/hyperlink" Id="rId31"/>
    <Relationship TargetMode="External" Target="https://www.legis.iowa.gov/docs/ico/chapter/476.1.pdf" Type="http://schemas.openxmlformats.org/officeDocument/2006/relationships/hyperlink" Id="rId32"/>
    <Relationship TargetMode="External" Target="https://www.legis.iowa.gov/docs/ico/chapter/476.2.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