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IOWA SUMMER YOUTH CORPS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817—9.1</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Purpose and program description. </w:t>
      </w:r>
      <w:r>
        <w:rPr>
          <w:rFonts w:ascii="Times New Roman" w:hAnsi="Times New Roman"/>
          <w:b w:val="false"/>
          <w:i w:val="false"/>
          <w:color w:val="000000"/>
          <w:sz w:val="22"/>
        </w:rPr>
        <w:t xml:space="preserve">The purpose of the Iowa summer youth corps is to provide youth with meaningful community service opportunities along with instruction and reflection activities to enrich the learning experience, teach civic responsibility, and strengthen communities. On a competitive basis, Iowa summer youth corps grants will give support to summer youth corps projects in Iowa. The program is established under the authority of the Iowa commission on volunteer service, pursuant to Iowa Code chapter </w:t>
      </w:r>
      <w:hyperlink r:id="rId5">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817—9.2</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Appropriate forms and applications for grants are available from the commission at </w:t>
      </w:r>
      <w:hyperlink r:id="rId6">
        <w:r>
          <w:rPr>
            <w:rStyle w:val="Hyperlink"/>
            <w:rFonts w:ascii="Times New Roman" w:hAnsi="Times New Roman"/>
            <w:b w:val="false"/>
            <w:i w:val="false"/>
            <w:color w:val="000000"/>
            <w:sz w:val="22"/>
            <w:u w:val="single"/>
          </w:rPr>
          <w:t>www.volunteeriowa.org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817—9.3</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Incentives. </w:t>
      </w:r>
      <w:r>
        <w:rPr>
          <w:rFonts w:ascii="Times New Roman" w:hAnsi="Times New Roman"/>
          <w:b w:val="false"/>
          <w:i w:val="false"/>
          <w:color w:val="000000"/>
          <w:sz w:val="22"/>
        </w:rPr>
        <w:t>Incentives will be determined by federal funding guidelines or restrictions depending on the source of funds utilized for the Iowa summer youth corps in a given grant year. Types of incentives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 awards that may be used to further educational attainment and that may be earned upon completion of a defined number of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Living allowances that are not considered wages but are paid evenly over the course of a service period;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Wages that are based on the hours worked.</w:t>
      </w:r>
    </w:p>
    <w:p>
      <w:pPr>
        <w:spacing w:before="0" w:after="0"/>
        <w:ind w:left="120"/>
        <w:jc w:val="both"/>
      </w:pPr>
      <w:r>
        <w:rPr>
          <w:rFonts w:ascii="Times New Roman" w:hAnsi="Times New Roman"/>
          <w:b w:val="false"/>
          <w:i w:val="false"/>
          <w:color w:val="000000"/>
          <w:sz w:val="22"/>
        </w:rPr>
        <w:t>Types of incentives or combinations of incentives that may be used for a program design will be described in the application instructions.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817—9.4</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Grant criteria. </w:t>
      </w:r>
      <w:r>
        <w:rPr>
          <w:rFonts w:ascii="Times New Roman" w:hAnsi="Times New Roman"/>
          <w:b w:val="false"/>
          <w:i w:val="false"/>
          <w:color w:val="000000"/>
          <w:sz w:val="22"/>
        </w:rPr>
        <w:t>To respond to funding priorities, as funds are made available, the executive director of the commission will establish criteria consistent with federal regulations. If federal funds are being offered, applicants will be considered on a competitive basis. At a minimum, the criteria will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Goals and objectives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Qualifications of the applicant to manage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new and recompeting applicants, letters of local support verifying coordination and communitywide cooperation;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Total project budget;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previous grantees, evidence of ability to submit timely and accurate reports;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Description and time line of planned activities;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Agreement to develop for the project a community partnership group whose membership should include a cross section of the community served;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Description of the applicant organization, including staffing pattern;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Documentation of the applicant’s ability to provide the required local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817—9.5</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Designated funds. </w:t>
      </w:r>
      <w:r>
        <w:rPr>
          <w:rFonts w:ascii="Times New Roman" w:hAnsi="Times New Roman"/>
          <w:b w:val="false"/>
          <w:i w:val="false"/>
          <w:color w:val="000000"/>
          <w:sz w:val="22"/>
        </w:rPr>
        <w:t xml:space="preserve">A percentage of the grants will be designated by the commission to address the needs of the city enterprise zones that meet the distress criteria outlined in Iowa Code section </w:t>
      </w:r>
      <w:hyperlink r:id="rId7">
        <w:r>
          <w:rPr>
            <w:rStyle w:val="Hyperlink"/>
            <w:rFonts w:ascii="Times New Roman" w:hAnsi="Times New Roman"/>
            <w:b w:val="false"/>
            <w:i w:val="false"/>
            <w:color w:val="000000"/>
            <w:sz w:val="22"/>
          </w:rPr>
          <w:t>15E.194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817—9.6</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The commission shall issue a request for proposals containing project criteria and application forms for the appropriate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completed application to the commission according to the time line identified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submitted will be reviewed by a grant review committee, which is composed of members of the commission grant review committee, individuals with expertise in youth programming, and the citizens of Iowa. Using the criteria in rule </w:t>
      </w:r>
      <w:hyperlink r:id="rId8">
        <w:r>
          <w:rPr>
            <w:rStyle w:val="Hyperlink"/>
            <w:rFonts w:ascii="Times New Roman" w:hAnsi="Times New Roman"/>
            <w:b w:val="false"/>
            <w:i w:val="false"/>
            <w:color w:val="000000"/>
            <w:sz w:val="22"/>
          </w:rPr>
          <w:t>817—9.4</w:t>
        </w:r>
      </w:hyperlink>
      <w:r>
        <w:rPr>
          <w:rFonts w:ascii="Times New Roman" w:hAnsi="Times New Roman"/>
          <w:b w:val="false"/>
          <w:i w:val="false"/>
          <w:color w:val="000000"/>
          <w:sz w:val="22"/>
        </w:rPr>
        <w:t>(83GA,SF482), the committee will review the applications for appropriateness and to determine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val="false"/>
          <w:color w:val="000000"/>
          <w:sz w:val="22"/>
        </w:rPr>
        <w:t>Applicants whose projects have been selected for funding shall be notified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817—9.7</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shall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by the executive director of the commission and the duly authorized official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shall include due dates and the process for the submission of project reports and financial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 as outlined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Separate request for proposals will only be issued when there are funds available for this program. To the extent allowable by federal regulations, summer youth corps will always be an acceptable program model for annual AmeriCorps grants and will be listed in the annual AmeriCorps program request for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817—9.8</w:t>
      </w:r>
      <w:r>
        <w:rPr>
          <w:rFonts w:ascii="Times New Roman" w:hAnsi="Times New Roman"/>
          <w:b/>
          <w:i w:val="false"/>
          <w:color w:val="000000"/>
          <w:sz w:val="22"/>
        </w:rPr>
        <w:t xml:space="preserve">(83GA,SF482) </w:t>
      </w:r>
      <w:r>
        <w:rPr>
          <w:rFonts w:ascii="Times New Roman" w:hAnsi="Times New Roman"/>
          <w:b/>
          <w:i w:val="false"/>
          <w:color w:val="000000"/>
          <w:sz w:val="22"/>
        </w:rPr>
        <w:t xml:space="preserve">Reversion of funds. </w:t>
      </w:r>
      <w:r>
        <w:rPr>
          <w:rFonts w:ascii="Times New Roman" w:hAnsi="Times New Roman"/>
          <w:b w:val="false"/>
          <w:i w:val="false"/>
          <w:color w:val="000000"/>
          <w:sz w:val="22"/>
        </w:rPr>
        <w:t>Grant funds not expended by the project closeout date shall revert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8158B</w:t>
      </w:r>
      <w:r>
        <w:rPr>
          <w:rFonts w:ascii="Times New Roman" w:hAnsi="Times New Roman"/>
          <w:b w:val="false"/>
          <w:i w:val="false"/>
          <w:color w:val="000000"/>
          <w:sz w:val="16"/>
        </w:rPr>
        <w:t>, IAB 9/23/09,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8315B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2009 Iowa Acts, Senate File 482</w:t>
      </w:r>
      <w:r>
        <w:rPr>
          <w:rFonts w:ascii="Times New Roman" w:hAnsi="Times New Roman"/>
          <w:b w:val="false"/>
          <w:i w:val="false"/>
          <w:color w:val="000000"/>
          <w:sz w:val="22"/>
        </w:rPr>
        <w:t>, section 1.</w:t>
      </w:r>
    </w:p>
    <w:p>
      <w:pPr>
        <w:spacing w:before="0" w:after="0"/>
        <w:ind w:left="120"/>
        <w:jc w:val="center"/>
      </w:pPr>
      <w:r>
        <w:rPr>
          <w:rFonts w:ascii="Times New Roman" w:hAnsi="Times New Roman"/>
          <w:b w:val="false"/>
          <w:i w:val="false"/>
          <w:color w:val="000000"/>
          <w:sz w:val="21"/>
        </w:rPr>
        <w:t>[Filed Emergency ARC 8158B, IAB 9/23/09, effective 9/2/09]</w:t>
      </w:r>
    </w:p>
    <w:p>
      <w:pPr>
        <w:spacing w:before="0" w:after="0"/>
        <w:ind w:left="120"/>
        <w:jc w:val="center"/>
      </w:pPr>
      <w:r>
        <w:rPr>
          <w:rFonts w:ascii="Times New Roman" w:hAnsi="Times New Roman"/>
          <w:b w:val="false"/>
          <w:i w:val="false"/>
          <w:color w:val="000000"/>
          <w:sz w:val="21"/>
        </w:rPr>
        <w:t>[Filed ARC 8315B</w:t>
      </w:r>
      <w:r>
        <w:rPr>
          <w:rFonts w:ascii="Times New Roman" w:hAnsi="Times New Roman"/>
          <w:b w:val="false"/>
          <w:i w:val="false"/>
          <w:color w:val="000000"/>
          <w:sz w:val="21"/>
        </w:rPr>
        <w:t xml:space="preserve"> (Notice ARC 8159B, IAB 9/23/09)</w:t>
      </w:r>
      <w:r>
        <w:rPr>
          <w:rFonts w:ascii="Times New Roman" w:hAnsi="Times New Roman"/>
          <w:b w:val="false"/>
          <w:i w:val="false"/>
          <w:color w:val="000000"/>
          <w:sz w:val="21"/>
        </w:rPr>
        <w:t>, IAB 12/2/09, effective 1/6/10]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H.pdf" Type="http://schemas.openxmlformats.org/officeDocument/2006/relationships/hyperlink" Id="rId5"/>
    <Relationship TargetMode="External" Target="http://www.volunteeriowa.org" Type="http://schemas.openxmlformats.org/officeDocument/2006/relationships/hyperlink" Id="rId6"/>
    <Relationship TargetMode="External" Target="https://www.legis.iowa.gov/docs/ico/chapter/15E.194.pdf" Type="http://schemas.openxmlformats.org/officeDocument/2006/relationships/hyperlink" Id="rId7"/>
    <Relationship TargetMode="External" Target="https://www.legis.iowa.gov/docs/iac/rule/817.9.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