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PUBLIC RECORDS AND FAIR INFORMATION PRACTICES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The Iowa commission on volunteer service hereby adopts, with the following exceptions and amendments, rules of the Governor’s Task Force on Uniform Rules Agency Procedures relating to public records and fair information practices which are printed in the first Volume of the Iowa Administrative Code.</w:t>
      </w:r>
    </w:p>
    <w:p>
      <w:pPr>
        <w:spacing w:before="0" w:after="0"/>
        <w:ind w:left="120"/>
        <w:jc w:val="both"/>
      </w:pPr>
      <w:r>
        <w:rPr>
          <w:rFonts w:ascii="Times New Roman" w:hAnsi="Times New Roman"/>
          <w:b/>
          <w:i w:val="false"/>
          <w:color w:val="000000"/>
          <w:sz w:val="22"/>
        </w:rPr>
        <w:t>817—6.1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In lieu of “(official or body issuing these rules)” insert “Iowa Commission on Volunteer Service”.</w:t>
      </w:r>
    </w:p>
    <w:p>
      <w:pPr>
        <w:spacing w:before="0" w:after="0"/>
        <w:ind w:left="120"/>
        <w:jc w:val="both"/>
      </w:pPr>
      <w:r>
        <w:rPr>
          <w:rFonts w:ascii="Times New Roman" w:hAnsi="Times New Roman"/>
          <w:b/>
          <w:i w:val="false"/>
          <w:color w:val="000000"/>
          <w:sz w:val="22"/>
        </w:rPr>
        <w:t>817—6.3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In lieu of “(insert agency head)”, insert “Commission coordinator”; and in lieu of “(insert agency name and address)”, insert “Iowa Commission on Volunteer Service, 321 East 12th Street,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 xml:space="preserve">In lieu of “(insert customary office hours and, if agency does n have customary office hours of at least thirty hours per week, insert hours specified in Iowa Code section </w:t>
      </w:r>
      <w:hyperlink r:id="rId5">
        <w:r>
          <w:rPr>
            <w:rStyle w:val="Hyperlink"/>
            <w:rFonts w:ascii="Times New Roman" w:hAnsi="Times New Roman"/>
            <w:b w:val="false"/>
            <w:i w:val="false"/>
            <w:color w:val="000000"/>
            <w:sz w:val="22"/>
          </w:rPr>
          <w:t>22.4</w:t>
        </w:r>
      </w:hyperlink>
      <w:r>
        <w:rPr>
          <w:rFonts w:ascii="Times New Roman" w:hAnsi="Times New Roman"/>
          <w:b w:val="false"/>
          <w:i w:val="false"/>
          <w:color w:val="000000"/>
          <w:sz w:val="22"/>
        </w:rPr>
        <w:t>)”, insert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 except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Supervisory fee. </w:t>
      </w:r>
      <w:r>
        <w:rPr>
          <w:rFonts w:ascii="Times New Roman" w:hAnsi="Times New Roman"/>
          <w:b w:val="false"/>
          <w:i w:val="false"/>
          <w:color w:val="000000"/>
          <w:sz w:val="22"/>
        </w:rPr>
        <w:t>In lieu of “(specify time period)” insert “one hour”.</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12/25/24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817—6.6</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 by which additions, dissents, or objections may be entered in certain records. </w:t>
      </w:r>
      <w:r>
        <w:rPr>
          <w:rFonts w:ascii="Times New Roman" w:hAnsi="Times New Roman"/>
          <w:b w:val="false"/>
          <w:i w:val="false"/>
          <w:color w:val="000000"/>
          <w:sz w:val="22"/>
        </w:rPr>
        <w:t>In lieu of “(designate official)”, insert “the Iowa commission on volunteer service”.</w:t>
      </w:r>
    </w:p>
    <w:p>
      <w:pPr>
        <w:spacing w:before="0" w:after="0"/>
        <w:ind w:left="120"/>
        <w:jc w:val="both"/>
      </w:pPr>
      <w:r>
        <w:rPr>
          <w:rFonts w:ascii="Times New Roman" w:hAnsi="Times New Roman"/>
          <w:b/>
          <w:i w:val="false"/>
          <w:color w:val="000000"/>
          <w:sz w:val="22"/>
        </w:rPr>
        <w:t>817—6.9</w:t>
      </w:r>
      <w:r>
        <w:rPr>
          <w:rFonts w:ascii="Times New Roman" w:hAnsi="Times New Roman"/>
          <w:b/>
          <w:i w:val="false"/>
          <w:color w:val="000000"/>
          <w:sz w:val="22"/>
        </w:rPr>
        <w:t xml:space="preserve">(17A,22) </w:t>
      </w:r>
      <w:r>
        <w:rPr>
          <w:rFonts w:ascii="Times New Roman" w:hAnsi="Times New Roman"/>
          <w:b/>
          <w:i w:val="false"/>
          <w:color w:val="000000"/>
          <w:sz w:val="22"/>
        </w:rPr>
        <w:t xml:space="preserve">Routine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w:t>
      </w:r>
      <w:r>
        <w:rPr>
          <w:rFonts w:ascii="Times New Roman" w:hAnsi="Times New Roman"/>
          <w:b w:val="false"/>
          <w:i w:val="false"/>
          <w:color w:val="000000"/>
          <w:sz w:val="22"/>
        </w:rPr>
        <w:t> </w:t>
      </w:r>
      <w:r>
        <w:rPr>
          <w:rFonts w:ascii="Times New Roman" w:hAnsi="Times New Roman"/>
          <w:b w:val="false"/>
          <w:i w:val="false"/>
          <w:color w:val="000000"/>
          <w:sz w:val="22"/>
        </w:rPr>
        <w:t xml:space="preserve">Defined. “Routine use” means the disclosure of a record without the consent the subject or subjects, for a purpose which is compatible with the purpose for which the record was collected. It includes disclosures required to be made by statute other than the public records law, Iowa Code chapter </w:t>
      </w:r>
      <w:hyperlink r:id="rId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the following are considered routine uses of all agency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of officers, employees, and agents of the agency who have a need for the record in the performance of their duties. The custodian of the record may, upon request of an officer or employee, or on the custodian’s own initiative, determine what constitutes legitimate need to use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indicating an apparent violation of the law to appropriate law enforcement authorities for investigation and possible prosecution, civil court action, or regulatory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Disclosure to the department of inspections and appeals regarding matters in which performs services or functions on behalf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Transfers of information within the agency, to other state agencies, or to local units government, as appropriate, to administer the program for which the information is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Information released to staff of federal and state entities for audit purposes or to determine whether the agency is operating a program lawfully.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disclosure specifically authorized by the statute under which the record is collected or maintained.</w:t>
      </w:r>
    </w:p>
    <w:p>
      <w:pPr>
        <w:spacing w:before="0" w:after="0"/>
        <w:ind w:left="120"/>
        <w:jc w:val="both"/>
      </w:pPr>
      <w:r>
        <w:rPr>
          <w:rFonts w:ascii="Times New Roman" w:hAnsi="Times New Roman"/>
          <w:b/>
          <w:i w:val="false"/>
          <w:color w:val="000000"/>
          <w:sz w:val="22"/>
        </w:rPr>
        <w:t>817—6.10</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Consensual disclosure of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6.10(1)</w:t>
      </w:r>
      <w:r>
        <w:rPr>
          <w:rFonts w:ascii="Times New Roman" w:hAnsi="Times New Roman"/>
          <w:b w:val="false"/>
          <w:i w:val="false"/>
          <w:color w:val="000000"/>
          <w:sz w:val="22"/>
        </w:rPr>
        <w:t> </w:t>
      </w:r>
      <w:r>
        <w:rPr>
          <w:rFonts w:ascii="Times New Roman" w:hAnsi="Times New Roman"/>
          <w:b w:val="false"/>
          <w:i/>
          <w:color w:val="000000"/>
          <w:sz w:val="22"/>
        </w:rPr>
        <w:t xml:space="preserve">Consent to disclosure by a subject. </w:t>
      </w:r>
      <w:r>
        <w:rPr>
          <w:rFonts w:ascii="Times New Roman" w:hAnsi="Times New Roman"/>
          <w:b w:val="false"/>
          <w:i w:val="false"/>
          <w:color w:val="000000"/>
          <w:sz w:val="22"/>
        </w:rPr>
        <w:t xml:space="preserve">The subject may consent in writing to agency disclosure of confidential records as provided in rule </w:t>
      </w:r>
      <w:hyperlink r:id="rId7">
        <w:r>
          <w:rPr>
            <w:rStyle w:val="Hyperlink"/>
            <w:rFonts w:ascii="Times New Roman" w:hAnsi="Times New Roman"/>
            <w:b w:val="false"/>
            <w:i w:val="false"/>
            <w:color w:val="000000"/>
            <w:sz w:val="22"/>
          </w:rPr>
          <w:t>6.7</w:t>
        </w:r>
      </w:hyperlink>
      <w:r>
        <w:rPr>
          <w:rFonts w:ascii="Times New Roman" w:hAnsi="Times New Roman"/>
          <w:b w:val="false"/>
          <w:i w:val="false"/>
          <w:color w:val="000000"/>
          <w:sz w:val="22"/>
        </w:rPr>
        <w:t>(17A,22).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6.10(2)</w:t>
      </w:r>
      <w:r>
        <w:rPr>
          <w:rFonts w:ascii="Times New Roman" w:hAnsi="Times New Roman"/>
          <w:b w:val="false"/>
          <w:i w:val="false"/>
          <w:color w:val="000000"/>
          <w:sz w:val="22"/>
        </w:rPr>
        <w:t> </w:t>
      </w:r>
      <w:r>
        <w:rPr>
          <w:rFonts w:ascii="Times New Roman" w:hAnsi="Times New Roman"/>
          <w:b w:val="false"/>
          <w:i/>
          <w:color w:val="000000"/>
          <w:sz w:val="22"/>
        </w:rPr>
        <w:t xml:space="preserve">Complaints to public officials. </w:t>
      </w:r>
      <w:r>
        <w:rPr>
          <w:rFonts w:ascii="Times New Roman" w:hAnsi="Times New Roman"/>
          <w:b w:val="false"/>
          <w:i w:val="false"/>
          <w:color w:val="000000"/>
          <w:sz w:val="22"/>
        </w:rPr>
        <w:t>A letter from a subject of a confidential record to a public official which seeks the official’s intervention on behalf of the subject in a matter that involves the agency may be treated as an authorization to release sufficient information about the subject to the official to resolve the matter.</w:t>
      </w:r>
    </w:p>
    <w:p>
      <w:pPr>
        <w:spacing w:before="0" w:after="0"/>
        <w:ind w:left="120"/>
        <w:jc w:val="both"/>
      </w:pPr>
      <w:r>
        <w:rPr>
          <w:rFonts w:ascii="Times New Roman" w:hAnsi="Times New Roman"/>
          <w:b/>
          <w:i w:val="false"/>
          <w:color w:val="000000"/>
          <w:sz w:val="22"/>
        </w:rPr>
        <w:t>817—6.11</w:t>
      </w:r>
      <w:r>
        <w:rPr>
          <w:rFonts w:ascii="Times New Roman" w:hAnsi="Times New Roman"/>
          <w:b/>
          <w:i w:val="false"/>
          <w:color w:val="000000"/>
          <w:sz w:val="22"/>
        </w:rPr>
        <w:t xml:space="preserve">(17A,22) </w:t>
      </w:r>
      <w:r>
        <w:rPr>
          <w:rFonts w:ascii="Times New Roman" w:hAnsi="Times New Roman"/>
          <w:b/>
          <w:i w:val="false"/>
          <w:color w:val="000000"/>
          <w:sz w:val="22"/>
        </w:rPr>
        <w:t xml:space="preserve">Release to subject. </w:t>
      </w:r>
      <w:r>
        <w:rPr>
          <w:rFonts w:ascii="Times New Roman" w:hAnsi="Times New Roman"/>
          <w:b w:val="false"/>
          <w:i w:val="false"/>
          <w:color w:val="000000"/>
          <w:sz w:val="22"/>
        </w:rPr>
        <w:t>The subject of a confidential record may file a written request to review the subject’s confidential records. However, the agency need not release the following records to the subject: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identity of a person providing information to the agency when the information is authorized as confidential pursuant to Iowa Code subsection </w:t>
      </w:r>
      <w:hyperlink r:id="rId8">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work product of an attorney or otherwise privileged information.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Peace officers’ investigative reports, except as required by Iowa Code subsection </w:t>
      </w:r>
      <w:hyperlink r:id="rId9">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Those otherwise authorized by law.</w:t>
      </w:r>
    </w:p>
    <w:p>
      <w:pPr>
        <w:spacing w:before="210" w:after="0"/>
        <w:ind w:left="120"/>
        <w:jc w:val="both"/>
      </w:pPr>
      <w:r>
        <w:rPr>
          <w:rFonts w:ascii="Times New Roman" w:hAnsi="Times New Roman"/>
          <w:b/>
          <w:i w:val="false"/>
          <w:color w:val="000000"/>
          <w:sz w:val="22"/>
        </w:rPr>
        <w:t>817—6.12</w:t>
      </w:r>
      <w:r>
        <w:rPr>
          <w:rFonts w:ascii="Times New Roman" w:hAnsi="Times New Roman"/>
          <w:b/>
          <w:i w:val="false"/>
          <w:color w:val="000000"/>
          <w:sz w:val="22"/>
        </w:rPr>
        <w:t xml:space="preserve">(17A,22) </w:t>
      </w:r>
      <w:r>
        <w:rPr>
          <w:rFonts w:ascii="Times New Roman" w:hAnsi="Times New Roman"/>
          <w:b/>
          <w:i w:val="false"/>
          <w:color w:val="000000"/>
          <w:sz w:val="22"/>
        </w:rPr>
        <w:t xml:space="preserve">Availability of records—volunteer service commission. </w:t>
      </w:r>
      <w:r>
        <w:rPr>
          <w:rFonts w:ascii="Times New Roman" w:hAnsi="Times New Roman"/>
          <w:b w:val="false"/>
          <w:i w:val="false"/>
          <w:color w:val="000000"/>
          <w:sz w:val="22"/>
        </w:rPr>
        <w:t>Transferred to 441—9.19(22), IAC Supplement 6/14/23.</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and </w:t>
      </w:r>
    </w:p>
    <w:p>
      <w:pPr>
        <w:spacing w:before="0" w:after="0"/>
        <w:ind w:left="120"/>
        <w:jc w:val="left"/>
      </w:pPr>
      <w:r>
        <w:rPr>
          <w:rFonts w:ascii="Times New Roman" w:hAnsi="Times New Roman"/>
          <w:b w:val="false"/>
          <w:i w:val="false"/>
          <w:color w:val="000000"/>
          <w:sz w:val="22"/>
        </w:rPr>
        <w:t>Executive Order No. 48</w:t>
      </w:r>
    </w:p>
    <w:p>
      <w:pPr>
        <w:spacing w:before="0" w:after="0"/>
        <w:ind w:left="120"/>
        <w:jc w:val="left"/>
      </w:pP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11/16/94, Notice 6/22/94—published 12/7/94, effective 1/11/95]</w:t>
      </w:r>
    </w:p>
    <w:p>
      <w:pPr>
        <w:spacing w:before="0" w:after="0"/>
        <w:ind w:left="120"/>
        <w:jc w:val="center"/>
      </w:pPr>
      <w:r>
        <w:rPr>
          <w:rFonts w:ascii="Times New Roman" w:hAnsi="Times New Roman"/>
          <w:b w:val="false"/>
          <w:i w:val="false"/>
          <w:color w:val="000000"/>
          <w:sz w:val="21"/>
        </w:rPr>
        <w:t>[Editorial change: IAC Supplement 6/14/23]</w:t>
      </w:r>
    </w:p>
    <w:p>
      <w:pPr>
        <w:spacing w:before="0" w:after="0"/>
        <w:ind w:left="120"/>
        <w:jc w:val="center"/>
      </w:pPr>
      <w:r>
        <w:rPr>
          <w:rFonts w:ascii="Times New Roman" w:hAnsi="Times New Roman"/>
          <w:b w:val="false"/>
          <w:i w:val="false"/>
          <w:color w:val="000000"/>
          <w:sz w:val="21"/>
        </w:rPr>
        <w:t>[Editorial change: IAC Supplement 12/25/24]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4.pdf" Type="http://schemas.openxmlformats.org/officeDocument/2006/relationships/hyperlink" Id="rId5"/>
    <Relationship TargetMode="External" Target="https://www.legis.iowa.gov/docs/ico/chapter/22.pdf" Type="http://schemas.openxmlformats.org/officeDocument/2006/relationships/hyperlink" Id="rId6"/>
    <Relationship TargetMode="External" Target="https://www.legis.iowa.gov/docs/iac/rule/817.6.7.pdf" Type="http://schemas.openxmlformats.org/officeDocument/2006/relationships/hyperlink" Id="rId7"/>
    <Relationship TargetMode="External" Target="https://www.legis.iowa.gov/docs/ico/chapter/22.7.pdf" Type="http://schemas.openxmlformats.org/officeDocument/2006/relationships/hyperlink" Id="rId8"/>
    <Relationship TargetMode="External" Target="https://www.legis.iowa.gov/docs/ico/chapter/22.7.pdf" Type="http://schemas.openxmlformats.org/officeDocument/2006/relationships/hyperlink" Id="rId9"/>
    <Relationship TargetMode="External" Target="https://www.legis.iowa.gov/docs/ico/chapter/17A.pdf" Type="http://schemas.openxmlformats.org/officeDocument/2006/relationships/hyperlink" Id="rId10"/>
    <Relationship TargetMode="External" Target="https://www.legis.iowa.gov/docs/ico/chapter/22.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