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11</w:t>
      </w:r>
    </w:p>
    <w:p>
      <w:pPr>
        <w:spacing w:before="0" w:after="0"/>
        <w:ind w:left="120"/>
        <w:jc w:val="center"/>
      </w:pPr>
      <w:r>
        <w:rPr>
          <w:rFonts w:ascii="Times New Roman" w:hAnsi="Times New Roman"/>
          <w:b w:val="false"/>
          <w:i w:val="false"/>
          <w:color w:val="000000"/>
          <w:sz w:val="21"/>
        </w:rPr>
        <w:t>IOWA READING CORPS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817—11.1</w:t>
      </w:r>
      <w:r>
        <w:rPr>
          <w:rFonts w:ascii="Times New Roman" w:hAnsi="Times New Roman"/>
          <w:b/>
          <w:i w:val="false"/>
          <w:color w:val="000000"/>
          <w:sz w:val="22"/>
        </w:rPr>
        <w:t xml:space="preserve">(15H) </w:t>
      </w:r>
      <w:r>
        <w:rPr>
          <w:rFonts w:ascii="Times New Roman" w:hAnsi="Times New Roman"/>
          <w:b/>
          <w:i w:val="false"/>
          <w:color w:val="000000"/>
          <w:sz w:val="22"/>
        </w:rPr>
        <w:t xml:space="preserve">Purpose and program description. </w:t>
      </w:r>
      <w:r>
        <w:rPr>
          <w:rFonts w:ascii="Times New Roman" w:hAnsi="Times New Roman"/>
          <w:b w:val="false"/>
          <w:i w:val="false"/>
          <w:color w:val="000000"/>
          <w:sz w:val="22"/>
        </w:rPr>
        <w:t xml:space="preserve">The purpose of the Iowa reading corps program is to provide Iowa reading corps AmeriCorps members with a data-based, problem-solving model of literacy instruction to use in tutoring students from prekindergarten to third grade who are not proficient in reading or who are at risk of becoming not proficient in reading. The program shall use models of early literacy instruction reviewed and approved by the Iowa department of education pursuant to Iowa Code section </w:t>
      </w:r>
      <w:hyperlink r:id="rId5">
        <w:r>
          <w:rPr>
            <w:rStyle w:val="Hyperlink"/>
            <w:rFonts w:ascii="Times New Roman" w:hAnsi="Times New Roman"/>
            <w:b w:val="false"/>
            <w:i w:val="false"/>
            <w:color w:val="000000"/>
            <w:sz w:val="22"/>
          </w:rPr>
          <w:t>256.9(53)</w:t>
        </w:r>
      </w:hyperlink>
      <w:r>
        <w:rPr>
          <w:rFonts w:ascii="Times New Roman" w:hAnsi="Times New Roman"/>
          <w:b w:val="false"/>
          <w:i/>
          <w:color w:val="000000"/>
          <w:sz w:val="22"/>
        </w:rPr>
        <w:t>“c.”</w:t>
      </w:r>
      <w:r>
        <w:rPr>
          <w:rFonts w:ascii="Times New Roman" w:hAnsi="Times New Roman"/>
          <w:b w:val="false"/>
          <w:i w:val="false"/>
          <w:color w:val="000000"/>
          <w:sz w:val="22"/>
        </w:rPr>
        <w:t xml:space="preserve"> Iowa reading corps grants will give support, on a competitive basis, to AmeriCorps programs in Iowa that utilize AmeriCorps funding awarded by the commission and other funds received in the community programs account established pursuant to </w:t>
      </w:r>
      <w:r>
        <w:rPr>
          <w:rFonts w:ascii="Times New Roman" w:hAnsi="Times New Roman"/>
          <w:b w:val="false"/>
          <w:i w:val="false"/>
          <w:color w:val="000000"/>
          <w:sz w:val="22"/>
        </w:rPr>
        <w:t>2015 Iowa Acts, House File 488</w:t>
      </w:r>
      <w:r>
        <w:rPr>
          <w:rFonts w:ascii="Times New Roman" w:hAnsi="Times New Roman"/>
          <w:b w:val="false"/>
          <w:i w:val="false"/>
          <w:color w:val="000000"/>
          <w:sz w:val="22"/>
        </w:rPr>
        <w:t xml:space="preserve">, section 2. The program is established under the authority of the Iowa commission on volunteer service in collaboration with the Iowa department of education pursuant to Iowa Code chapter </w:t>
      </w:r>
      <w:hyperlink r:id="rId6">
        <w:r>
          <w:rPr>
            <w:rStyle w:val="Hyperlink"/>
            <w:rFonts w:ascii="Times New Roman" w:hAnsi="Times New Roman"/>
            <w:b w:val="false"/>
            <w:i w:val="false"/>
            <w:color w:val="000000"/>
            <w:sz w:val="22"/>
          </w:rPr>
          <w:t>15H</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2015 Iowa Acts, House File 488</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w:t>
      </w:r>
      <w:r>
        <w:rPr>
          <w:rFonts w:ascii="Times New Roman" w:hAnsi="Times New Roman"/>
          <w:b w:val="false"/>
          <w:i w:val="false"/>
          <w:color w:val="000000"/>
          <w:sz w:val="22"/>
        </w:rPr>
        <w:t>2015 Iowa Acts, House File 488</w:t>
      </w:r>
      <w:r>
        <w:rPr>
          <w:rFonts w:ascii="Times New Roman" w:hAnsi="Times New Roman"/>
          <w:b w:val="false"/>
          <w:i w:val="false"/>
          <w:color w:val="000000"/>
          <w:sz w:val="22"/>
        </w:rPr>
        <w:t>, section 2.</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2238C</w:t>
      </w:r>
      <w:r>
        <w:rPr>
          <w:rFonts w:ascii="Times New Roman" w:hAnsi="Times New Roman"/>
          <w:b w:val="false"/>
          <w:i w:val="false"/>
          <w:color w:val="000000"/>
          <w:sz w:val="16"/>
        </w:rPr>
        <w:t>, IAB 11/11/15, effective 12/16/15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817—11.2</w:t>
      </w:r>
      <w:r>
        <w:rPr>
          <w:rFonts w:ascii="Times New Roman" w:hAnsi="Times New Roman"/>
          <w:b/>
          <w:i w:val="false"/>
          <w:color w:val="000000"/>
          <w:sz w:val="22"/>
        </w:rPr>
        <w:t xml:space="preserve">(15H) </w:t>
      </w:r>
      <w:r>
        <w:rPr>
          <w:rFonts w:ascii="Times New Roman" w:hAnsi="Times New Roman"/>
          <w:b/>
          <w:i w:val="false"/>
          <w:color w:val="000000"/>
          <w:sz w:val="22"/>
        </w:rPr>
        <w:t xml:space="preserve">Applications. </w:t>
      </w:r>
      <w:r>
        <w:rPr>
          <w:rFonts w:ascii="Times New Roman" w:hAnsi="Times New Roman"/>
          <w:b w:val="false"/>
          <w:i w:val="false"/>
          <w:color w:val="000000"/>
          <w:sz w:val="22"/>
        </w:rPr>
        <w:t xml:space="preserve">Appropriate forms and applications for grants and eligibility preapproval are available from the commission at </w:t>
      </w:r>
      <w:hyperlink r:id="rId7">
        <w:r>
          <w:rPr>
            <w:rStyle w:val="Hyperlink"/>
            <w:rFonts w:ascii="Times New Roman" w:hAnsi="Times New Roman"/>
            <w:b w:val="false"/>
            <w:i w:val="false"/>
            <w:color w:val="000000"/>
            <w:sz w:val="22"/>
            <w:u w:val="single"/>
          </w:rPr>
          <w:t>www.volunteeriowa.org</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xml:space="preserve">This rule is intended to implement </w:t>
      </w:r>
      <w:r>
        <w:rPr>
          <w:rFonts w:ascii="Times New Roman" w:hAnsi="Times New Roman"/>
          <w:b w:val="false"/>
          <w:i w:val="false"/>
          <w:color w:val="000000"/>
          <w:sz w:val="22"/>
        </w:rPr>
        <w:t>2015 Iowa Acts, House File 488</w:t>
      </w:r>
      <w:r>
        <w:rPr>
          <w:rFonts w:ascii="Times New Roman" w:hAnsi="Times New Roman"/>
          <w:b w:val="false"/>
          <w:i w:val="false"/>
          <w:color w:val="000000"/>
          <w:sz w:val="22"/>
        </w:rPr>
        <w:t>, section 2.</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2238C</w:t>
      </w:r>
      <w:r>
        <w:rPr>
          <w:rFonts w:ascii="Times New Roman" w:hAnsi="Times New Roman"/>
          <w:b w:val="false"/>
          <w:i w:val="false"/>
          <w:color w:val="000000"/>
          <w:sz w:val="16"/>
        </w:rPr>
        <w:t>, IAB 11/11/15, effective 12/16/15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817—11.3</w:t>
      </w:r>
      <w:r>
        <w:rPr>
          <w:rFonts w:ascii="Times New Roman" w:hAnsi="Times New Roman"/>
          <w:b/>
          <w:i w:val="false"/>
          <w:color w:val="000000"/>
          <w:sz w:val="22"/>
        </w:rPr>
        <w:t xml:space="preserve">(15H) </w:t>
      </w:r>
      <w:r>
        <w:rPr>
          <w:rFonts w:ascii="Times New Roman" w:hAnsi="Times New Roman"/>
          <w:b/>
          <w:i w:val="false"/>
          <w:color w:val="000000"/>
          <w:sz w:val="22"/>
        </w:rPr>
        <w:t xml:space="preserve">Program eligibility criteria. </w:t>
      </w:r>
      <w:r>
        <w:rPr>
          <w:rFonts w:ascii="Times New Roman" w:hAnsi="Times New Roman"/>
          <w:b w:val="false"/>
          <w:i w:val="false"/>
          <w:color w:val="000000"/>
          <w:sz w:val="22"/>
        </w:rPr>
        <w:t xml:space="preserve">The commission and department of education will establish criteria consistent with federal regulations to ensure the alignment of the program with the goals outlined in Iowa Code section </w:t>
      </w:r>
      <w:hyperlink r:id="rId8">
        <w:r>
          <w:rPr>
            <w:rStyle w:val="Hyperlink"/>
            <w:rFonts w:ascii="Times New Roman" w:hAnsi="Times New Roman"/>
            <w:b w:val="false"/>
            <w:i w:val="false"/>
            <w:color w:val="000000"/>
            <w:sz w:val="22"/>
          </w:rPr>
          <w:t>256.9(53)</w:t>
        </w:r>
      </w:hyperlink>
      <w:r>
        <w:rPr>
          <w:rFonts w:ascii="Times New Roman" w:hAnsi="Times New Roman"/>
          <w:b w:val="false"/>
          <w:i/>
          <w:color w:val="000000"/>
          <w:sz w:val="22"/>
        </w:rPr>
        <w:t>“c”</w:t>
      </w:r>
      <w:r>
        <w:rPr>
          <w:rFonts w:ascii="Times New Roman" w:hAnsi="Times New Roman"/>
          <w:b w:val="false"/>
          <w:i w:val="false"/>
          <w:color w:val="000000"/>
          <w:sz w:val="22"/>
        </w:rPr>
        <w:t xml:space="preserve"> and </w:t>
      </w:r>
      <w:hyperlink r:id="rId9">
        <w:r>
          <w:rPr>
            <w:rStyle w:val="Hyperlink"/>
            <w:rFonts w:ascii="Times New Roman" w:hAnsi="Times New Roman"/>
            <w:b w:val="false"/>
            <w:i w:val="false"/>
            <w:color w:val="000000"/>
            <w:sz w:val="22"/>
          </w:rPr>
          <w:t>281—Chapter 62</w:t>
        </w:r>
      </w:hyperlink>
      <w:r>
        <w:rPr>
          <w:rFonts w:ascii="Times New Roman" w:hAnsi="Times New Roman"/>
          <w:b w:val="false"/>
          <w:i w:val="false"/>
          <w:color w:val="000000"/>
          <w:sz w:val="22"/>
        </w:rPr>
        <w:t xml:space="preserve">. Any program determined eligible for inclusion as an Iowa reading corps program must ensure that it meets standards outlined by the department of education in </w:t>
      </w:r>
      <w:hyperlink r:id="rId10">
        <w:r>
          <w:rPr>
            <w:rStyle w:val="Hyperlink"/>
            <w:rFonts w:ascii="Times New Roman" w:hAnsi="Times New Roman"/>
            <w:b w:val="false"/>
            <w:i w:val="false"/>
            <w:color w:val="000000"/>
            <w:sz w:val="22"/>
          </w:rPr>
          <w:t>281—Chapter 62</w:t>
        </w:r>
      </w:hyperlink>
      <w:r>
        <w:rPr>
          <w:rFonts w:ascii="Times New Roman" w:hAnsi="Times New Roman"/>
          <w:b w:val="false"/>
          <w:i w:val="false"/>
          <w:color w:val="000000"/>
          <w:sz w:val="22"/>
        </w:rPr>
        <w:t xml:space="preserve">, with the exception of existing early literacy-focused and single school district AmeriCorps programs operating in the 2014-2015 school year. These existing programs, upon request to the commission, will be granted conditional eligibility for inclusion for the 2015-2016 school year to provide adequate time for the programs to be evaluated and to make adjustments deemed necessary for the alignment of the program with the goals outlined in </w:t>
      </w:r>
      <w:r>
        <w:rPr>
          <w:rFonts w:ascii="Times New Roman" w:hAnsi="Times New Roman"/>
          <w:b w:val="false"/>
          <w:i w:val="false"/>
          <w:color w:val="000000"/>
          <w:sz w:val="22"/>
        </w:rPr>
        <w:t>2015 Iowa Acts, House File 488</w:t>
      </w:r>
      <w:r>
        <w:rPr>
          <w:rFonts w:ascii="Times New Roman" w:hAnsi="Times New Roman"/>
          <w:b w:val="false"/>
          <w:i w:val="false"/>
          <w:color w:val="000000"/>
          <w:sz w:val="22"/>
        </w:rPr>
        <w:t>, section 2. Once a program is granted conditional eligibility, the program will be considered preapproved and eligible for the 2016-2017 application. In subsequent years, all applicants must be preapproved by the department of education as eligible to compete for Iowa reading corps grants.</w:t>
      </w:r>
    </w:p>
    <w:p>
      <w:pPr>
        <w:spacing w:before="0" w:after="0"/>
        <w:ind w:left="120"/>
        <w:jc w:val="both"/>
      </w:pPr>
      <w:r>
        <w:rPr>
          <w:rFonts w:ascii="Times New Roman" w:hAnsi="Times New Roman"/>
          <w:b w:val="false"/>
          <w:i w:val="false"/>
          <w:color w:val="000000"/>
          <w:sz w:val="22"/>
        </w:rPr>
        <w:t xml:space="preserve">This rule is intended to implement </w:t>
      </w:r>
      <w:r>
        <w:rPr>
          <w:rFonts w:ascii="Times New Roman" w:hAnsi="Times New Roman"/>
          <w:b w:val="false"/>
          <w:i w:val="false"/>
          <w:color w:val="000000"/>
          <w:sz w:val="22"/>
        </w:rPr>
        <w:t>2015 Iowa Acts, House File 488</w:t>
      </w:r>
      <w:r>
        <w:rPr>
          <w:rFonts w:ascii="Times New Roman" w:hAnsi="Times New Roman"/>
          <w:b w:val="false"/>
          <w:i w:val="false"/>
          <w:color w:val="000000"/>
          <w:sz w:val="22"/>
        </w:rPr>
        <w:t>, section 2.</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2238C</w:t>
      </w:r>
      <w:r>
        <w:rPr>
          <w:rFonts w:ascii="Times New Roman" w:hAnsi="Times New Roman"/>
          <w:b w:val="false"/>
          <w:i w:val="false"/>
          <w:color w:val="000000"/>
          <w:sz w:val="16"/>
        </w:rPr>
        <w:t>, IAB 11/11/15, effective 12/16/15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817—11.4</w:t>
      </w:r>
      <w:r>
        <w:rPr>
          <w:rFonts w:ascii="Times New Roman" w:hAnsi="Times New Roman"/>
          <w:b/>
          <w:i w:val="false"/>
          <w:color w:val="000000"/>
          <w:sz w:val="22"/>
        </w:rPr>
        <w:t xml:space="preserve">(15H) </w:t>
      </w:r>
      <w:r>
        <w:rPr>
          <w:rFonts w:ascii="Times New Roman" w:hAnsi="Times New Roman"/>
          <w:b/>
          <w:i w:val="false"/>
          <w:color w:val="000000"/>
          <w:sz w:val="22"/>
        </w:rPr>
        <w:t xml:space="preserve">Grant criteria. </w:t>
      </w:r>
      <w:r>
        <w:rPr>
          <w:rFonts w:ascii="Times New Roman" w:hAnsi="Times New Roman"/>
          <w:b w:val="false"/>
          <w:i w:val="false"/>
          <w:color w:val="000000"/>
          <w:sz w:val="22"/>
        </w:rPr>
        <w:t xml:space="preserve">Beginning with the 2016-2017 program year applications, the commission will establish criteria and funding priorities consistent with federal regulations and the goals of the department of education and the commission. Preapproval of applicant eligibility shall be sought as outlined in </w:t>
      </w:r>
      <w:hyperlink r:id="rId11">
        <w:r>
          <w:rPr>
            <w:rStyle w:val="Hyperlink"/>
            <w:rFonts w:ascii="Times New Roman" w:hAnsi="Times New Roman"/>
            <w:b w:val="false"/>
            <w:i w:val="false"/>
            <w:color w:val="000000"/>
            <w:sz w:val="22"/>
          </w:rPr>
          <w:t>817—11.3</w:t>
        </w:r>
      </w:hyperlink>
      <w:r>
        <w:rPr>
          <w:rFonts w:ascii="Times New Roman" w:hAnsi="Times New Roman"/>
          <w:b w:val="false"/>
          <w:i w:val="false"/>
          <w:color w:val="000000"/>
          <w:sz w:val="22"/>
        </w:rPr>
        <w:t>(15H). Applicants will be considered either in conjunction with the regular AmeriCorps grant process or, in certain cases, through special competitions outlined and announced by the commission. At a minimum, the criteria will include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Goals and objectives of the project;</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Qualifications of the applicant to manage funds;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For new and returning applicants, letters of local support verifying coordination and community cooperation;</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Total project budget;</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For previous grantees, evidence of ability to submit timely and accurate reports;</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Description and time line of planned activities;</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Description of the applicant organization, including staffing pattern;</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Documentation of the applicant’s ability to provide the required local match;</w:t>
      </w:r>
    </w:p>
    <w:p>
      <w:pPr>
        <w:spacing w:before="0" w:after="0"/>
        <w:ind w:left="120"/>
        <w:jc w:val="both"/>
      </w:pPr>
      <w:r>
        <w:rPr>
          <w:rFonts w:ascii="Times New Roman" w:hAnsi="Times New Roman"/>
          <w:b w:val="false"/>
          <w:i w:val="false"/>
          <w:color w:val="000000"/>
          <w:sz w:val="22"/>
        </w:rPr>
        <w:t>     9.   </w:t>
      </w:r>
      <w:r>
        <w:rPr>
          <w:rFonts w:ascii="Times New Roman" w:hAnsi="Times New Roman"/>
          <w:b w:val="false"/>
          <w:i w:val="false"/>
          <w:color w:val="000000"/>
          <w:sz w:val="22"/>
        </w:rPr>
        <w:t>Program performance and evaluation results and outcomes; and</w:t>
      </w:r>
    </w:p>
    <w:p>
      <w:pPr>
        <w:spacing w:before="0" w:after="0"/>
        <w:ind w:left="120"/>
        <w:jc w:val="both"/>
      </w:pPr>
      <w:r>
        <w:rPr>
          <w:rFonts w:ascii="Times New Roman" w:hAnsi="Times New Roman"/>
          <w:b w:val="false"/>
          <w:i w:val="false"/>
          <w:color w:val="000000"/>
          <w:sz w:val="22"/>
        </w:rPr>
        <w:t>     10.   </w:t>
      </w:r>
      <w:r>
        <w:rPr>
          <w:rFonts w:ascii="Times New Roman" w:hAnsi="Times New Roman"/>
          <w:b w:val="false"/>
          <w:i w:val="false"/>
          <w:color w:val="000000"/>
          <w:sz w:val="22"/>
        </w:rPr>
        <w:t>Demonstration of the project’s alignment with literacy program goals and strategies developed by the department of education, the local school districts served, and the Iowa reading research center.</w:t>
      </w:r>
    </w:p>
    <w:p>
      <w:pPr>
        <w:spacing w:before="0" w:after="0"/>
        <w:ind w:left="120"/>
        <w:jc w:val="both"/>
      </w:pPr>
      <w:r>
        <w:rPr>
          <w:rFonts w:ascii="Times New Roman" w:hAnsi="Times New Roman"/>
          <w:b w:val="false"/>
          <w:i w:val="false"/>
          <w:color w:val="000000"/>
          <w:sz w:val="22"/>
        </w:rPr>
        <w:t xml:space="preserve">This rule is intended to implement </w:t>
      </w:r>
      <w:r>
        <w:rPr>
          <w:rFonts w:ascii="Times New Roman" w:hAnsi="Times New Roman"/>
          <w:b w:val="false"/>
          <w:i w:val="false"/>
          <w:color w:val="000000"/>
          <w:sz w:val="22"/>
        </w:rPr>
        <w:t>2015 Iowa Acts, House File 488</w:t>
      </w:r>
      <w:r>
        <w:rPr>
          <w:rFonts w:ascii="Times New Roman" w:hAnsi="Times New Roman"/>
          <w:b w:val="false"/>
          <w:i w:val="false"/>
          <w:color w:val="000000"/>
          <w:sz w:val="22"/>
        </w:rPr>
        <w:t>, section 2.</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2238C</w:t>
      </w:r>
      <w:r>
        <w:rPr>
          <w:rFonts w:ascii="Times New Roman" w:hAnsi="Times New Roman"/>
          <w:b w:val="false"/>
          <w:i w:val="false"/>
          <w:color w:val="000000"/>
          <w:sz w:val="16"/>
        </w:rPr>
        <w:t>, IAB 11/11/15, effective 12/16/15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817—11.5</w:t>
      </w:r>
      <w:r>
        <w:rPr>
          <w:rFonts w:ascii="Times New Roman" w:hAnsi="Times New Roman"/>
          <w:b/>
          <w:i w:val="false"/>
          <w:color w:val="000000"/>
          <w:sz w:val="22"/>
        </w:rPr>
        <w:t xml:space="preserve">(15H) </w:t>
      </w:r>
      <w:r>
        <w:rPr>
          <w:rFonts w:ascii="Times New Roman" w:hAnsi="Times New Roman"/>
          <w:b/>
          <w:i w:val="false"/>
          <w:color w:val="000000"/>
          <w:sz w:val="22"/>
        </w:rPr>
        <w:t xml:space="preserve">Designated funds. </w:t>
      </w:r>
      <w:r>
        <w:rPr>
          <w:rFonts w:ascii="Times New Roman" w:hAnsi="Times New Roman"/>
          <w:b w:val="false"/>
          <w:i w:val="false"/>
          <w:color w:val="000000"/>
          <w:sz w:val="22"/>
        </w:rPr>
        <w:t>A percentage of grant funding may be designated by the commission to address specific underserved or high-need geographic areas or schools. In advance of the competition, the commission may also set a minimum amount available for reading corps grants financed with state, federal and private funds, as well as any minimum or maximum funding amounts for individual applicants based on program need and the service territory of the communities described, and past performance of use of funds, if applicable. The commission may also give priority to programs that serve underserved or high-need areas or schools.</w:t>
      </w:r>
    </w:p>
    <w:p>
      <w:pPr>
        <w:spacing w:before="0" w:after="0"/>
        <w:ind w:left="120"/>
        <w:jc w:val="both"/>
      </w:pPr>
      <w:r>
        <w:rPr>
          <w:rFonts w:ascii="Times New Roman" w:hAnsi="Times New Roman"/>
          <w:b w:val="false"/>
          <w:i w:val="false"/>
          <w:color w:val="000000"/>
          <w:sz w:val="22"/>
        </w:rPr>
        <w:t xml:space="preserve">This rule is intended to implement </w:t>
      </w:r>
      <w:r>
        <w:rPr>
          <w:rFonts w:ascii="Times New Roman" w:hAnsi="Times New Roman"/>
          <w:b w:val="false"/>
          <w:i w:val="false"/>
          <w:color w:val="000000"/>
          <w:sz w:val="22"/>
        </w:rPr>
        <w:t>2015 Iowa Acts, House File 488</w:t>
      </w:r>
      <w:r>
        <w:rPr>
          <w:rFonts w:ascii="Times New Roman" w:hAnsi="Times New Roman"/>
          <w:b w:val="false"/>
          <w:i w:val="false"/>
          <w:color w:val="000000"/>
          <w:sz w:val="22"/>
        </w:rPr>
        <w:t>, section 2.</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2238C</w:t>
      </w:r>
      <w:r>
        <w:rPr>
          <w:rFonts w:ascii="Times New Roman" w:hAnsi="Times New Roman"/>
          <w:b w:val="false"/>
          <w:i w:val="false"/>
          <w:color w:val="000000"/>
          <w:sz w:val="16"/>
        </w:rPr>
        <w:t>, IAB 11/11/15, effective 12/16/15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817—11.6</w:t>
      </w:r>
      <w:r>
        <w:rPr>
          <w:rFonts w:ascii="Times New Roman" w:hAnsi="Times New Roman"/>
          <w:b/>
          <w:i w:val="false"/>
          <w:color w:val="000000"/>
          <w:sz w:val="22"/>
        </w:rPr>
        <w:t xml:space="preserve">(15H) </w:t>
      </w:r>
      <w:r>
        <w:rPr>
          <w:rFonts w:ascii="Times New Roman" w:hAnsi="Times New Roman"/>
          <w:b/>
          <w:i w:val="false"/>
          <w:color w:val="000000"/>
          <w:sz w:val="22"/>
        </w:rPr>
        <w:t xml:space="preserve">Application process for new grants.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11.6(1)</w:t>
      </w:r>
      <w:r>
        <w:rPr>
          <w:rFonts w:ascii="Times New Roman" w:hAnsi="Times New Roman"/>
          <w:b w:val="false"/>
          <w:i w:val="false"/>
          <w:color w:val="000000"/>
          <w:sz w:val="22"/>
        </w:rPr>
        <w:t> </w:t>
      </w:r>
      <w:r>
        <w:rPr>
          <w:rFonts w:ascii="Times New Roman" w:hAnsi="Times New Roman"/>
          <w:b w:val="false"/>
          <w:i/>
          <w:color w:val="000000"/>
          <w:sz w:val="22"/>
        </w:rPr>
        <w:t xml:space="preserve">Request for application. </w:t>
      </w:r>
      <w:r>
        <w:rPr>
          <w:rFonts w:ascii="Times New Roman" w:hAnsi="Times New Roman"/>
          <w:b w:val="false"/>
          <w:i w:val="false"/>
          <w:color w:val="000000"/>
          <w:sz w:val="22"/>
        </w:rPr>
        <w:t>The commission shall issue a request for applications, which shall include program criteria and application forms for the applicable fiscal year.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11.6(2)</w:t>
      </w:r>
      <w:r>
        <w:rPr>
          <w:rFonts w:ascii="Times New Roman" w:hAnsi="Times New Roman"/>
          <w:b w:val="false"/>
          <w:i w:val="false"/>
          <w:color w:val="000000"/>
          <w:sz w:val="22"/>
        </w:rPr>
        <w:t> </w:t>
      </w:r>
      <w:r>
        <w:rPr>
          <w:rFonts w:ascii="Times New Roman" w:hAnsi="Times New Roman"/>
          <w:b w:val="false"/>
          <w:i/>
          <w:color w:val="000000"/>
          <w:sz w:val="22"/>
        </w:rPr>
        <w:t xml:space="preserve">Application time frame. </w:t>
      </w:r>
      <w:r>
        <w:rPr>
          <w:rFonts w:ascii="Times New Roman" w:hAnsi="Times New Roman"/>
          <w:b w:val="false"/>
          <w:i w:val="false"/>
          <w:color w:val="000000"/>
          <w:sz w:val="22"/>
        </w:rPr>
        <w:t xml:space="preserve">The applicant shall submit the completed application to the commission according to the time line identified in the request for application.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11.6(3)</w:t>
      </w:r>
      <w:r>
        <w:rPr>
          <w:rFonts w:ascii="Times New Roman" w:hAnsi="Times New Roman"/>
          <w:b w:val="false"/>
          <w:i w:val="false"/>
          <w:color w:val="000000"/>
          <w:sz w:val="22"/>
        </w:rPr>
        <w:t> </w:t>
      </w:r>
      <w:r>
        <w:rPr>
          <w:rFonts w:ascii="Times New Roman" w:hAnsi="Times New Roman"/>
          <w:b w:val="false"/>
          <w:i/>
          <w:color w:val="000000"/>
          <w:sz w:val="22"/>
        </w:rPr>
        <w:t xml:space="preserve">Application review process. </w:t>
      </w:r>
      <w:r>
        <w:rPr>
          <w:rFonts w:ascii="Times New Roman" w:hAnsi="Times New Roman"/>
          <w:b w:val="false"/>
          <w:i w:val="false"/>
          <w:color w:val="000000"/>
          <w:sz w:val="22"/>
        </w:rPr>
        <w:t xml:space="preserve">Applications will be reviewed by a grant review committee, which is composed of members of the commission grant review committee, individuals with expertise in youth programming, and citizens of Iowa. Using the criteria in rule </w:t>
      </w:r>
      <w:hyperlink r:id="rId12">
        <w:r>
          <w:rPr>
            <w:rStyle w:val="Hyperlink"/>
            <w:rFonts w:ascii="Times New Roman" w:hAnsi="Times New Roman"/>
            <w:b w:val="false"/>
            <w:i w:val="false"/>
            <w:color w:val="000000"/>
            <w:sz w:val="22"/>
          </w:rPr>
          <w:t>817—11.4</w:t>
        </w:r>
      </w:hyperlink>
      <w:r>
        <w:rPr>
          <w:rFonts w:ascii="Times New Roman" w:hAnsi="Times New Roman"/>
          <w:b w:val="false"/>
          <w:i w:val="false"/>
          <w:color w:val="000000"/>
          <w:sz w:val="22"/>
        </w:rPr>
        <w:t>(15H), the committee will review the applications based on the appropriateness and merit of the projects.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11.6(4)</w:t>
      </w:r>
      <w:r>
        <w:rPr>
          <w:rFonts w:ascii="Times New Roman" w:hAnsi="Times New Roman"/>
          <w:b w:val="false"/>
          <w:i w:val="false"/>
          <w:color w:val="000000"/>
          <w:sz w:val="22"/>
        </w:rPr>
        <w:t> </w:t>
      </w:r>
      <w:r>
        <w:rPr>
          <w:rFonts w:ascii="Times New Roman" w:hAnsi="Times New Roman"/>
          <w:b w:val="false"/>
          <w:i/>
          <w:color w:val="000000"/>
          <w:sz w:val="22"/>
        </w:rPr>
        <w:t xml:space="preserve">Notification. </w:t>
      </w:r>
      <w:r>
        <w:rPr>
          <w:rFonts w:ascii="Times New Roman" w:hAnsi="Times New Roman"/>
          <w:b w:val="false"/>
          <w:i w:val="false"/>
          <w:color w:val="000000"/>
          <w:sz w:val="22"/>
        </w:rPr>
        <w:t>Applicants whose projects have been selected for funding shall be notified by the commission.</w:t>
      </w:r>
    </w:p>
    <w:p>
      <w:pPr>
        <w:spacing w:before="0" w:after="0"/>
        <w:ind w:left="120"/>
        <w:jc w:val="both"/>
      </w:pPr>
      <w:r>
        <w:rPr>
          <w:rFonts w:ascii="Times New Roman" w:hAnsi="Times New Roman"/>
          <w:b w:val="false"/>
          <w:i w:val="false"/>
          <w:color w:val="000000"/>
          <w:sz w:val="22"/>
        </w:rPr>
        <w:t xml:space="preserve">This rule is intended to implement </w:t>
      </w:r>
      <w:r>
        <w:rPr>
          <w:rFonts w:ascii="Times New Roman" w:hAnsi="Times New Roman"/>
          <w:b w:val="false"/>
          <w:i w:val="false"/>
          <w:color w:val="000000"/>
          <w:sz w:val="22"/>
        </w:rPr>
        <w:t>2015 Iowa Acts, House File 488</w:t>
      </w:r>
      <w:r>
        <w:rPr>
          <w:rFonts w:ascii="Times New Roman" w:hAnsi="Times New Roman"/>
          <w:b w:val="false"/>
          <w:i w:val="false"/>
          <w:color w:val="000000"/>
          <w:sz w:val="22"/>
        </w:rPr>
        <w:t>, section 2.</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2238C</w:t>
      </w:r>
      <w:r>
        <w:rPr>
          <w:rFonts w:ascii="Times New Roman" w:hAnsi="Times New Roman"/>
          <w:b w:val="false"/>
          <w:i w:val="false"/>
          <w:color w:val="000000"/>
          <w:sz w:val="16"/>
        </w:rPr>
        <w:t>, IAB 11/11/15, effective 12/16/15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817—11.7</w:t>
      </w:r>
      <w:r>
        <w:rPr>
          <w:rFonts w:ascii="Times New Roman" w:hAnsi="Times New Roman"/>
          <w:b/>
          <w:i w:val="false"/>
          <w:color w:val="000000"/>
          <w:sz w:val="22"/>
        </w:rPr>
        <w:t xml:space="preserve">(15H) </w:t>
      </w:r>
      <w:r>
        <w:rPr>
          <w:rFonts w:ascii="Times New Roman" w:hAnsi="Times New Roman"/>
          <w:b/>
          <w:i w:val="false"/>
          <w:color w:val="000000"/>
          <w:sz w:val="22"/>
        </w:rPr>
        <w:t xml:space="preserve">Administration of grants.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11.7(1)</w:t>
      </w:r>
      <w:r>
        <w:rPr>
          <w:rFonts w:ascii="Times New Roman" w:hAnsi="Times New Roman"/>
          <w:b w:val="false"/>
          <w:i w:val="false"/>
          <w:color w:val="000000"/>
          <w:sz w:val="22"/>
        </w:rPr>
        <w:t> </w:t>
      </w:r>
      <w:r>
        <w:rPr>
          <w:rFonts w:ascii="Times New Roman" w:hAnsi="Times New Roman"/>
          <w:b w:val="false"/>
          <w:i/>
          <w:color w:val="000000"/>
          <w:sz w:val="22"/>
        </w:rPr>
        <w:t xml:space="preserve">Contracts. </w:t>
      </w:r>
      <w:r>
        <w:rPr>
          <w:rFonts w:ascii="Times New Roman" w:hAnsi="Times New Roman"/>
          <w:b w:val="false"/>
          <w:i w:val="false"/>
          <w:color w:val="000000"/>
          <w:sz w:val="22"/>
        </w:rPr>
        <w:t>The commission shall prepare contractual agreements for the grants.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contract shall be executed by the executive director of the commission and the duly authorized official of the project.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contract shall include due dates and the process for the submission of the progress reports and financial reports.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11.7(2)</w:t>
      </w:r>
      <w:r>
        <w:rPr>
          <w:rFonts w:ascii="Times New Roman" w:hAnsi="Times New Roman"/>
          <w:b w:val="false"/>
          <w:i w:val="false"/>
          <w:color w:val="000000"/>
          <w:sz w:val="22"/>
        </w:rPr>
        <w:t> </w:t>
      </w:r>
      <w:r>
        <w:rPr>
          <w:rFonts w:ascii="Times New Roman" w:hAnsi="Times New Roman"/>
          <w:b w:val="false"/>
          <w:i/>
          <w:color w:val="000000"/>
          <w:sz w:val="22"/>
        </w:rPr>
        <w:t xml:space="preserve">Reporting. </w:t>
      </w:r>
      <w:r>
        <w:rPr>
          <w:rFonts w:ascii="Times New Roman" w:hAnsi="Times New Roman"/>
          <w:b w:val="false"/>
          <w:i w:val="false"/>
          <w:color w:val="000000"/>
          <w:sz w:val="22"/>
        </w:rPr>
        <w:t>All grant recipients shall submit progress and financial reports to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11.7(3)</w:t>
      </w:r>
      <w:r>
        <w:rPr>
          <w:rFonts w:ascii="Times New Roman" w:hAnsi="Times New Roman"/>
          <w:b w:val="false"/>
          <w:i w:val="false"/>
          <w:color w:val="000000"/>
          <w:sz w:val="22"/>
        </w:rPr>
        <w:t> </w:t>
      </w:r>
      <w:r>
        <w:rPr>
          <w:rFonts w:ascii="Times New Roman" w:hAnsi="Times New Roman"/>
          <w:b w:val="false"/>
          <w:i/>
          <w:color w:val="000000"/>
          <w:sz w:val="22"/>
        </w:rPr>
        <w:t xml:space="preserve">Availability of funds. </w:t>
      </w:r>
      <w:r>
        <w:rPr>
          <w:rFonts w:ascii="Times New Roman" w:hAnsi="Times New Roman"/>
          <w:b w:val="false"/>
          <w:i w:val="false"/>
          <w:color w:val="000000"/>
          <w:sz w:val="22"/>
        </w:rPr>
        <w:t>A separate request for applications will be issued only when there are available funds for this program. To the extent allowable by federal regulations, Iowa reading corps will always be an acceptable program model for annual AmeriCorps grants and will be listed in the annual AmeriCorps program request for applications.</w:t>
      </w:r>
    </w:p>
    <w:p>
      <w:pPr>
        <w:spacing w:before="0" w:after="0"/>
        <w:ind w:left="120"/>
        <w:jc w:val="both"/>
      </w:pPr>
      <w:r>
        <w:rPr>
          <w:rFonts w:ascii="Times New Roman" w:hAnsi="Times New Roman"/>
          <w:b w:val="false"/>
          <w:i w:val="false"/>
          <w:color w:val="000000"/>
          <w:sz w:val="22"/>
        </w:rPr>
        <w:t xml:space="preserve">This rule is intended to implement </w:t>
      </w:r>
      <w:r>
        <w:rPr>
          <w:rFonts w:ascii="Times New Roman" w:hAnsi="Times New Roman"/>
          <w:b w:val="false"/>
          <w:i w:val="false"/>
          <w:color w:val="000000"/>
          <w:sz w:val="22"/>
        </w:rPr>
        <w:t>2015 Iowa Acts, House File 488</w:t>
      </w:r>
      <w:r>
        <w:rPr>
          <w:rFonts w:ascii="Times New Roman" w:hAnsi="Times New Roman"/>
          <w:b w:val="false"/>
          <w:i w:val="false"/>
          <w:color w:val="000000"/>
          <w:sz w:val="22"/>
        </w:rPr>
        <w:t>, section 2.</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2238C</w:t>
      </w:r>
      <w:r>
        <w:rPr>
          <w:rFonts w:ascii="Times New Roman" w:hAnsi="Times New Roman"/>
          <w:b w:val="false"/>
          <w:i w:val="false"/>
          <w:color w:val="000000"/>
          <w:sz w:val="16"/>
        </w:rPr>
        <w:t>, IAB 11/11/15, effective 12/16/15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817—11.8</w:t>
      </w:r>
      <w:r>
        <w:rPr>
          <w:rFonts w:ascii="Times New Roman" w:hAnsi="Times New Roman"/>
          <w:b/>
          <w:i w:val="false"/>
          <w:color w:val="000000"/>
          <w:sz w:val="22"/>
        </w:rPr>
        <w:t xml:space="preserve">(15H) </w:t>
      </w:r>
      <w:r>
        <w:rPr>
          <w:rFonts w:ascii="Times New Roman" w:hAnsi="Times New Roman"/>
          <w:b/>
          <w:i w:val="false"/>
          <w:color w:val="000000"/>
          <w:sz w:val="22"/>
        </w:rPr>
        <w:t xml:space="preserve">Reversion of funds. </w:t>
      </w:r>
      <w:r>
        <w:rPr>
          <w:rFonts w:ascii="Times New Roman" w:hAnsi="Times New Roman"/>
          <w:b w:val="false"/>
          <w:i w:val="false"/>
          <w:color w:val="000000"/>
          <w:sz w:val="22"/>
        </w:rPr>
        <w:t xml:space="preserve">Grant funds not expended by the project closeout date shall revert to the commission and the community programs account established pursuant to </w:t>
      </w:r>
      <w:r>
        <w:rPr>
          <w:rFonts w:ascii="Times New Roman" w:hAnsi="Times New Roman"/>
          <w:b w:val="false"/>
          <w:i w:val="false"/>
          <w:color w:val="000000"/>
          <w:sz w:val="22"/>
        </w:rPr>
        <w:t>2015 Iowa Acts, House File 488</w:t>
      </w:r>
      <w:r>
        <w:rPr>
          <w:rFonts w:ascii="Times New Roman" w:hAnsi="Times New Roman"/>
          <w:b w:val="false"/>
          <w:i w:val="false"/>
          <w:color w:val="000000"/>
          <w:sz w:val="22"/>
        </w:rPr>
        <w:t>, section 2.</w:t>
      </w:r>
    </w:p>
    <w:p>
      <w:pPr>
        <w:spacing w:before="0" w:after="0"/>
        <w:ind w:left="120"/>
        <w:jc w:val="both"/>
      </w:pPr>
      <w:r>
        <w:rPr>
          <w:rFonts w:ascii="Times New Roman" w:hAnsi="Times New Roman"/>
          <w:b w:val="false"/>
          <w:i w:val="false"/>
          <w:color w:val="000000"/>
          <w:sz w:val="22"/>
        </w:rPr>
        <w:t xml:space="preserve">This rule is intended to implement </w:t>
      </w:r>
      <w:r>
        <w:rPr>
          <w:rFonts w:ascii="Times New Roman" w:hAnsi="Times New Roman"/>
          <w:b w:val="false"/>
          <w:i w:val="false"/>
          <w:color w:val="000000"/>
          <w:sz w:val="22"/>
        </w:rPr>
        <w:t>2015 Iowa Acts, House File 488</w:t>
      </w:r>
      <w:r>
        <w:rPr>
          <w:rFonts w:ascii="Times New Roman" w:hAnsi="Times New Roman"/>
          <w:b w:val="false"/>
          <w:i w:val="false"/>
          <w:color w:val="000000"/>
          <w:sz w:val="22"/>
        </w:rPr>
        <w:t>, section 2.</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2238C</w:t>
      </w:r>
      <w:r>
        <w:rPr>
          <w:rFonts w:ascii="Times New Roman" w:hAnsi="Times New Roman"/>
          <w:b w:val="false"/>
          <w:i w:val="false"/>
          <w:color w:val="000000"/>
          <w:sz w:val="16"/>
        </w:rPr>
        <w:t>, IAB 11/11/15, effective 12/16/15</w:t>
      </w:r>
      <w:r>
        <w:rPr>
          <w:rFonts w:ascii="Times New Roman" w:hAnsi="Times New Roman"/>
          <w:b w:val="false"/>
          <w:i w:val="false"/>
          <w:color w:val="000000"/>
          <w:sz w:val="16"/>
        </w:rPr>
        <w:t>]</w:t>
      </w:r>
    </w:p>
    <w:p>
      <w:pPr>
        <w:spacing w:before="0" w:after="0"/>
        <w:ind w:left="120"/>
        <w:jc w:val="center"/>
      </w:pPr>
      <w:r>
        <w:rPr>
          <w:rFonts w:ascii="Times New Roman" w:hAnsi="Times New Roman"/>
          <w:b w:val="false"/>
          <w:i w:val="false"/>
          <w:color w:val="000000"/>
          <w:sz w:val="21"/>
        </w:rPr>
        <w:t>[Filed ARC 2238C</w:t>
      </w:r>
      <w:r>
        <w:rPr>
          <w:rFonts w:ascii="Times New Roman" w:hAnsi="Times New Roman"/>
          <w:b w:val="false"/>
          <w:i w:val="false"/>
          <w:color w:val="000000"/>
          <w:sz w:val="21"/>
        </w:rPr>
        <w:t xml:space="preserve"> (Notice ARC 2107C, IAB 8/19/15)</w:t>
      </w:r>
      <w:r>
        <w:rPr>
          <w:rFonts w:ascii="Times New Roman" w:hAnsi="Times New Roman"/>
          <w:b w:val="false"/>
          <w:i w:val="false"/>
          <w:color w:val="000000"/>
          <w:sz w:val="21"/>
        </w:rPr>
        <w:t>, IAB 11/11/15, effective 12/16/15]</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256.9.pdf" Type="http://schemas.openxmlformats.org/officeDocument/2006/relationships/hyperlink" Id="rId5"/>
    <Relationship TargetMode="External" Target="https://www.legis.iowa.gov/docs/ico/chapter/15H.pdf" Type="http://schemas.openxmlformats.org/officeDocument/2006/relationships/hyperlink" Id="rId6"/>
    <Relationship TargetMode="External" Target="www.volunteeriowa.org" Type="http://schemas.openxmlformats.org/officeDocument/2006/relationships/hyperlink" Id="rId7"/>
    <Relationship TargetMode="External" Target="https://www.legis.iowa.gov/docs/ico/chapter/256.9.pdf" Type="http://schemas.openxmlformats.org/officeDocument/2006/relationships/hyperlink" Id="rId8"/>
    <Relationship TargetMode="External" Target="https://www.legis.iowa.gov/docs/iac/chapter/281.62.pdf" Type="http://schemas.openxmlformats.org/officeDocument/2006/relationships/hyperlink" Id="rId9"/>
    <Relationship TargetMode="External" Target="https://www.legis.iowa.gov/docs/iac/chapter/281.62.pdf" Type="http://schemas.openxmlformats.org/officeDocument/2006/relationships/hyperlink" Id="rId10"/>
    <Relationship TargetMode="External" Target="https://www.legis.iowa.gov/docs/iac/rule/817.11.3.pdf" Type="http://schemas.openxmlformats.org/officeDocument/2006/relationships/hyperlink" Id="rId11"/>
    <Relationship TargetMode="External" Target="https://www.legis.iowa.gov/docs/iac/rule/817.11.4.pdf" Type="http://schemas.openxmlformats.org/officeDocument/2006/relationships/hyperlink" Id="rId12"/>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