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OPERATION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817—1.1</w:t>
      </w:r>
      <w:r>
        <w:rPr>
          <w:rFonts w:ascii="Times New Roman" w:hAnsi="Times New Roman"/>
          <w:b/>
          <w:i w:val="false"/>
          <w:color w:val="000000"/>
          <w:sz w:val="22"/>
        </w:rPr>
        <w:t xml:space="preserve">(ExecOrd48)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describes the organization and operation of the Iowa commission on volunteer service (herein generally referred to as the commission), including the offices where and the means by which any interested person may obtain information and make submittals or requests.</w:t>
      </w:r>
    </w:p>
    <w:p>
      <w:pPr>
        <w:spacing w:before="0" w:after="0"/>
        <w:ind w:left="120"/>
        <w:jc w:val="both"/>
      </w:pPr>
      <w:r>
        <w:rPr>
          <w:rFonts w:ascii="Times New Roman" w:hAnsi="Times New Roman"/>
          <w:b/>
          <w:i w:val="false"/>
          <w:color w:val="000000"/>
          <w:sz w:val="22"/>
        </w:rPr>
        <w:t>817—1.2</w:t>
      </w:r>
      <w:r>
        <w:rPr>
          <w:rFonts w:ascii="Times New Roman" w:hAnsi="Times New Roman"/>
          <w:b/>
          <w:i w:val="false"/>
          <w:color w:val="000000"/>
          <w:sz w:val="22"/>
        </w:rPr>
        <w:t xml:space="preserve">(ExecOrd48) </w:t>
      </w:r>
      <w:r>
        <w:rPr>
          <w:rFonts w:ascii="Times New Roman" w:hAnsi="Times New Roman"/>
          <w:b/>
          <w:i w:val="false"/>
          <w:color w:val="000000"/>
          <w:sz w:val="22"/>
        </w:rPr>
        <w:t xml:space="preserve">Organization and operation.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commission is located at 321 East 12th Street, Des Moines, Iowa 50319; telephone 1.800.308.5987. Office hours are 8 a.m. to 4:30 p.m., Monday to Friday. Offices are closed on Saturdays and Sundays and on official state holidays designated in accordance with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The commission. </w:t>
      </w:r>
      <w:r>
        <w:rPr>
          <w:rFonts w:ascii="Times New Roman" w:hAnsi="Times New Roman"/>
          <w:b w:val="false"/>
          <w:i w:val="false"/>
          <w:color w:val="000000"/>
          <w:sz w:val="22"/>
        </w:rPr>
        <w:t>The commission consists of 15 to 25 voting members and functions under the leadership of a chairperson. Each member, appointed in accordance with federal and state guidelines, serves a three-year term scheduled so that no more than one-third of the appointments will expire in the same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 xml:space="preserve">The commission shall meet at regular intervals at least four times annually. Additional meetings may be called at the discretion of the chairperson. All meetings are open to the public in accordance with the open meetings law, Iowa Code chapter </w:t>
      </w:r>
      <w:hyperlink r:id="rId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Chairperson. </w:t>
      </w:r>
      <w:r>
        <w:rPr>
          <w:rFonts w:ascii="Times New Roman" w:hAnsi="Times New Roman"/>
          <w:b w:val="false"/>
          <w:i w:val="false"/>
          <w:color w:val="000000"/>
          <w:sz w:val="22"/>
        </w:rPr>
        <w:t>The chairperson of the commission presides at each meeting. Members of the public may be recognized at the discretion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Public notice. </w:t>
      </w:r>
      <w:r>
        <w:rPr>
          <w:rFonts w:ascii="Times New Roman" w:hAnsi="Times New Roman"/>
          <w:b w:val="false"/>
          <w:i w:val="false"/>
          <w:color w:val="000000"/>
          <w:sz w:val="22"/>
        </w:rPr>
        <w:t>The commission shall give advance public notice of the time and place of each commission meeting. The notice will include the specific date, time, and place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Quorum. </w:t>
      </w:r>
      <w:r>
        <w:rPr>
          <w:rFonts w:ascii="Times New Roman" w:hAnsi="Times New Roman"/>
          <w:b w:val="false"/>
          <w:i w:val="false"/>
          <w:color w:val="000000"/>
          <w:sz w:val="22"/>
        </w:rPr>
        <w:t>A quorum shall consist of half of the current voting members of the commission plus one. When a quorum is present, a position is carried by an affirmative vote of the majority of commission members eligible to vote. A commissioner is eligible to vote in person, by telephone hook-up, or by proxy executed in writing to the chairperson prior to the meeting. A proxy shall be valid only for one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Any commissioner who does not attend three or more consecutive regular meetings or who attends less than one-half of the regular meetings within a 12-month period shall be considered to have resigned from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Resignations. </w:t>
      </w:r>
      <w:r>
        <w:rPr>
          <w:rFonts w:ascii="Times New Roman" w:hAnsi="Times New Roman"/>
          <w:b w:val="false"/>
          <w:i w:val="false"/>
          <w:color w:val="000000"/>
          <w:sz w:val="22"/>
        </w:rPr>
        <w:t>A commissioner wishing to resign may do so by submitting a letter of resignation to the governor and sending a copy to the commission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Public presentations. </w:t>
      </w:r>
      <w:r>
        <w:rPr>
          <w:rFonts w:ascii="Times New Roman" w:hAnsi="Times New Roman"/>
          <w:b w:val="false"/>
          <w:i w:val="false"/>
          <w:color w:val="000000"/>
          <w:sz w:val="22"/>
        </w:rPr>
        <w:t>A specific time is set aside at each meeting for the public to address the board. As a general guideline, a limit of five minutes will be allocated for each of these presentations. If a large group seeks to address a specific issue, the chairperson may limit the number of speakers. To address the board, individuals are encouraged to notify the commission staff at least 72 hours in advance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color w:val="000000"/>
          <w:sz w:val="22"/>
        </w:rPr>
        <w:t xml:space="preserve">Minutes. </w:t>
      </w:r>
      <w:r>
        <w:rPr>
          <w:rFonts w:ascii="Times New Roman" w:hAnsi="Times New Roman"/>
          <w:b w:val="false"/>
          <w:i w:val="false"/>
          <w:color w:val="000000"/>
          <w:sz w:val="22"/>
        </w:rPr>
        <w:t>The minutes of all commission meetings shall be recorded and kept in the commission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The records of all of the business transacted and other information with respect to the operation of the commission are public records and shall be kept on file in the commission office. All records, except statements specified as confidential under these rules, are available for inspection during regular business hours. (Copies of up to ten pages of records may be obtained without charge. The cost of reproduction will be charged for pages in excess of ten. The charge may be waived by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w:t>
      </w:r>
      <w:r>
        <w:rPr>
          <w:rFonts w:ascii="Times New Roman" w:hAnsi="Times New Roman"/>
          <w:b w:val="false"/>
          <w:i w:val="false"/>
          <w:color w:val="000000"/>
          <w:sz w:val="22"/>
        </w:rPr>
        <w:t> </w:t>
      </w:r>
      <w:r>
        <w:rPr>
          <w:rFonts w:ascii="Times New Roman" w:hAnsi="Times New Roman"/>
          <w:b w:val="false"/>
          <w:i/>
          <w:color w:val="000000"/>
          <w:sz w:val="22"/>
        </w:rPr>
        <w:t xml:space="preserve">Submission and requests. </w:t>
      </w:r>
      <w:r>
        <w:rPr>
          <w:rFonts w:ascii="Times New Roman" w:hAnsi="Times New Roman"/>
          <w:b w:val="false"/>
          <w:i w:val="false"/>
          <w:color w:val="000000"/>
          <w:sz w:val="22"/>
        </w:rPr>
        <w:t xml:space="preserve">Inquiries, submissions, petitions, and other requests directed to the commission shall be made by letter addressed to the executive director at the address listed in subrule </w:t>
      </w:r>
      <w:hyperlink r:id="rId6">
        <w:r>
          <w:rPr>
            <w:rStyle w:val="Hyperlink"/>
            <w:rFonts w:ascii="Times New Roman" w:hAnsi="Times New Roman"/>
            <w:b w:val="false"/>
            <w:i w:val="false"/>
            <w:color w:val="000000"/>
            <w:sz w:val="22"/>
          </w:rPr>
          <w:t>1.2(1)</w:t>
        </w:r>
      </w:hyperlink>
      <w:r>
        <w:rPr>
          <w:rFonts w:ascii="Times New Roman" w:hAnsi="Times New Roman"/>
          <w:b w:val="false"/>
          <w:i w:val="false"/>
          <w:color w:val="000000"/>
          <w:sz w:val="22"/>
        </w:rPr>
        <w:t>. Any person may petition for a written or oral hearing before the commission. All requests for a hearing must be in writing and state the specific subject to be discussed and the reasons why a personal appearance is necessary if one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w:t>
      </w:r>
      <w:r>
        <w:rPr>
          <w:rFonts w:ascii="Times New Roman" w:hAnsi="Times New Roman"/>
          <w:b w:val="false"/>
          <w:i w:val="false"/>
          <w:color w:val="000000"/>
          <w:sz w:val="22"/>
        </w:rPr>
        <w:t> </w:t>
      </w:r>
      <w:r>
        <w:rPr>
          <w:rFonts w:ascii="Times New Roman" w:hAnsi="Times New Roman"/>
          <w:b w:val="false"/>
          <w:i/>
          <w:color w:val="000000"/>
          <w:sz w:val="22"/>
        </w:rPr>
        <w:t xml:space="preserve">Committees. </w:t>
      </w:r>
      <w:r>
        <w:rPr>
          <w:rFonts w:ascii="Times New Roman" w:hAnsi="Times New Roman"/>
          <w:b w:val="false"/>
          <w:i w:val="false"/>
          <w:color w:val="000000"/>
          <w:sz w:val="22"/>
        </w:rPr>
        <w:t>The chairperson may establish committees including an executive committee that may conduct commission business as necessary between scheduled meetings. The chairperson may appoint commissioners and noncommissioners to serve on the committees. Noncommissioners shall not serve on the executive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5238C</w:t>
      </w:r>
      <w:r>
        <w:rPr>
          <w:rFonts w:ascii="Times New Roman" w:hAnsi="Times New Roman"/>
          <w:b w:val="false"/>
          <w:i w:val="false"/>
          <w:color w:val="000000"/>
          <w:sz w:val="16"/>
        </w:rPr>
        <w:t>, IAB 10/21/20, effective 11/25/20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p>
    <w:p>
      <w:pPr>
        <w:spacing w:before="0" w:after="0"/>
        <w:ind w:left="120"/>
        <w:jc w:val="left"/>
      </w:pPr>
      <w:r>
        <w:rPr>
          <w:rFonts w:ascii="Times New Roman" w:hAnsi="Times New Roman"/>
          <w:b w:val="false"/>
          <w:i w:val="false"/>
          <w:color w:val="000000"/>
          <w:sz w:val="22"/>
        </w:rPr>
        <w:t>Executive Order Number 48</w:t>
      </w:r>
    </w:p>
    <w:p>
      <w:pPr>
        <w:spacing w:before="0" w:after="0"/>
        <w:ind w:left="120"/>
        <w:jc w:val="left"/>
      </w:pP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11/16/94, Notice 6/22/94—published 12/7/94, effective 1/11/95]</w:t>
      </w:r>
    </w:p>
    <w:p>
      <w:pPr>
        <w:spacing w:before="0" w:after="0"/>
        <w:ind w:left="120"/>
        <w:jc w:val="center"/>
      </w:pPr>
      <w:r>
        <w:rPr>
          <w:rFonts w:ascii="Times New Roman" w:hAnsi="Times New Roman"/>
          <w:b w:val="false"/>
          <w:i w:val="false"/>
          <w:color w:val="000000"/>
          <w:sz w:val="21"/>
        </w:rPr>
        <w:t>[Filed 3/11/04, Notice 1/21/04—published 3/31/04, effective 5/5/04]</w:t>
      </w:r>
    </w:p>
    <w:p>
      <w:pPr>
        <w:spacing w:before="0" w:after="0"/>
        <w:ind w:left="120"/>
        <w:jc w:val="center"/>
      </w:pPr>
      <w:r>
        <w:rPr>
          <w:rFonts w:ascii="Times New Roman" w:hAnsi="Times New Roman"/>
          <w:b w:val="false"/>
          <w:i w:val="false"/>
          <w:color w:val="000000"/>
          <w:sz w:val="21"/>
        </w:rPr>
        <w:t>[Filed ARC 5238C</w:t>
      </w:r>
      <w:r>
        <w:rPr>
          <w:rFonts w:ascii="Times New Roman" w:hAnsi="Times New Roman"/>
          <w:b w:val="false"/>
          <w:i w:val="false"/>
          <w:color w:val="000000"/>
          <w:sz w:val="21"/>
        </w:rPr>
        <w:t xml:space="preserve"> (Notice ARC 5086C, IAB 7/15/20)</w:t>
      </w:r>
      <w:r>
        <w:rPr>
          <w:rFonts w:ascii="Times New Roman" w:hAnsi="Times New Roman"/>
          <w:b w:val="false"/>
          <w:i w:val="false"/>
          <w:color w:val="000000"/>
          <w:sz w:val="21"/>
        </w:rPr>
        <w:t>, IAB 10/21/20, effective 11/25/20]</w:t>
      </w:r>
    </w:p>
    <w:p>
      <w:pPr>
        <w:spacing w:before="0" w:after="0"/>
        <w:ind w:left="120"/>
        <w:jc w:val="center"/>
      </w:pPr>
      <w:r>
        <w:rPr>
          <w:rFonts w:ascii="Times New Roman" w:hAnsi="Times New Roman"/>
          <w:b w:val="false"/>
          <w:i w:val="false"/>
          <w:color w:val="000000"/>
          <w:sz w:val="21"/>
        </w:rPr>
        <w:t>[Editorial change: IAC Supplement 12/25/24]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pdf" Type="http://schemas.openxmlformats.org/officeDocument/2006/relationships/hyperlink" Id="rId5"/>
    <Relationship TargetMode="External" Target="https://www.legis.iowa.gov/docs/iac/rule/817.1.2.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