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19</w:t>
      </w:r>
    </w:p>
    <w:p>
      <w:pPr>
        <w:spacing w:before="0" w:after="0"/>
        <w:ind w:left="120"/>
        <w:jc w:val="center"/>
      </w:pPr>
      <w:r>
        <w:rPr>
          <w:rFonts w:ascii="Times New Roman" w:hAnsi="Times New Roman"/>
          <w:b w:val="false"/>
          <w:i w:val="false"/>
          <w:color w:val="000000"/>
          <w:sz w:val="21"/>
        </w:rPr>
        <w:t>WAIVER RULES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781—19.1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 </w:t>
      </w:r>
      <w:r>
        <w:rPr>
          <w:rFonts w:ascii="Times New Roman" w:hAnsi="Times New Roman"/>
          <w:b w:val="false"/>
          <w:i w:val="false"/>
          <w:color w:val="000000"/>
          <w:sz w:val="22"/>
        </w:rPr>
        <w:t xml:space="preserve">For purposes of this chapter, a “waiver” means action by the agency which suspends in whole or in part the requirements or provisions of a rule as applied to an identified person on the basis of the particular circumstances of that person.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781—19.2</w:t>
      </w:r>
      <w:r>
        <w:rPr>
          <w:rFonts w:ascii="Times New Roman" w:hAnsi="Times New Roman"/>
          <w:b/>
          <w:i w:val="false"/>
          <w:color w:val="000000"/>
          <w:sz w:val="22"/>
        </w:rPr>
        <w:t xml:space="preserve">(17A) </w:t>
      </w:r>
      <w:r>
        <w:rPr>
          <w:rFonts w:ascii="Times New Roman" w:hAnsi="Times New Roman"/>
          <w:b/>
          <w:i w:val="false"/>
          <w:color w:val="000000"/>
          <w:sz w:val="22"/>
        </w:rPr>
        <w:t xml:space="preserve">Scope of chapter. </w:t>
      </w:r>
      <w:r>
        <w:rPr>
          <w:rFonts w:ascii="Times New Roman" w:hAnsi="Times New Roman"/>
          <w:b w:val="false"/>
          <w:i w:val="false"/>
          <w:color w:val="000000"/>
          <w:sz w:val="22"/>
        </w:rPr>
        <w:t>This chapter outlines generally applicable standards and a uniform process for the granting of individual waivers from rules adopted by the agency in situations where no other more specifically applicable law provides for waivers. To the extent another more specific provision of law governs the issuance of a waiver from a particular rule, the more specific provision shall supersede this chapter with respect to any waiver from that rule.</w:t>
      </w:r>
    </w:p>
    <w:p>
      <w:pPr>
        <w:spacing w:before="210" w:after="0"/>
        <w:ind w:left="120"/>
        <w:jc w:val="both"/>
      </w:pPr>
      <w:r>
        <w:rPr>
          <w:rFonts w:ascii="Times New Roman" w:hAnsi="Times New Roman"/>
          <w:b/>
          <w:i w:val="false"/>
          <w:color w:val="000000"/>
          <w:sz w:val="22"/>
        </w:rPr>
        <w:t>781—19.3</w:t>
      </w:r>
      <w:r>
        <w:rPr>
          <w:rFonts w:ascii="Times New Roman" w:hAnsi="Times New Roman"/>
          <w:b/>
          <w:i w:val="false"/>
          <w:color w:val="000000"/>
          <w:sz w:val="22"/>
        </w:rPr>
        <w:t xml:space="preserve">(17A) </w:t>
      </w:r>
      <w:r>
        <w:rPr>
          <w:rFonts w:ascii="Times New Roman" w:hAnsi="Times New Roman"/>
          <w:b/>
          <w:i w:val="false"/>
          <w:color w:val="000000"/>
          <w:sz w:val="22"/>
        </w:rPr>
        <w:t xml:space="preserve">Applicability. </w:t>
      </w:r>
      <w:r>
        <w:rPr>
          <w:rFonts w:ascii="Times New Roman" w:hAnsi="Times New Roman"/>
          <w:b w:val="false"/>
          <w:i w:val="false"/>
          <w:color w:val="000000"/>
          <w:sz w:val="22"/>
        </w:rPr>
        <w:t>The agency may grant a waiver from a rule only if the agency has jurisdiction over the rule and the requested waiver is consistent with applicable statutes, constitutional provisions, or other provisions of law. The agency may not waive requirements created or duties imposed by statute.</w:t>
      </w:r>
    </w:p>
    <w:p>
      <w:pPr>
        <w:spacing w:before="0" w:after="0"/>
        <w:ind w:left="120"/>
        <w:jc w:val="both"/>
      </w:pPr>
      <w:r>
        <w:rPr>
          <w:rFonts w:ascii="Times New Roman" w:hAnsi="Times New Roman"/>
          <w:b/>
          <w:i w:val="false"/>
          <w:color w:val="000000"/>
          <w:sz w:val="22"/>
        </w:rPr>
        <w:t>781—19.4</w:t>
      </w:r>
      <w:r>
        <w:rPr>
          <w:rFonts w:ascii="Times New Roman" w:hAnsi="Times New Roman"/>
          <w:b/>
          <w:i w:val="false"/>
          <w:color w:val="000000"/>
          <w:sz w:val="22"/>
        </w:rPr>
        <w:t xml:space="preserve">(17A) </w:t>
      </w:r>
      <w:r>
        <w:rPr>
          <w:rFonts w:ascii="Times New Roman" w:hAnsi="Times New Roman"/>
          <w:b/>
          <w:i w:val="false"/>
          <w:color w:val="000000"/>
          <w:sz w:val="22"/>
        </w:rPr>
        <w:t xml:space="preserve">Criteria for waiver. </w:t>
      </w:r>
      <w:r>
        <w:rPr>
          <w:rFonts w:ascii="Times New Roman" w:hAnsi="Times New Roman"/>
          <w:b w:val="false"/>
          <w:i w:val="false"/>
          <w:color w:val="000000"/>
          <w:sz w:val="22"/>
        </w:rPr>
        <w:t xml:space="preserve">In response to a petition completed pursuant to </w:t>
      </w:r>
      <w:hyperlink r:id="rId5">
        <w:r>
          <w:rPr>
            <w:rStyle w:val="Hyperlink"/>
            <w:rFonts w:ascii="Times New Roman" w:hAnsi="Times New Roman"/>
            <w:b w:val="false"/>
            <w:i w:val="false"/>
            <w:color w:val="000000"/>
            <w:sz w:val="22"/>
          </w:rPr>
          <w:t>rule 781—19.6(17A)</w:t>
        </w:r>
      </w:hyperlink>
      <w:r>
        <w:rPr>
          <w:rFonts w:ascii="Times New Roman" w:hAnsi="Times New Roman"/>
          <w:b w:val="false"/>
          <w:i w:val="false"/>
          <w:color w:val="000000"/>
          <w:sz w:val="22"/>
        </w:rPr>
        <w:t>, the agency may in its sole discretion issue an order waiving in whole or in part the requirements of a rule if the agency finds, based on clear and convincing evidence, all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application of the rule would impose an undue hardship on the person for whom the waiver is requested;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waiver from the requirements of the rule in the specific case would not prejudice the substantial legal rights of any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provisions of the rule subject to the petition for a waiver are not specifically mandated by statute or another provision of law;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Substantially equal protection of public health, safety, and welfare will be afforded by a means other than that prescribed in the particular rule for which the waiver is requested.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781—19.5</w:t>
      </w:r>
      <w:r>
        <w:rPr>
          <w:rFonts w:ascii="Times New Roman" w:hAnsi="Times New Roman"/>
          <w:b/>
          <w:i w:val="false"/>
          <w:color w:val="000000"/>
          <w:sz w:val="22"/>
        </w:rPr>
        <w:t xml:space="preserve">(17A) </w:t>
      </w:r>
      <w:r>
        <w:rPr>
          <w:rFonts w:ascii="Times New Roman" w:hAnsi="Times New Roman"/>
          <w:b/>
          <w:i w:val="false"/>
          <w:color w:val="000000"/>
          <w:sz w:val="22"/>
        </w:rPr>
        <w:t xml:space="preserve">Filing of petition. </w:t>
      </w:r>
      <w:r>
        <w:rPr>
          <w:rFonts w:ascii="Times New Roman" w:hAnsi="Times New Roman"/>
          <w:b w:val="false"/>
          <w:i w:val="false"/>
          <w:color w:val="000000"/>
          <w:sz w:val="22"/>
        </w:rPr>
        <w:t>A petition for a waiver must be submitted in writing to the agency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19.5(1)</w:t>
      </w:r>
      <w:r>
        <w:rPr>
          <w:rFonts w:ascii="Times New Roman" w:hAnsi="Times New Roman"/>
          <w:b w:val="false"/>
          <w:i w:val="false"/>
          <w:color w:val="000000"/>
          <w:sz w:val="22"/>
        </w:rPr>
        <w:t> </w:t>
      </w:r>
      <w:r>
        <w:rPr>
          <w:rFonts w:ascii="Times New Roman" w:hAnsi="Times New Roman"/>
          <w:b w:val="false"/>
          <w:i/>
          <w:color w:val="000000"/>
          <w:sz w:val="22"/>
        </w:rPr>
        <w:t xml:space="preserve">License or authorization application. </w:t>
      </w:r>
      <w:r>
        <w:rPr>
          <w:rFonts w:ascii="Times New Roman" w:hAnsi="Times New Roman"/>
          <w:b w:val="false"/>
          <w:i w:val="false"/>
          <w:color w:val="000000"/>
          <w:sz w:val="22"/>
        </w:rPr>
        <w:t>If the petition relates to a license or authorization application, the petition shall be made in accordance with the filing requirements for the license or authorization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19.5(2)</w:t>
      </w:r>
      <w:r>
        <w:rPr>
          <w:rFonts w:ascii="Times New Roman" w:hAnsi="Times New Roman"/>
          <w:b w:val="false"/>
          <w:i w:val="false"/>
          <w:color w:val="000000"/>
          <w:sz w:val="22"/>
        </w:rPr>
        <w:t> </w:t>
      </w:r>
      <w:r>
        <w:rPr>
          <w:rFonts w:ascii="Times New Roman" w:hAnsi="Times New Roman"/>
          <w:b w:val="false"/>
          <w:i/>
          <w:color w:val="000000"/>
          <w:sz w:val="22"/>
        </w:rPr>
        <w:t xml:space="preserve">Contested cases. </w:t>
      </w:r>
      <w:r>
        <w:rPr>
          <w:rFonts w:ascii="Times New Roman" w:hAnsi="Times New Roman"/>
          <w:b w:val="false"/>
          <w:i w:val="false"/>
          <w:color w:val="000000"/>
          <w:sz w:val="22"/>
        </w:rPr>
        <w:t>If the petition relates to a pending contested case, the petition shall be filed in the contested case proceeding, using the caption of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19.5(3)</w:t>
      </w:r>
      <w:r>
        <w:rPr>
          <w:rFonts w:ascii="Times New Roman" w:hAnsi="Times New Roman"/>
          <w:b w:val="false"/>
          <w:i w:val="false"/>
          <w:color w:val="000000"/>
          <w:sz w:val="22"/>
        </w:rPr>
        <w:t> </w:t>
      </w:r>
      <w:r>
        <w:rPr>
          <w:rFonts w:ascii="Times New Roman" w:hAnsi="Times New Roman"/>
          <w:b w:val="false"/>
          <w:i/>
          <w:color w:val="000000"/>
          <w:sz w:val="22"/>
        </w:rPr>
        <w:t xml:space="preserve">Other. </w:t>
      </w:r>
      <w:r>
        <w:rPr>
          <w:rFonts w:ascii="Times New Roman" w:hAnsi="Times New Roman"/>
          <w:b w:val="false"/>
          <w:i w:val="false"/>
          <w:color w:val="000000"/>
          <w:sz w:val="22"/>
        </w:rPr>
        <w:t>If the petition does not relate to a license application or a pending contested case, the petition shall be submitted in writing to the treasurer of state’s office.</w:t>
      </w:r>
    </w:p>
    <w:p>
      <w:pPr>
        <w:spacing w:before="0" w:after="0"/>
        <w:ind w:left="120"/>
        <w:jc w:val="both"/>
      </w:pPr>
      <w:r>
        <w:rPr>
          <w:rFonts w:ascii="Times New Roman" w:hAnsi="Times New Roman"/>
          <w:b/>
          <w:i w:val="false"/>
          <w:color w:val="000000"/>
          <w:sz w:val="22"/>
        </w:rPr>
        <w:t>781—19.6</w:t>
      </w:r>
      <w:r>
        <w:rPr>
          <w:rFonts w:ascii="Times New Roman" w:hAnsi="Times New Roman"/>
          <w:b/>
          <w:i w:val="false"/>
          <w:color w:val="000000"/>
          <w:sz w:val="22"/>
        </w:rPr>
        <w:t xml:space="preserve">(17A) </w:t>
      </w:r>
      <w:r>
        <w:rPr>
          <w:rFonts w:ascii="Times New Roman" w:hAnsi="Times New Roman"/>
          <w:b/>
          <w:i w:val="false"/>
          <w:color w:val="000000"/>
          <w:sz w:val="22"/>
        </w:rPr>
        <w:t xml:space="preserve">Content of petition. </w:t>
      </w:r>
      <w:r>
        <w:rPr>
          <w:rFonts w:ascii="Times New Roman" w:hAnsi="Times New Roman"/>
          <w:b w:val="false"/>
          <w:i w:val="false"/>
          <w:color w:val="000000"/>
          <w:sz w:val="22"/>
        </w:rPr>
        <w:t>A petition for waiver shall include the following information where applicable and known to the requester:</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name, address, and telephone number of the entity or person for whom a waiver is being requested and the case number of any related contested case.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and citation of the specific rule from which a waiver is requested.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specific waiver requested, including the precise scope and duration.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All relevant facts that the petitioner believes would justify a waiver under each of the four criteria described in </w:t>
      </w:r>
      <w:hyperlink r:id="rId6">
        <w:r>
          <w:rPr>
            <w:rStyle w:val="Hyperlink"/>
            <w:rFonts w:ascii="Times New Roman" w:hAnsi="Times New Roman"/>
            <w:b w:val="false"/>
            <w:i w:val="false"/>
            <w:color w:val="000000"/>
            <w:sz w:val="22"/>
          </w:rPr>
          <w:t>rule 781—19.4(17A)</w:t>
        </w:r>
      </w:hyperlink>
      <w:r>
        <w:rPr>
          <w:rFonts w:ascii="Times New Roman" w:hAnsi="Times New Roman"/>
          <w:b w:val="false"/>
          <w:i w:val="false"/>
          <w:color w:val="000000"/>
          <w:sz w:val="22"/>
        </w:rPr>
        <w:t>. This statement shall include a signed statement from the petitioner attesting to the accuracy of the facts provided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history of any prior contacts between the agency and the petitioner relating to the regulated activity, license, or authorization affected by the proposed waiver, including a description of each affected license or authorization held by the requester, any notices of violation, contested case hearings, or investigative reports relating to the regulated activity or license within the last five years.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All information known to the requester regarding the agency’s treatment of similar cases.</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The name, address, and telephone number of any public agency or political subdivision which also regulates the activity in question or which might be affected by the granting of a waiver.</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 address, and telephone number of any entity or person who would be adversely affected by the granting of a petition.</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Signed releases of information authorizing persons with knowledge regarding the request to furnish the agency with information relevant to the waiver.</w:t>
      </w:r>
    </w:p>
    <w:p>
      <w:pPr>
        <w:spacing w:before="210" w:after="0"/>
        <w:ind w:left="120"/>
        <w:jc w:val="both"/>
      </w:pPr>
      <w:r>
        <w:rPr>
          <w:rFonts w:ascii="Times New Roman" w:hAnsi="Times New Roman"/>
          <w:b/>
          <w:i w:val="false"/>
          <w:color w:val="000000"/>
          <w:sz w:val="22"/>
        </w:rPr>
        <w:t>781—19.7</w:t>
      </w:r>
      <w:r>
        <w:rPr>
          <w:rFonts w:ascii="Times New Roman" w:hAnsi="Times New Roman"/>
          <w:b/>
          <w:i w:val="false"/>
          <w:color w:val="000000"/>
          <w:sz w:val="22"/>
        </w:rPr>
        <w:t xml:space="preserve">(17A) </w:t>
      </w:r>
      <w:r>
        <w:rPr>
          <w:rFonts w:ascii="Times New Roman" w:hAnsi="Times New Roman"/>
          <w:b/>
          <w:i w:val="false"/>
          <w:color w:val="000000"/>
          <w:sz w:val="22"/>
        </w:rPr>
        <w:t xml:space="preserve">Additional information. </w:t>
      </w:r>
      <w:r>
        <w:rPr>
          <w:rFonts w:ascii="Times New Roman" w:hAnsi="Times New Roman"/>
          <w:b w:val="false"/>
          <w:i w:val="false"/>
          <w:color w:val="000000"/>
          <w:sz w:val="22"/>
        </w:rPr>
        <w:t>Prior to issuing an order granting or denying a waiver, the agency may request additional information from the petitioner relative to the petition and surrounding circumstances. If the petition was not filed in a contested case, the agency may, on its own motion or at the petitioner’s request, schedule a telephonic or in-person meeting between the petitioner and the treasurer of state, or their designees, a committee of the agency, or a quorum of the agency.</w:t>
      </w:r>
    </w:p>
    <w:p>
      <w:pPr>
        <w:spacing w:before="210" w:after="0"/>
        <w:ind w:left="120"/>
        <w:jc w:val="both"/>
      </w:pPr>
      <w:r>
        <w:rPr>
          <w:rFonts w:ascii="Times New Roman" w:hAnsi="Times New Roman"/>
          <w:b/>
          <w:i w:val="false"/>
          <w:color w:val="000000"/>
          <w:sz w:val="22"/>
        </w:rPr>
        <w:t>781—19.8</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w:t>
      </w:r>
      <w:r>
        <w:rPr>
          <w:rFonts w:ascii="Times New Roman" w:hAnsi="Times New Roman"/>
          <w:b w:val="false"/>
          <w:i w:val="false"/>
          <w:color w:val="000000"/>
          <w:sz w:val="22"/>
        </w:rPr>
        <w:t>The agency shall acknowledge a petition upon receipt. The agency shall ensure that, within 30 days of the receipt of the petition, notice of the pendency of the petition and a concise summary of its contents have been provided to all persons to whom notice is required by any provision of law. In addition, the agency may give notice to other persons. To accomplish this notice provision, the agency may require the petitioner to serve the notice on all persons to whom notice is required by any provision of law and provide a written statement to the agency attesting that notice has been provided.</w:t>
      </w:r>
    </w:p>
    <w:p>
      <w:pPr>
        <w:spacing w:before="210" w:after="0"/>
        <w:ind w:left="120"/>
        <w:jc w:val="both"/>
      </w:pPr>
      <w:r>
        <w:rPr>
          <w:rFonts w:ascii="Times New Roman" w:hAnsi="Times New Roman"/>
          <w:b/>
          <w:i w:val="false"/>
          <w:color w:val="000000"/>
          <w:sz w:val="22"/>
        </w:rPr>
        <w:t>781—19.9</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r>
        <w:rPr>
          <w:rFonts w:ascii="Times New Roman" w:hAnsi="Times New Roman"/>
          <w:b w:val="false"/>
          <w:i w:val="false"/>
          <w:color w:val="000000"/>
          <w:sz w:val="22"/>
        </w:rPr>
        <w:t xml:space="preserve">The provisions of Iowa Code sections </w:t>
      </w:r>
      <w:hyperlink r:id="rId7">
        <w:r>
          <w:rPr>
            <w:rStyle w:val="Hyperlink"/>
            <w:rFonts w:ascii="Times New Roman" w:hAnsi="Times New Roman"/>
            <w:b w:val="false"/>
            <w:i w:val="false"/>
            <w:color w:val="000000"/>
            <w:sz w:val="22"/>
          </w:rPr>
          <w:t>17A.10 to 17A.18A</w:t>
        </w:r>
      </w:hyperlink>
      <w:r>
        <w:rPr>
          <w:rFonts w:ascii="Times New Roman" w:hAnsi="Times New Roman"/>
          <w:b w:val="false"/>
          <w:i w:val="false"/>
          <w:color w:val="000000"/>
          <w:sz w:val="22"/>
        </w:rPr>
        <w:t xml:space="preserve"> regarding contested case hearings shall apply to any petition for a waiver filed within a contested case and shall otherwise apply to agency proceedings for a waiver only when the agency so provides by rule or order or is required to do so by statute.</w:t>
      </w:r>
    </w:p>
    <w:p>
      <w:pPr>
        <w:spacing w:before="0" w:after="0"/>
        <w:ind w:left="120"/>
        <w:jc w:val="both"/>
      </w:pPr>
      <w:r>
        <w:rPr>
          <w:rFonts w:ascii="Times New Roman" w:hAnsi="Times New Roman"/>
          <w:b/>
          <w:i w:val="false"/>
          <w:color w:val="000000"/>
          <w:sz w:val="22"/>
        </w:rPr>
        <w:t>781—19.10</w:t>
      </w:r>
      <w:r>
        <w:rPr>
          <w:rFonts w:ascii="Times New Roman" w:hAnsi="Times New Roman"/>
          <w:b/>
          <w:i w:val="false"/>
          <w:color w:val="000000"/>
          <w:sz w:val="22"/>
        </w:rPr>
        <w:t xml:space="preserve">(17A) </w:t>
      </w:r>
      <w:r>
        <w:rPr>
          <w:rFonts w:ascii="Times New Roman" w:hAnsi="Times New Roman"/>
          <w:b/>
          <w:i w:val="false"/>
          <w:color w:val="000000"/>
          <w:sz w:val="22"/>
        </w:rPr>
        <w:t xml:space="preserve">Ruling. </w:t>
      </w:r>
      <w:r>
        <w:rPr>
          <w:rFonts w:ascii="Times New Roman" w:hAnsi="Times New Roman"/>
          <w:b w:val="false"/>
          <w:i w:val="false"/>
          <w:color w:val="000000"/>
          <w:sz w:val="22"/>
        </w:rPr>
        <w:t>An order granting or denying a waiver shall be in writing and shall contain a reference to the particular person and rule or portion thereof to which the order pertains, a statement of the relevant facts and reasons upon which the action is based, and a description of the precise scope and duration of the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19.10(1)</w:t>
      </w:r>
      <w:r>
        <w:rPr>
          <w:rFonts w:ascii="Times New Roman" w:hAnsi="Times New Roman"/>
          <w:b w:val="false"/>
          <w:i w:val="false"/>
          <w:color w:val="000000"/>
          <w:sz w:val="22"/>
        </w:rPr>
        <w:t> </w:t>
      </w:r>
      <w:r>
        <w:rPr>
          <w:rFonts w:ascii="Times New Roman" w:hAnsi="Times New Roman"/>
          <w:b w:val="false"/>
          <w:i/>
          <w:color w:val="000000"/>
          <w:sz w:val="22"/>
        </w:rPr>
        <w:t xml:space="preserve">Agency discretion. </w:t>
      </w:r>
      <w:r>
        <w:rPr>
          <w:rFonts w:ascii="Times New Roman" w:hAnsi="Times New Roman"/>
          <w:b w:val="false"/>
          <w:i w:val="false"/>
          <w:color w:val="000000"/>
          <w:sz w:val="22"/>
        </w:rPr>
        <w:t>The final decision on whether the circumstances justify the granting of a waiver shall be made at the sole discretion of the agency, upon consideration of all relevant factors. Each petition for a waiver shall be evaluated by the agency based on the unique, individual circumstances set out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19.10(2)</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The burden of persuasion rests with the petitioner to demonstrate by clear and convincing evidence that the agency should exercise its discretion to grant a waiver from an agency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19.10(3)</w:t>
      </w:r>
      <w:r>
        <w:rPr>
          <w:rFonts w:ascii="Times New Roman" w:hAnsi="Times New Roman"/>
          <w:b w:val="false"/>
          <w:i w:val="false"/>
          <w:color w:val="000000"/>
          <w:sz w:val="22"/>
        </w:rPr>
        <w:t> </w:t>
      </w:r>
      <w:r>
        <w:rPr>
          <w:rFonts w:ascii="Times New Roman" w:hAnsi="Times New Roman"/>
          <w:b w:val="false"/>
          <w:i/>
          <w:color w:val="000000"/>
          <w:sz w:val="22"/>
        </w:rPr>
        <w:t xml:space="preserve">Narrowly tailored exception. </w:t>
      </w:r>
      <w:r>
        <w:rPr>
          <w:rFonts w:ascii="Times New Roman" w:hAnsi="Times New Roman"/>
          <w:b w:val="false"/>
          <w:i w:val="false"/>
          <w:color w:val="000000"/>
          <w:sz w:val="22"/>
        </w:rPr>
        <w:t>A waiver, if granted, shall provide the narrowest exception possible to the provisions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19.10(4)</w:t>
      </w:r>
      <w:r>
        <w:rPr>
          <w:rFonts w:ascii="Times New Roman" w:hAnsi="Times New Roman"/>
          <w:b w:val="false"/>
          <w:i w:val="false"/>
          <w:color w:val="000000"/>
          <w:sz w:val="22"/>
        </w:rPr>
        <w:t> </w:t>
      </w:r>
      <w:r>
        <w:rPr>
          <w:rFonts w:ascii="Times New Roman" w:hAnsi="Times New Roman"/>
          <w:b w:val="false"/>
          <w:i/>
          <w:color w:val="000000"/>
          <w:sz w:val="22"/>
        </w:rPr>
        <w:t xml:space="preserve">Administrative deadlines. </w:t>
      </w:r>
      <w:r>
        <w:rPr>
          <w:rFonts w:ascii="Times New Roman" w:hAnsi="Times New Roman"/>
          <w:b w:val="false"/>
          <w:i w:val="false"/>
          <w:color w:val="000000"/>
          <w:sz w:val="22"/>
        </w:rPr>
        <w:t>When the rule from which a waiver is sought establishes administrative deadlines, the agency shall balance the special individual circumstances of the petitioner with the overall goal of uniform treatment of all similarly situated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19.10(5)</w:t>
      </w:r>
      <w:r>
        <w:rPr>
          <w:rFonts w:ascii="Times New Roman" w:hAnsi="Times New Roman"/>
          <w:b w:val="false"/>
          <w:i w:val="false"/>
          <w:color w:val="000000"/>
          <w:sz w:val="22"/>
        </w:rPr>
        <w:t> </w:t>
      </w:r>
      <w:r>
        <w:rPr>
          <w:rFonts w:ascii="Times New Roman" w:hAnsi="Times New Roman"/>
          <w:b w:val="false"/>
          <w:i/>
          <w:color w:val="000000"/>
          <w:sz w:val="22"/>
        </w:rPr>
        <w:t xml:space="preserve">Conditions. </w:t>
      </w:r>
      <w:r>
        <w:rPr>
          <w:rFonts w:ascii="Times New Roman" w:hAnsi="Times New Roman"/>
          <w:b w:val="false"/>
          <w:i w:val="false"/>
          <w:color w:val="000000"/>
          <w:sz w:val="22"/>
        </w:rPr>
        <w:t>The agency may place any condition on a waiver that the agency finds desirable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19.10(6)</w:t>
      </w:r>
      <w:r>
        <w:rPr>
          <w:rFonts w:ascii="Times New Roman" w:hAnsi="Times New Roman"/>
          <w:b w:val="false"/>
          <w:i w:val="false"/>
          <w:color w:val="000000"/>
          <w:sz w:val="22"/>
        </w:rPr>
        <w:t> </w:t>
      </w:r>
      <w:r>
        <w:rPr>
          <w:rFonts w:ascii="Times New Roman" w:hAnsi="Times New Roman"/>
          <w:b w:val="false"/>
          <w:i/>
          <w:color w:val="000000"/>
          <w:sz w:val="22"/>
        </w:rPr>
        <w:t xml:space="preserve">Time period of waiver. </w:t>
      </w:r>
      <w:r>
        <w:rPr>
          <w:rFonts w:ascii="Times New Roman" w:hAnsi="Times New Roman"/>
          <w:b w:val="false"/>
          <w:i w:val="false"/>
          <w:color w:val="000000"/>
          <w:sz w:val="22"/>
        </w:rPr>
        <w:t>A waiver shall not be permanent unless the petitioner can show that a temporary waiver would be impracticable. If a temporary waiver is granted, there is no automatic right to renewal. At the sole discretion of the agency, a waiver may be renewed if the agency finds that grounds for a waiver continue to exist.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19.10(7)</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agency shall grant or deny a petition for a waiver as soon as practicable but, in any event, shall do so within 120 days of its receipt unless the petitioner agrees to a later date. However, if a petition is filed in a contested case, the agency shall grant or deny the petition no later than the time at which the final decision in that contested case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19.10(8)</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agency to grant or deny a petition within the required time period shall be deemed a denial of that petition by the agency. However, the agency shall remain responsible for issuing an order denying a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19.10(9)</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 </w:t>
      </w:r>
      <w:r>
        <w:rPr>
          <w:rFonts w:ascii="Times New Roman" w:hAnsi="Times New Roman"/>
          <w:b w:val="false"/>
          <w:i w:val="false"/>
          <w:color w:val="000000"/>
          <w:sz w:val="22"/>
        </w:rPr>
        <w:t>Within seven days of its issuance, any order issued under this chapter shall be transmitted to the petitioner or the person to whom the order pertains and to any other person entitled to such notice by any provision of law.</w:t>
      </w:r>
    </w:p>
    <w:p>
      <w:pPr>
        <w:spacing w:before="210" w:after="0"/>
        <w:ind w:left="120"/>
        <w:jc w:val="both"/>
      </w:pPr>
      <w:r>
        <w:rPr>
          <w:rFonts w:ascii="Times New Roman" w:hAnsi="Times New Roman"/>
          <w:b/>
          <w:i w:val="false"/>
          <w:color w:val="000000"/>
          <w:sz w:val="22"/>
        </w:rPr>
        <w:t>781—19.11</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All orders granting or denying a waiver petition shall be indexed, filed, and available for public inspection as provided in Iowa Code section </w:t>
      </w:r>
      <w:hyperlink r:id="rId8">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Petitions for a waiver and orders granting or denying a waiver petition are public records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Some petitions or orders may contain information the agency is authorized or required to keep confidential. The agency may accordingly redact confidential information from petitions or orders prior to public inspection.</w:t>
      </w:r>
    </w:p>
    <w:p>
      <w:pPr>
        <w:spacing w:before="0" w:after="0"/>
        <w:ind w:left="120"/>
        <w:jc w:val="both"/>
      </w:pPr>
      <w:r>
        <w:rPr>
          <w:rFonts w:ascii="Times New Roman" w:hAnsi="Times New Roman"/>
          <w:b/>
          <w:i w:val="false"/>
          <w:color w:val="000000"/>
          <w:sz w:val="22"/>
        </w:rPr>
        <w:t>781—19.12</w:t>
      </w:r>
      <w:r>
        <w:rPr>
          <w:rFonts w:ascii="Times New Roman" w:hAnsi="Times New Roman"/>
          <w:b/>
          <w:i w:val="false"/>
          <w:color w:val="000000"/>
          <w:sz w:val="22"/>
        </w:rPr>
        <w:t xml:space="preserve">(17A) </w:t>
      </w:r>
      <w:r>
        <w:rPr>
          <w:rFonts w:ascii="Times New Roman" w:hAnsi="Times New Roman"/>
          <w:b/>
          <w:i w:val="false"/>
          <w:color w:val="000000"/>
          <w:sz w:val="22"/>
        </w:rPr>
        <w:t xml:space="preserve">Submission of waiver information. </w:t>
      </w:r>
      <w:r>
        <w:rPr>
          <w:rFonts w:ascii="Times New Roman" w:hAnsi="Times New Roman"/>
          <w:b w:val="false"/>
          <w:i w:val="false"/>
          <w:color w:val="000000"/>
          <w:sz w:val="22"/>
        </w:rPr>
        <w:t xml:space="preserve">Within 60 days of granting or denying a waiver, the agency shall make a submission on the Internet site established pursuant to Iowa Code section 17A.9A for the submission of waiver information identifying the rules for which a waiver has been granted or denied, the number of times a waiver was granted or denied for each rule, a citation to the statutory provisions implemented by these rules, and a general summary of the reasons justifying the agency’s actions on waiver requests. If practicable, the report shall detail the extent to which the granting of a waiver has established a precedent for additional waivers and the extent to which the granting of a waiver has affected the general applicability of the rule itself.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5783C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781—19.13</w:t>
      </w:r>
      <w:r>
        <w:rPr>
          <w:rFonts w:ascii="Times New Roman" w:hAnsi="Times New Roman"/>
          <w:b/>
          <w:i w:val="false"/>
          <w:color w:val="000000"/>
          <w:sz w:val="22"/>
        </w:rPr>
        <w:t xml:space="preserve">(17A) </w:t>
      </w:r>
      <w:r>
        <w:rPr>
          <w:rFonts w:ascii="Times New Roman" w:hAnsi="Times New Roman"/>
          <w:b/>
          <w:i w:val="false"/>
          <w:color w:val="000000"/>
          <w:sz w:val="22"/>
        </w:rPr>
        <w:t xml:space="preserve">Cancellation of a waiver. </w:t>
      </w:r>
      <w:r>
        <w:rPr>
          <w:rFonts w:ascii="Times New Roman" w:hAnsi="Times New Roman"/>
          <w:b w:val="false"/>
          <w:i w:val="false"/>
          <w:color w:val="000000"/>
          <w:sz w:val="22"/>
        </w:rPr>
        <w:t>A waiver issued by the agency pursuant to this chapter may be withdrawn, canceled, or modified if, after appropriate notice and hearing, the agency issues an order finding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 or the person who was the subject of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alternative means for ensuring that the public health, safety and welfare will be adequately protected after issuance of the waiver order have been demonstrated to be insufficient;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subject of the waiver order has failed to comply with all conditions contained in the order.</w:t>
      </w:r>
    </w:p>
    <w:p>
      <w:pPr>
        <w:spacing w:before="210" w:after="0"/>
        <w:ind w:left="120"/>
        <w:jc w:val="both"/>
      </w:pPr>
      <w:r>
        <w:rPr>
          <w:rFonts w:ascii="Times New Roman" w:hAnsi="Times New Roman"/>
          <w:b/>
          <w:i w:val="false"/>
          <w:color w:val="000000"/>
          <w:sz w:val="22"/>
        </w:rPr>
        <w:t>781—19.14</w:t>
      </w:r>
      <w:r>
        <w:rPr>
          <w:rFonts w:ascii="Times New Roman" w:hAnsi="Times New Roman"/>
          <w:b/>
          <w:i w:val="false"/>
          <w:color w:val="000000"/>
          <w:sz w:val="22"/>
        </w:rPr>
        <w:t xml:space="preserve">(17A) </w:t>
      </w:r>
      <w:r>
        <w:rPr>
          <w:rFonts w:ascii="Times New Roman" w:hAnsi="Times New Roman"/>
          <w:b/>
          <w:i w:val="false"/>
          <w:color w:val="000000"/>
          <w:sz w:val="22"/>
        </w:rPr>
        <w:t xml:space="preserve">Violations. </w:t>
      </w:r>
      <w:r>
        <w:rPr>
          <w:rFonts w:ascii="Times New Roman" w:hAnsi="Times New Roman"/>
          <w:b w:val="false"/>
          <w:i w:val="false"/>
          <w:color w:val="000000"/>
          <w:sz w:val="22"/>
        </w:rPr>
        <w:t>Violation of a condition in a waiver order shall be treated as a violation of the particular rule for which the waiver was granted. As a result, the recipient of a waiver under this chapter who violates a condition of the waiver may be subject to the same remedies or penalties as a person who violates the rule at issue.</w:t>
      </w:r>
    </w:p>
    <w:p>
      <w:pPr>
        <w:spacing w:before="210" w:after="0"/>
        <w:ind w:left="120"/>
        <w:jc w:val="both"/>
      </w:pPr>
      <w:r>
        <w:rPr>
          <w:rFonts w:ascii="Times New Roman" w:hAnsi="Times New Roman"/>
          <w:b/>
          <w:i w:val="false"/>
          <w:color w:val="000000"/>
          <w:sz w:val="22"/>
        </w:rPr>
        <w:t>781—19.15</w:t>
      </w:r>
      <w:r>
        <w:rPr>
          <w:rFonts w:ascii="Times New Roman" w:hAnsi="Times New Roman"/>
          <w:b/>
          <w:i w:val="false"/>
          <w:color w:val="000000"/>
          <w:sz w:val="22"/>
        </w:rPr>
        <w:t xml:space="preserve">(17A) </w:t>
      </w:r>
      <w:r>
        <w:rPr>
          <w:rFonts w:ascii="Times New Roman" w:hAnsi="Times New Roman"/>
          <w:b/>
          <w:i w:val="false"/>
          <w:color w:val="000000"/>
          <w:sz w:val="22"/>
        </w:rPr>
        <w:t xml:space="preserve">Defense. </w:t>
      </w:r>
      <w:r>
        <w:rPr>
          <w:rFonts w:ascii="Times New Roman" w:hAnsi="Times New Roman"/>
          <w:b w:val="false"/>
          <w:i w:val="false"/>
          <w:color w:val="000000"/>
          <w:sz w:val="22"/>
        </w:rPr>
        <w:t>After the agency issues an order granting a waiver, the order is a defense within its terms and the specific facts indicated therein for the person to whom the order pertains in any proceeding in which the rule in question is sought to be invoked.</w:t>
      </w:r>
    </w:p>
    <w:p>
      <w:pPr>
        <w:spacing w:before="210" w:after="0"/>
        <w:ind w:left="120"/>
        <w:jc w:val="both"/>
      </w:pPr>
      <w:r>
        <w:rPr>
          <w:rFonts w:ascii="Times New Roman" w:hAnsi="Times New Roman"/>
          <w:b/>
          <w:i w:val="false"/>
          <w:color w:val="000000"/>
          <w:sz w:val="22"/>
        </w:rPr>
        <w:t>781—19.16</w:t>
      </w:r>
      <w:r>
        <w:rPr>
          <w:rFonts w:ascii="Times New Roman" w:hAnsi="Times New Roman"/>
          <w:b/>
          <w:i w:val="false"/>
          <w:color w:val="000000"/>
          <w:sz w:val="22"/>
        </w:rPr>
        <w:t xml:space="preserve">(17A) </w:t>
      </w:r>
      <w:r>
        <w:rPr>
          <w:rFonts w:ascii="Times New Roman" w:hAnsi="Times New Roman"/>
          <w:b/>
          <w:i w:val="false"/>
          <w:color w:val="000000"/>
          <w:sz w:val="22"/>
        </w:rPr>
        <w:t xml:space="preserve">Judicial review. </w:t>
      </w:r>
      <w:r>
        <w:rPr>
          <w:rFonts w:ascii="Times New Roman" w:hAnsi="Times New Roman"/>
          <w:b w:val="false"/>
          <w:i w:val="false"/>
          <w:color w:val="000000"/>
          <w:sz w:val="22"/>
        </w:rPr>
        <w:t xml:space="preserve">Judicial review of the agency’s decision to grant or deny a waiver petition may be taken in accordance with Iowa Code chapter </w:t>
      </w:r>
      <w:hyperlink r:id="rId1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12/7/01, Notice 8/8/01—published 12/26/01, effective 1/30/02]</w:t>
      </w:r>
    </w:p>
    <w:p>
      <w:pPr>
        <w:spacing w:before="0" w:after="0"/>
        <w:ind w:left="120"/>
        <w:jc w:val="center"/>
      </w:pPr>
      <w:r>
        <w:rPr>
          <w:rFonts w:ascii="Times New Roman" w:hAnsi="Times New Roman"/>
          <w:b w:val="false"/>
          <w:i w:val="false"/>
          <w:color w:val="000000"/>
          <w:sz w:val="21"/>
        </w:rPr>
        <w:t>[Filed ARC 5783C</w:t>
      </w:r>
      <w:r>
        <w:rPr>
          <w:rFonts w:ascii="Times New Roman" w:hAnsi="Times New Roman"/>
          <w:b w:val="false"/>
          <w:i w:val="false"/>
          <w:color w:val="000000"/>
          <w:sz w:val="21"/>
        </w:rPr>
        <w:t xml:space="preserve"> (Notice ARC 5634C, IAB 5/19/21)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781.19.6.pdf" Type="http://schemas.openxmlformats.org/officeDocument/2006/relationships/hyperlink" Id="rId5"/>
    <Relationship TargetMode="External" Target="https://www.legis.iowa.gov/docs/iac/rule/781.19.4.pdf" Type="http://schemas.openxmlformats.org/officeDocument/2006/relationships/hyperlink" Id="rId6"/>
    <Relationship TargetMode="External" Target="https://www.legis.iowa.gov/docs/ico/chapter/17A.10-18A.pdf" Type="http://schemas.openxmlformats.org/officeDocument/2006/relationships/hyperlink" Id="rId7"/>
    <Relationship TargetMode="External" Target="https://www.legis.iowa.gov/docs/ico/chapter/17A.3.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co/chapter/17A.pdf" Type="http://schemas.openxmlformats.org/officeDocument/2006/relationships/hyperlink" Id="rId10"/>
    <Relationship TargetMode="External" Target="https://www.legis.iowa.gov/docs/ico/chapter/17A.9A.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