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color w:val="000000"/>
          <w:sz w:val="16"/>
        </w:rPr>
        <w:t>RAILROADS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800</w:t>
      </w:r>
    </w:p>
    <w:p>
      <w:pPr>
        <w:spacing w:before="0" w:after="0"/>
        <w:ind w:left="120"/>
        <w:jc w:val="center"/>
      </w:pPr>
      <w:r>
        <w:rPr>
          <w:rFonts w:ascii="Times New Roman" w:hAnsi="Times New Roman"/>
          <w:b w:val="false"/>
          <w:i w:val="false"/>
          <w:color w:val="000000"/>
          <w:sz w:val="21"/>
        </w:rPr>
        <w:t>ITEMS OF GENERAL APPLICATION FOR RAILROADS</w:t>
      </w:r>
    </w:p>
    <w:p>
      <w:pPr>
        <w:spacing w:before="0" w:after="0"/>
        <w:ind w:left="120"/>
        <w:jc w:val="center"/>
      </w:pPr>
      <w:r>
        <w:rPr>
          <w:rFonts w:ascii="Times New Roman" w:hAnsi="Times New Roman"/>
          <w:b w:val="false"/>
          <w:i w:val="false"/>
          <w:color w:val="000000"/>
          <w:sz w:val="14"/>
        </w:rPr>
        <w:t>[Prior to 6/3/87, Transportation Department [820]—(10,A)Ch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5/20/31</w:t>
      </w:r>
    </w:p>
    <w:p>
      <w:pPr>
        <w:spacing w:before="0" w:after="0"/>
        <w:ind w:left="120"/>
        <w:jc w:val="both"/>
      </w:pPr>
      <w:r>
        <w:rPr>
          <w:rFonts w:ascii="Times New Roman" w:hAnsi="Times New Roman"/>
          <w:b/>
          <w:i w:val="false"/>
          <w:color w:val="000000"/>
          <w:sz w:val="22"/>
        </w:rPr>
        <w:t>761—800.1</w:t>
      </w:r>
      <w:r>
        <w:rPr>
          <w:rFonts w:ascii="Times New Roman" w:hAnsi="Times New Roman"/>
          <w:b/>
          <w:i w:val="false"/>
          <w:color w:val="000000"/>
          <w:sz w:val="22"/>
        </w:rPr>
        <w:t xml:space="preserve">(327C,327D,327F,327G)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“Crossing”</w:t>
      </w:r>
      <w:r>
        <w:rPr>
          <w:rFonts w:ascii="Times New Roman" w:hAnsi="Times New Roman"/>
          <w:b w:val="false"/>
          <w:i w:val="false"/>
          <w:color w:val="000000"/>
          <w:sz w:val="22"/>
        </w:rPr>
        <w:t> </w:t>
      </w:r>
      <w:r>
        <w:rPr>
          <w:rFonts w:ascii="Times New Roman" w:hAnsi="Times New Roman"/>
          <w:b w:val="false"/>
          <w:i w:val="false"/>
          <w:color w:val="000000"/>
          <w:sz w:val="22"/>
        </w:rPr>
        <w:t>means the point where the railroad tracks and highway meet at the same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“Railroad”</w:t>
      </w:r>
      <w:r>
        <w:rPr>
          <w:rFonts w:ascii="Times New Roman" w:hAnsi="Times New Roman"/>
          <w:b w:val="false"/>
          <w:i w:val="false"/>
          <w:color w:val="000000"/>
          <w:sz w:val="22"/>
        </w:rPr>
        <w:t> </w:t>
      </w:r>
      <w:r>
        <w:rPr>
          <w:rFonts w:ascii="Times New Roman" w:hAnsi="Times New Roman"/>
          <w:b w:val="false"/>
          <w:i w:val="false"/>
          <w:color w:val="000000"/>
          <w:sz w:val="22"/>
        </w:rPr>
        <w:t>means persons who own rail facilities or who are responsible for the rail facilities’ operation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800.1(2)</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Questions concerning this chapter may be directed to the Modal Transportation Bureau,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800.1(3)</w:t>
      </w:r>
      <w:r>
        <w:rPr>
          <w:rFonts w:ascii="Times New Roman" w:hAnsi="Times New Roman"/>
          <w:b w:val="false"/>
          <w:i w:val="false"/>
          <w:color w:val="000000"/>
          <w:sz w:val="22"/>
        </w:rPr>
        <w:t> </w:t>
      </w:r>
      <w:r>
        <w:rPr>
          <w:rFonts w:ascii="Times New Roman" w:hAnsi="Times New Roman"/>
          <w:b w:val="false"/>
          <w:i/>
          <w:color w:val="000000"/>
          <w:sz w:val="22"/>
        </w:rPr>
        <w:t xml:space="preserve">Federal citations.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adopts the following portions of the Code of Federal Regulations, which are referenced throughout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49 CFR Part 1152</w:t>
      </w:r>
      <w:r>
        <w:rPr>
          <w:rFonts w:ascii="Times New Roman" w:hAnsi="Times New Roman"/>
          <w:b w:val="false"/>
          <w:i w:val="false"/>
          <w:color w:val="000000"/>
          <w:sz w:val="22"/>
        </w:rPr>
        <w:t xml:space="preserve">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49 CFR Part 1241</w:t>
      </w:r>
      <w:r>
        <w:rPr>
          <w:rFonts w:ascii="Times New Roman" w:hAnsi="Times New Roman"/>
          <w:b w:val="false"/>
          <w:i w:val="false"/>
          <w:color w:val="000000"/>
          <w:sz w:val="22"/>
        </w:rPr>
        <w:t xml:space="preserve">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49 U.S.C. 20106</w:t>
      </w:r>
      <w:r>
        <w:rPr>
          <w:rFonts w:ascii="Times New Roman" w:hAnsi="Times New Roman"/>
          <w:b w:val="false"/>
          <w:i w:val="false"/>
          <w:color w:val="000000"/>
          <w:sz w:val="22"/>
        </w:rPr>
        <w:t xml:space="preserve"> (August 3, 2007).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the federal code or regulations cited in this chapter are available from the state law library or online at </w:t>
      </w:r>
      <w:hyperlink r:id="rId5">
        <w:r>
          <w:rPr>
            <w:rStyle w:val="Hyperlink"/>
            <w:rFonts w:ascii="Times New Roman" w:hAnsi="Times New Roman"/>
            <w:b w:val="false"/>
            <w:i w:val="false"/>
            <w:color w:val="000000"/>
            <w:sz w:val="22"/>
            <w:u w:val="single"/>
          </w:rPr>
          <w:t>www.govinfo.gov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327C.38</w:t>
        </w:r>
      </w:hyperlink>
      <w:r>
        <w:rPr>
          <w:rFonts w:ascii="Times New Roman" w:hAnsi="Times New Roman"/>
          <w:b w:val="false"/>
          <w:i w:val="false"/>
          <w:color w:val="000000"/>
          <w:sz w:val="22"/>
        </w:rPr>
        <w:t>, </w:t>
      </w:r>
      <w:hyperlink r:id="rId7">
        <w:r>
          <w:rPr>
            <w:rStyle w:val="Hyperlink"/>
            <w:rFonts w:ascii="Times New Roman" w:hAnsi="Times New Roman"/>
            <w:b w:val="false"/>
            <w:i w:val="false"/>
            <w:color w:val="000000"/>
            <w:sz w:val="22"/>
          </w:rPr>
          <w:t>327C.41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327C.42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327D.201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327F.31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327G.24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0216D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761—800.2</w:t>
      </w:r>
      <w:r>
        <w:rPr>
          <w:rFonts w:ascii="Times New Roman" w:hAnsi="Times New Roman"/>
          <w:b/>
          <w:i w:val="false"/>
          <w:color w:val="000000"/>
          <w:sz w:val="22"/>
        </w:rPr>
        <w:t xml:space="preserve">(307,327C,327D) </w:t>
      </w:r>
      <w:r>
        <w:rPr>
          <w:rFonts w:ascii="Times New Roman" w:hAnsi="Times New Roman"/>
          <w:b/>
          <w:i w:val="false"/>
          <w:color w:val="000000"/>
          <w:sz w:val="22"/>
        </w:rPr>
        <w:t xml:space="preserve">Accounts. </w:t>
      </w:r>
      <w:r>
        <w:rPr>
          <w:rFonts w:ascii="Times New Roman" w:hAnsi="Times New Roman"/>
          <w:b w:val="false"/>
          <w:i w:val="false"/>
          <w:color w:val="000000"/>
          <w:sz w:val="22"/>
        </w:rPr>
        <w:t>All railroads operating in Iowa, except those whose accounts are regulated by the Surface Transportation Board, are to maintain accounts using the generally accepted accounting principles of the financial standards accounting board. The accrual method of accounting is to be used.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3">
        <w:r>
          <w:rPr>
            <w:rStyle w:val="Hyperlink"/>
            <w:rFonts w:ascii="Times New Roman" w:hAnsi="Times New Roman"/>
            <w:b w:val="false"/>
            <w:i w:val="false"/>
            <w:color w:val="000000"/>
            <w:sz w:val="22"/>
          </w:rPr>
          <w:t>327C.42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327D.201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0216D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761—800.3</w:t>
      </w:r>
      <w:r>
        <w:rPr>
          <w:rFonts w:ascii="Times New Roman" w:hAnsi="Times New Roman"/>
          <w:b/>
          <w:i w:val="false"/>
          <w:color w:val="000000"/>
          <w:sz w:val="22"/>
        </w:rPr>
        <w:t xml:space="preserve">(327C,327D) </w:t>
      </w:r>
      <w:r>
        <w:rPr>
          <w:rFonts w:ascii="Times New Roman" w:hAnsi="Times New Roman"/>
          <w:b/>
          <w:i w:val="false"/>
          <w:color w:val="000000"/>
          <w:sz w:val="22"/>
        </w:rPr>
        <w:t xml:space="preserve">Annual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800.3(1)</w:t>
      </w:r>
      <w:r>
        <w:rPr>
          <w:rFonts w:ascii="Times New Roman" w:hAnsi="Times New Roman"/>
          <w:b w:val="false"/>
          <w:i w:val="false"/>
          <w:color w:val="000000"/>
          <w:sz w:val="22"/>
        </w:rPr>
        <w:t> </w:t>
      </w:r>
      <w:r>
        <w:rPr>
          <w:rFonts w:ascii="Times New Roman" w:hAnsi="Times New Roman"/>
          <w:b w:val="false"/>
          <w:i w:val="false"/>
          <w:color w:val="000000"/>
          <w:sz w:val="22"/>
        </w:rPr>
        <w:t xml:space="preserve">A railroad company submitting an annual report to the Surface Transportation Board under </w:t>
      </w:r>
      <w:r>
        <w:rPr>
          <w:rFonts w:ascii="Times New Roman" w:hAnsi="Times New Roman"/>
          <w:b w:val="false"/>
          <w:i w:val="false"/>
          <w:color w:val="000000"/>
          <w:sz w:val="22"/>
        </w:rPr>
        <w:t>49 CFR Part 1241</w:t>
      </w:r>
      <w:r>
        <w:rPr>
          <w:rFonts w:ascii="Times New Roman" w:hAnsi="Times New Roman"/>
          <w:b w:val="false"/>
          <w:i w:val="false"/>
          <w:color w:val="000000"/>
          <w:sz w:val="22"/>
        </w:rPr>
        <w:t xml:space="preserve"> is to submit a copy of this report to the department on or before April 1 following the close of the calendar year. The “State Statistics” report includes: annual data on additions and deletions of mileage within the state; mileage operated within the state at the end of the year; railway operating revenues earned within the state; statistics on rail line operations within the state, including locomotive unit-miles, car-miles and ton-miles; revenue freight carried within the state by commodity class; and a freight density map showing gross ton-miles for the railroad company’s system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800.3(2)</w:t>
      </w:r>
      <w:r>
        <w:rPr>
          <w:rFonts w:ascii="Times New Roman" w:hAnsi="Times New Roman"/>
          <w:b w:val="false"/>
          <w:i w:val="false"/>
          <w:color w:val="000000"/>
          <w:sz w:val="22"/>
        </w:rPr>
        <w:t> </w:t>
      </w:r>
      <w:r>
        <w:rPr>
          <w:rFonts w:ascii="Times New Roman" w:hAnsi="Times New Roman"/>
          <w:b w:val="false"/>
          <w:i w:val="false"/>
          <w:color w:val="000000"/>
          <w:sz w:val="22"/>
        </w:rPr>
        <w:t xml:space="preserve">A railroad company not required to submit an annual report to the Surface Transportation Board under </w:t>
      </w:r>
      <w:r>
        <w:rPr>
          <w:rFonts w:ascii="Times New Roman" w:hAnsi="Times New Roman"/>
          <w:b w:val="false"/>
          <w:i w:val="false"/>
          <w:color w:val="000000"/>
          <w:sz w:val="22"/>
        </w:rPr>
        <w:t>49 CFR Part 1241</w:t>
      </w:r>
      <w:r>
        <w:rPr>
          <w:rFonts w:ascii="Times New Roman" w:hAnsi="Times New Roman"/>
          <w:b w:val="false"/>
          <w:i w:val="false"/>
          <w:color w:val="000000"/>
          <w:sz w:val="22"/>
        </w:rPr>
        <w:t xml:space="preserve"> is to submit an annual report to the department electronically on or before April 1 following the close of the calendar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327C.38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327C.41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327D.201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0216D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761—800.4</w:t>
      </w:r>
      <w:r>
        <w:rPr>
          <w:rFonts w:ascii="Times New Roman" w:hAnsi="Times New Roman"/>
          <w:b/>
          <w:i w:val="false"/>
          <w:color w:val="000000"/>
          <w:sz w:val="22"/>
        </w:rPr>
        <w:t xml:space="preserve">(307,327F) </w:t>
      </w:r>
      <w:r>
        <w:rPr>
          <w:rFonts w:ascii="Times New Roman" w:hAnsi="Times New Roman"/>
          <w:b/>
          <w:i w:val="false"/>
          <w:color w:val="000000"/>
          <w:sz w:val="22"/>
        </w:rPr>
        <w:t xml:space="preserve">Train speed ordinances. </w:t>
      </w:r>
      <w:r>
        <w:rPr>
          <w:rFonts w:ascii="Times New Roman" w:hAnsi="Times New Roman"/>
          <w:b w:val="false"/>
          <w:i w:val="false"/>
          <w:color w:val="000000"/>
          <w:sz w:val="22"/>
        </w:rPr>
        <w:t>An ordinance or resolution adopted by a political subdivision that relates to the speed of a train in an area within the jurisdiction of the political subdivision is subject to department approval according to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800.4(1)</w:t>
      </w:r>
      <w:r>
        <w:rPr>
          <w:rFonts w:ascii="Times New Roman" w:hAnsi="Times New Roman"/>
          <w:b w:val="false"/>
          <w:i w:val="false"/>
          <w:color w:val="000000"/>
          <w:sz w:val="22"/>
        </w:rPr>
        <w:t> </w:t>
      </w:r>
      <w:r>
        <w:rPr>
          <w:rFonts w:ascii="Times New Roman" w:hAnsi="Times New Roman"/>
          <w:b w:val="false"/>
          <w:i w:val="false"/>
          <w:color w:val="000000"/>
          <w:sz w:val="22"/>
        </w:rPr>
        <w:t>The political subdivision is to submit the ordinance/resolution to the department supported by information or reasons that justify its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800.4(2)</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affected railroads.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800.4(3)</w:t>
      </w:r>
      <w:r>
        <w:rPr>
          <w:rFonts w:ascii="Times New Roman" w:hAnsi="Times New Roman"/>
          <w:b w:val="false"/>
          <w:i w:val="false"/>
          <w:color w:val="000000"/>
          <w:sz w:val="22"/>
        </w:rPr>
        <w:t> </w:t>
      </w:r>
      <w:r>
        <w:rPr>
          <w:rFonts w:ascii="Times New Roman" w:hAnsi="Times New Roman"/>
          <w:b w:val="false"/>
          <w:i w:val="false"/>
          <w:color w:val="000000"/>
          <w:sz w:val="22"/>
        </w:rPr>
        <w:t>The political subdivision and the affected railroads will have 30 days in which to submit position papers to the department before the department issues an order approving or disapproving the ordinance/resolution.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800.4(4)</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an order approving or disapproving the ordinance/resolution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the proposed ordinance/resolution only if the proposal satisfies the requirements of </w:t>
      </w:r>
      <w:r>
        <w:rPr>
          <w:rFonts w:ascii="Times New Roman" w:hAnsi="Times New Roman"/>
          <w:b w:val="false"/>
          <w:i w:val="false"/>
          <w:color w:val="000000"/>
          <w:sz w:val="22"/>
        </w:rPr>
        <w:t>49 U.S.C. 20106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Generally, the department does not consider highway-railroad grade crossings or rail lines located near schools, residences, or commercial activities to be local safety hazards that can be remedied by train speed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making its decision, the department may also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Traffic density and speed.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Accident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Causes of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Obstructions to visibility.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Traffic controls at crossings.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Population density.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Resulting burden on the rail transportation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Resulting benefit to residents of the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800.4(5)</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mail notice of its order approving or disapproving the ordinance/resolution by certified mail, return receipt requested, to the political subdivision and the affected railroads.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issues an order approving the ordinance/resolution, it will go into effect 25 days after the notice is mailed unless the order is contested pursuant to subrule </w:t>
      </w:r>
      <w:hyperlink r:id="rId18">
        <w:r>
          <w:rPr>
            <w:rStyle w:val="Hyperlink"/>
            <w:rFonts w:ascii="Times New Roman" w:hAnsi="Times New Roman"/>
            <w:b w:val="false"/>
            <w:i w:val="false"/>
            <w:color w:val="000000"/>
            <w:sz w:val="22"/>
          </w:rPr>
          <w:t>800.4(7)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800.4(7)</w:t>
      </w:r>
      <w:r>
        <w:rPr>
          <w:rFonts w:ascii="Times New Roman" w:hAnsi="Times New Roman"/>
          <w:b w:val="false"/>
          <w:i w:val="false"/>
          <w:color w:val="000000"/>
          <w:sz w:val="22"/>
        </w:rPr>
        <w:t> </w:t>
      </w:r>
      <w:r>
        <w:rPr>
          <w:rFonts w:ascii="Times New Roman" w:hAnsi="Times New Roman"/>
          <w:b w:val="false"/>
          <w:i w:val="false"/>
          <w:color w:val="000000"/>
          <w:sz w:val="22"/>
        </w:rPr>
        <w:t>Within 20 days after the notice is mailed, the political subdivision or an affected railroad may submit to the department a written statement contesting the department’s order approving or disapproving the ordinance/resolution.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order is contested, </w:t>
      </w:r>
      <w:hyperlink r:id="rId19">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order approving an ordinance/resolution is contested, the order shall be stayed pending the outcome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800.4(8)</w:t>
      </w:r>
      <w:r>
        <w:rPr>
          <w:rFonts w:ascii="Times New Roman" w:hAnsi="Times New Roman"/>
          <w:b w:val="false"/>
          <w:i w:val="false"/>
          <w:color w:val="000000"/>
          <w:sz w:val="22"/>
        </w:rPr>
        <w:t> </w:t>
      </w:r>
      <w:r>
        <w:rPr>
          <w:rFonts w:ascii="Times New Roman" w:hAnsi="Times New Roman"/>
          <w:b w:val="false"/>
          <w:i w:val="false"/>
          <w:color w:val="000000"/>
          <w:sz w:val="22"/>
        </w:rPr>
        <w:t>A submission to the department under this rule will be deemed timely submitted if it is delivered or postmarked within the time period specified.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1">
        <w:r>
          <w:rPr>
            <w:rStyle w:val="Hyperlink"/>
            <w:rFonts w:ascii="Times New Roman" w:hAnsi="Times New Roman"/>
            <w:b w:val="false"/>
            <w:i w:val="false"/>
            <w:color w:val="000000"/>
            <w:sz w:val="22"/>
          </w:rPr>
          <w:t>307.26</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327F.31</w:t>
        </w:r>
      </w:hyperlink>
      <w:r>
        <w:rPr>
          <w:rFonts w:ascii="Times New Roman" w:hAnsi="Times New Roman"/>
          <w:b w:val="false"/>
          <w:i w:val="false"/>
          <w:color w:val="000000"/>
          <w:sz w:val="22"/>
        </w:rPr>
        <w:t xml:space="preserve"> and 2001 Iowa Op. Att’y Gen. #01-5-2.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0216D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761—800.5</w:t>
      </w:r>
      <w:r>
        <w:rPr>
          <w:rFonts w:ascii="Times New Roman" w:hAnsi="Times New Roman"/>
          <w:b/>
          <w:i w:val="false"/>
          <w:color w:val="000000"/>
          <w:sz w:val="22"/>
        </w:rPr>
        <w:t xml:space="preserve">(327G) </w:t>
      </w:r>
      <w:r>
        <w:rPr>
          <w:rFonts w:ascii="Times New Roman" w:hAnsi="Times New Roman"/>
          <w:b/>
          <w:i w:val="false"/>
          <w:color w:val="000000"/>
          <w:sz w:val="22"/>
        </w:rPr>
        <w:t xml:space="preserve">Removal of tracks from crossings.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800.5(1)</w:t>
      </w:r>
      <w:r>
        <w:rPr>
          <w:rFonts w:ascii="Times New Roman" w:hAnsi="Times New Roman"/>
          <w:b w:val="false"/>
          <w:i w:val="false"/>
          <w:color w:val="000000"/>
          <w:sz w:val="22"/>
        </w:rPr>
        <w:t> </w:t>
      </w:r>
      <w:r>
        <w:rPr>
          <w:rFonts w:ascii="Times New Roman" w:hAnsi="Times New Roman"/>
          <w:b w:val="false"/>
          <w:i w:val="false"/>
          <w:color w:val="000000"/>
          <w:sz w:val="22"/>
        </w:rPr>
        <w:t>49 CFR Part 1152</w:t>
      </w:r>
      <w:r>
        <w:rPr>
          <w:rFonts w:ascii="Times New Roman" w:hAnsi="Times New Roman"/>
          <w:b w:val="false"/>
          <w:i w:val="false"/>
          <w:color w:val="000000"/>
          <w:sz w:val="22"/>
        </w:rPr>
        <w:t xml:space="preserve"> contains the regulations governing the abandonment and discontinuance of railroad lines and rail transportation under </w:t>
      </w:r>
      <w:r>
        <w:rPr>
          <w:rFonts w:ascii="Times New Roman" w:hAnsi="Times New Roman"/>
          <w:b w:val="false"/>
          <w:i w:val="false"/>
          <w:color w:val="000000"/>
          <w:sz w:val="22"/>
        </w:rPr>
        <w:t>49 U.S.C. 10903 et seq.</w:t>
      </w:r>
      <w:r>
        <w:rPr>
          <w:rFonts w:ascii="Times New Roman" w:hAnsi="Times New Roman"/>
          <w:b w:val="false"/>
          <w:i w:val="false"/>
          <w:color w:val="000000"/>
          <w:sz w:val="22"/>
        </w:rPr>
        <w:t xml:space="preserve"> This part also contains the regulations and procedures for the acquisition or use of railroad rights-of-way proposed for abandonment for interim trail use and rail banking pursuant to </w:t>
      </w:r>
      <w:r>
        <w:rPr>
          <w:rFonts w:ascii="Times New Roman" w:hAnsi="Times New Roman"/>
          <w:b w:val="false"/>
          <w:i w:val="false"/>
          <w:color w:val="000000"/>
          <w:sz w:val="22"/>
        </w:rPr>
        <w:t>16 U.S.C. 1247(d)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800.5(2)</w:t>
      </w:r>
      <w:r>
        <w:rPr>
          <w:rFonts w:ascii="Times New Roman" w:hAnsi="Times New Roman"/>
          <w:b w:val="false"/>
          <w:i w:val="false"/>
          <w:color w:val="000000"/>
          <w:sz w:val="22"/>
        </w:rPr>
        <w:t> </w:t>
      </w:r>
      <w:r>
        <w:rPr>
          <w:rFonts w:ascii="Times New Roman" w:hAnsi="Times New Roman"/>
          <w:b w:val="false"/>
          <w:i w:val="false"/>
          <w:color w:val="000000"/>
          <w:sz w:val="22"/>
        </w:rPr>
        <w:t xml:space="preserve">A railroad corporation or its successor in interest having received authority to remove its tracks from a rail line pursuant to abandonment or interim trail use under </w:t>
      </w:r>
      <w:r>
        <w:rPr>
          <w:rFonts w:ascii="Times New Roman" w:hAnsi="Times New Roman"/>
          <w:b w:val="false"/>
          <w:i w:val="false"/>
          <w:color w:val="000000"/>
          <w:sz w:val="22"/>
        </w:rPr>
        <w:t>49 CFR Part 1152</w:t>
      </w:r>
      <w:r>
        <w:rPr>
          <w:rFonts w:ascii="Times New Roman" w:hAnsi="Times New Roman"/>
          <w:b w:val="false"/>
          <w:i w:val="false"/>
          <w:color w:val="000000"/>
          <w:sz w:val="22"/>
        </w:rPr>
        <w:t xml:space="preserve"> is to, at the same time it removes its tracks from the railroad rights-of-way, remove its tracks from the crossings of highways, streets and alleys along the rail line and restore the surface of these crossings. A crossing is to be restored in a manner specified by the agency having jurisdiction over the highway, street or alley at the crossing.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railroad corporation or its successor in interest fails to remove its tracks from and restore the surface of a crossing as specified in subrule </w:t>
      </w:r>
      <w:hyperlink r:id="rId23">
        <w:r>
          <w:rPr>
            <w:rStyle w:val="Hyperlink"/>
            <w:rFonts w:ascii="Times New Roman" w:hAnsi="Times New Roman"/>
            <w:b w:val="false"/>
            <w:i w:val="false"/>
            <w:color w:val="000000"/>
            <w:sz w:val="22"/>
          </w:rPr>
          <w:t>800.5(2)</w:t>
        </w:r>
      </w:hyperlink>
      <w:r>
        <w:rPr>
          <w:rFonts w:ascii="Times New Roman" w:hAnsi="Times New Roman"/>
          <w:b w:val="false"/>
          <w:i w:val="false"/>
          <w:color w:val="000000"/>
          <w:sz w:val="22"/>
        </w:rPr>
        <w:t>, then the agency having jurisdiction over the highway, street or alley at the crossing may, at the expense of the railroad corporation or its successor in interest, remove the tracks and restore the surface 120 days after the tracks adjacent to the crossing have been removed.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327G.24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0216D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8/24/82, Notice 7/7/82—published 9/15/82, effective 10/20/82]</w:t>
      </w:r>
    </w:p>
    <w:p>
      <w:pPr>
        <w:spacing w:before="0" w:after="0"/>
        <w:ind w:left="120"/>
        <w:jc w:val="center"/>
      </w:pPr>
      <w:r>
        <w:rPr>
          <w:rFonts w:ascii="Times New Roman" w:hAnsi="Times New Roman"/>
          <w:b w:val="false"/>
          <w:i w:val="false"/>
          <w:color w:val="000000"/>
          <w:sz w:val="21"/>
        </w:rPr>
        <w:t>[Filed 10/2/85, Notice 8/14/85—published 10/23/85, effective 11/27/85]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5/19/89, Notice 3/8/89—published 6/14/89, effective 7/19/89]</w:t>
      </w:r>
    </w:p>
    <w:p>
      <w:pPr>
        <w:spacing w:before="0" w:after="0"/>
        <w:ind w:left="120"/>
        <w:jc w:val="center"/>
      </w:pPr>
      <w:r>
        <w:rPr>
          <w:rFonts w:ascii="Times New Roman" w:hAnsi="Times New Roman"/>
          <w:b w:val="false"/>
          <w:i w:val="false"/>
          <w:color w:val="000000"/>
          <w:sz w:val="21"/>
        </w:rPr>
        <w:t>[Filed 8/8/90, Notice 6/27/90—published 9/5/90, effective 10/10/90]</w:t>
      </w:r>
    </w:p>
    <w:p>
      <w:pPr>
        <w:spacing w:before="0" w:after="0"/>
        <w:ind w:left="120"/>
        <w:jc w:val="center"/>
      </w:pPr>
      <w:r>
        <w:rPr>
          <w:rFonts w:ascii="Times New Roman" w:hAnsi="Times New Roman"/>
          <w:b w:val="false"/>
          <w:i w:val="false"/>
          <w:color w:val="000000"/>
          <w:sz w:val="21"/>
        </w:rPr>
        <w:t>[Filed 7/15/03, Notice 5/14/03—published 8/6/03, effective 9/10/03]</w:t>
      </w:r>
    </w:p>
    <w:p>
      <w:pPr>
        <w:spacing w:before="0" w:after="0"/>
        <w:ind w:left="120"/>
        <w:jc w:val="center"/>
      </w:pPr>
      <w:r>
        <w:rPr>
          <w:rFonts w:ascii="Times New Roman" w:hAnsi="Times New Roman"/>
          <w:b w:val="false"/>
          <w:i w:val="false"/>
          <w:color w:val="000000"/>
          <w:sz w:val="21"/>
        </w:rPr>
        <w:t>[Filed ARC 3881C</w:t>
      </w:r>
      <w:r>
        <w:rPr>
          <w:rFonts w:ascii="Times New Roman" w:hAnsi="Times New Roman"/>
          <w:b w:val="false"/>
          <w:i w:val="false"/>
          <w:color w:val="000000"/>
          <w:sz w:val="21"/>
        </w:rPr>
        <w:t xml:space="preserve"> (Notice ARC 3756C,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6709C</w:t>
      </w:r>
      <w:r>
        <w:rPr>
          <w:rFonts w:ascii="Times New Roman" w:hAnsi="Times New Roman"/>
          <w:b w:val="false"/>
          <w:i w:val="false"/>
          <w:color w:val="000000"/>
          <w:sz w:val="21"/>
        </w:rPr>
        <w:t xml:space="preserve"> (Notice ARC 6574C,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8055C</w:t>
      </w:r>
      <w:r>
        <w:rPr>
          <w:rFonts w:ascii="Times New Roman" w:hAnsi="Times New Roman"/>
          <w:b w:val="false"/>
          <w:i w:val="false"/>
          <w:color w:val="000000"/>
          <w:sz w:val="21"/>
        </w:rPr>
        <w:t xml:space="preserve"> (Notice ARC 7745C, IAB 4/3/24)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[Filed ARC 0216D</w:t>
      </w:r>
      <w:r>
        <w:rPr>
          <w:rFonts w:ascii="Times New Roman" w:hAnsi="Times New Roman"/>
          <w:b w:val="false"/>
          <w:i w:val="false"/>
          <w:color w:val="000000"/>
          <w:sz w:val="21"/>
        </w:rPr>
        <w:t xml:space="preserve"> (Notice ARC 9874C, IAB 1/7/26)</w:t>
      </w:r>
      <w:r>
        <w:rPr>
          <w:rFonts w:ascii="Times New Roman" w:hAnsi="Times New Roman"/>
          <w:b w:val="false"/>
          <w:i w:val="false"/>
          <w:color w:val="000000"/>
          <w:sz w:val="21"/>
        </w:rPr>
        <w:t>, IAB 4/15/26, effective 5/20/26]</w:t>
      </w:r>
    </w:p>
    <w:sectPr>
      <w:footerReference r:id="rId25"/>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govinfo.gov" Type="http://schemas.openxmlformats.org/officeDocument/2006/relationships/hyperlink" Id="rId5"/>
    <Relationship TargetMode="External" Target="https://www.legis.iowa.gov/docs/ico/chapter/327C.38.pdf" Type="http://schemas.openxmlformats.org/officeDocument/2006/relationships/hyperlink" Id="rId6"/>
    <Relationship TargetMode="External" Target="https://www.legis.iowa.gov/docs/ico/chapter/327C.41.pdf" Type="http://schemas.openxmlformats.org/officeDocument/2006/relationships/hyperlink" Id="rId7"/>
    <Relationship TargetMode="External" Target="https://www.legis.iowa.gov/docs/ico/chapter/327C.42.pdf" Type="http://schemas.openxmlformats.org/officeDocument/2006/relationships/hyperlink" Id="rId8"/>
    <Relationship TargetMode="External" Target="https://www.legis.iowa.gov/docs/ico/chapter/327D.201.pdf" Type="http://schemas.openxmlformats.org/officeDocument/2006/relationships/hyperlink" Id="rId9"/>
    <Relationship TargetMode="External" Target="https://www.legis.iowa.gov/docs/ico/chapter/327F.31.pdf" Type="http://schemas.openxmlformats.org/officeDocument/2006/relationships/hyperlink" Id="rId10"/>
    <Relationship TargetMode="External" Target="https://www.legis.iowa.gov/docs/ico/chapter/327G.24.pdf" Type="http://schemas.openxmlformats.org/officeDocument/2006/relationships/hyperlink" Id="rId11"/>
    <Relationship TargetMode="External" Target="https://www.legis.iowa.gov/docs/ico/chapter/307.12.pdf" Type="http://schemas.openxmlformats.org/officeDocument/2006/relationships/hyperlink" Id="rId12"/>
    <Relationship TargetMode="External" Target="https://www.legis.iowa.gov/docs/ico/chapter/327C.42.pdf" Type="http://schemas.openxmlformats.org/officeDocument/2006/relationships/hyperlink" Id="rId13"/>
    <Relationship TargetMode="External" Target="https://www.legis.iowa.gov/docs/ico/chapter/327D.201.pdf" Type="http://schemas.openxmlformats.org/officeDocument/2006/relationships/hyperlink" Id="rId14"/>
    <Relationship TargetMode="External" Target="https://www.legis.iowa.gov/docs/ico/chapter/327C.38.pdf" Type="http://schemas.openxmlformats.org/officeDocument/2006/relationships/hyperlink" Id="rId15"/>
    <Relationship TargetMode="External" Target="https://www.legis.iowa.gov/docs/ico/chapter/327C.41.pdf" Type="http://schemas.openxmlformats.org/officeDocument/2006/relationships/hyperlink" Id="rId16"/>
    <Relationship TargetMode="External" Target="https://www.legis.iowa.gov/docs/ico/chapter/327D.201.pdf" Type="http://schemas.openxmlformats.org/officeDocument/2006/relationships/hyperlink" Id="rId17"/>
    <Relationship TargetMode="External" Target="https://www.legis.iowa.gov/docs/iac/rule/761.800.4.pdf" Type="http://schemas.openxmlformats.org/officeDocument/2006/relationships/hyperlink" Id="rId18"/>
    <Relationship TargetMode="External" Target="https://www.legis.iowa.gov/docs/iac/chapter/761.13.pdf" Type="http://schemas.openxmlformats.org/officeDocument/2006/relationships/hyperlink" Id="rId19"/>
    <Relationship TargetMode="External" Target="https://www.legis.iowa.gov/docs/ico/chapter/307.12.pdf" Type="http://schemas.openxmlformats.org/officeDocument/2006/relationships/hyperlink" Id="rId20"/>
    <Relationship TargetMode="External" Target="https://www.legis.iowa.gov/docs/ico/chapter/307.26.pdf" Type="http://schemas.openxmlformats.org/officeDocument/2006/relationships/hyperlink" Id="rId21"/>
    <Relationship TargetMode="External" Target="https://www.legis.iowa.gov/docs/ico/chapter/327F.31.pdf" Type="http://schemas.openxmlformats.org/officeDocument/2006/relationships/hyperlink" Id="rId22"/>
    <Relationship TargetMode="External" Target="https://www.legis.iowa.gov/docs/iac/rule/761.800.5.pdf" Type="http://schemas.openxmlformats.org/officeDocument/2006/relationships/hyperlink" Id="rId23"/>
    <Relationship TargetMode="External" Target="https://www.legis.iowa.gov/docs/ico/chapter/327G.24.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