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524</w:t>
      </w:r>
    </w:p>
    <w:p>
      <w:pPr>
        <w:spacing w:before="0" w:after="0"/>
        <w:ind w:left="120"/>
        <w:jc w:val="center"/>
      </w:pPr>
      <w:r>
        <w:rPr>
          <w:rFonts w:ascii="Times New Roman" w:hAnsi="Times New Roman"/>
          <w:b w:val="false"/>
          <w:i w:val="false"/>
          <w:color w:val="000000"/>
          <w:sz w:val="21"/>
        </w:rPr>
        <w:t>FOR-HIRE INTRASTATE MOTOR CARRIER AUTHORITY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761—524.1</w:t>
      </w:r>
      <w:r>
        <w:rPr>
          <w:rFonts w:ascii="Times New Roman" w:hAnsi="Times New Roman"/>
          <w:b/>
          <w:i w:val="false"/>
          <w:color w:val="000000"/>
          <w:sz w:val="22"/>
        </w:rPr>
        <w:t xml:space="preserve">(325A) </w:t>
      </w:r>
      <w:r>
        <w:rPr>
          <w:rFonts w:ascii="Times New Roman" w:hAnsi="Times New Roman"/>
          <w:b/>
          <w:i w:val="false"/>
          <w:color w:val="000000"/>
          <w:sz w:val="22"/>
        </w:rPr>
        <w:t xml:space="preserve">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requirements concerning for-hire intrastate motor carriers as authorized by Iowa Code chapter </w:t>
      </w:r>
      <w:hyperlink r:id="rId5">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applies to motor carriers of household goods, bulk liquid commodities, all other property, and passengers being transported for hire on any highway of this state other than a transportation network company or transportation network company driver as both are defined in Iowa Code section </w:t>
      </w:r>
      <w:hyperlink r:id="rId6">
        <w:r>
          <w:rPr>
            <w:rStyle w:val="Hyperlink"/>
            <w:rFonts w:ascii="Times New Roman" w:hAnsi="Times New Roman"/>
            <w:b w:val="false"/>
            <w:i w:val="false"/>
            <w:color w:val="000000"/>
            <w:sz w:val="22"/>
          </w:rPr>
          <w:t>321N.1</w:t>
        </w:r>
      </w:hyperlink>
      <w:r>
        <w:rPr>
          <w:rFonts w:ascii="Times New Roman" w:hAnsi="Times New Roman"/>
          <w:b w:val="false"/>
          <w:i w:val="false"/>
          <w:color w:val="000000"/>
          <w:sz w:val="22"/>
        </w:rPr>
        <w:t xml:space="preserve"> and provided for in </w:t>
      </w:r>
      <w:hyperlink r:id="rId7">
        <w:r>
          <w:rPr>
            <w:rStyle w:val="Hyperlink"/>
            <w:rFonts w:ascii="Times New Roman" w:hAnsi="Times New Roman"/>
            <w:b w:val="false"/>
            <w:i w:val="false"/>
            <w:color w:val="000000"/>
            <w:sz w:val="22"/>
          </w:rPr>
          <w:t>761—Chapter 540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761—524.2</w:t>
      </w:r>
      <w:r>
        <w:rPr>
          <w:rFonts w:ascii="Times New Roman" w:hAnsi="Times New Roman"/>
          <w:b/>
          <w:i w:val="false"/>
          <w:color w:val="000000"/>
          <w:sz w:val="22"/>
        </w:rPr>
        <w:t xml:space="preserve">(325A)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motor carrier permits and motor carrier certificates are available by mail from the Motor Vehicle Division, Iowa Department of Transportation, P.O. Box 10382, Des Moines, Iowa 50306-0382; in person at 6310 SE Convenience Blvd., Ankeny, Iowa; by telephone at 515.237.3268; by facsimile at 515.237.3225; or by email at </w:t>
      </w:r>
      <w:hyperlink r:id="rId8">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524.2(2)</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9">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circumstances”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against motor carriers pertaining to the provisions of this chapter can be submitted in writing to the motor vehicle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761—524.3</w:t>
      </w:r>
      <w:r>
        <w:rPr>
          <w:rFonts w:ascii="Times New Roman" w:hAnsi="Times New Roman"/>
          <w:b/>
          <w:i w:val="false"/>
          <w:color w:val="000000"/>
          <w:sz w:val="22"/>
        </w:rPr>
        <w:t xml:space="preserve">(325A) </w:t>
      </w:r>
      <w:r>
        <w:rPr>
          <w:rFonts w:ascii="Times New Roman" w:hAnsi="Times New Roman"/>
          <w:b/>
          <w:i w:val="false"/>
          <w:color w:val="000000"/>
          <w:sz w:val="22"/>
        </w:rPr>
        <w:t xml:space="preserve">Applications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fee. </w:t>
      </w:r>
      <w:r>
        <w:rPr>
          <w:rFonts w:ascii="Times New Roman" w:hAnsi="Times New Roman"/>
          <w:b w:val="false"/>
          <w:i w:val="false"/>
          <w:color w:val="000000"/>
          <w:sz w:val="22"/>
        </w:rPr>
        <w:t>Application for a motor carrier permit or motor carrier certificate shall be made to the motor vehicle division on Form 441052, including the required safety self-certification, and accompanied by the statutory fee. Acceptable payment methods include credit card, cash, and check or money order made payable to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documents. </w:t>
      </w:r>
      <w:r>
        <w:rPr>
          <w:rFonts w:ascii="Times New Roman" w:hAnsi="Times New Roman"/>
          <w:b w:val="false"/>
          <w:i w:val="false"/>
          <w:color w:val="000000"/>
          <w:sz w:val="22"/>
        </w:rPr>
        <w:t>The following documents must accompany the motor carrier permit or motor carrier certificate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U.S. DOT number if required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 if required by rule </w:t>
      </w:r>
      <w:hyperlink r:id="rId10">
        <w:r>
          <w:rPr>
            <w:rStyle w:val="Hyperlink"/>
            <w:rFonts w:ascii="Times New Roman" w:hAnsi="Times New Roman"/>
            <w:b w:val="false"/>
            <w:i w:val="false"/>
            <w:color w:val="000000"/>
            <w:sz w:val="22"/>
          </w:rPr>
          <w:t>761—524.10</w:t>
        </w:r>
      </w:hyperlink>
      <w:r>
        <w:rPr>
          <w:rFonts w:ascii="Times New Roman" w:hAnsi="Times New Roman"/>
          <w:b w:val="false"/>
          <w:i w:val="false"/>
          <w:color w:val="000000"/>
          <w:sz w:val="22"/>
        </w:rPr>
        <w:t>(325A).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Tariff, only for motor carriers of household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documents identified in </w:t>
      </w:r>
      <w:hyperlink r:id="rId11">
        <w:r>
          <w:rPr>
            <w:rStyle w:val="Hyperlink"/>
            <w:rFonts w:ascii="Times New Roman" w:hAnsi="Times New Roman"/>
            <w:b w:val="false"/>
            <w:i w:val="false"/>
            <w:color w:val="000000"/>
            <w:sz w:val="22"/>
          </w:rPr>
          <w:t>761—subrule 380.4(2)</w:t>
        </w:r>
      </w:hyperlink>
      <w:r>
        <w:rPr>
          <w:rFonts w:ascii="Times New Roman" w:hAnsi="Times New Roman"/>
          <w:b w:val="false"/>
          <w:i w:val="false"/>
          <w:color w:val="000000"/>
          <w:sz w:val="22"/>
        </w:rPr>
        <w:t xml:space="preserve"> and any other documentation, if required by the department, necessary to assess the operational capabilities of any driverless-capable vehicles the motor carrier intends to operate, including for the purpose of determining whether to impose operational restrictions as authorized under rule </w:t>
      </w:r>
      <w:hyperlink r:id="rId12">
        <w:r>
          <w:rPr>
            <w:rStyle w:val="Hyperlink"/>
            <w:rFonts w:ascii="Times New Roman" w:hAnsi="Times New Roman"/>
            <w:b w:val="false"/>
            <w:i w:val="false"/>
            <w:color w:val="000000"/>
            <w:sz w:val="22"/>
          </w:rPr>
          <w:t>761—400.18</w:t>
        </w:r>
      </w:hyperlink>
      <w:r>
        <w:rPr>
          <w:rFonts w:ascii="Times New Roman" w:hAnsi="Times New Roman"/>
          <w:b w:val="false"/>
          <w:i w:val="false"/>
          <w:color w:val="000000"/>
          <w:sz w:val="22"/>
        </w:rPr>
        <w:t>(307,321).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761—524.4</w:t>
      </w:r>
      <w:r>
        <w:rPr>
          <w:rFonts w:ascii="Times New Roman" w:hAnsi="Times New Roman"/>
          <w:b/>
          <w:i w:val="false"/>
          <w:color w:val="000000"/>
          <w:sz w:val="22"/>
        </w:rPr>
        <w:t xml:space="preserve">(325A) </w:t>
      </w:r>
      <w:r>
        <w:rPr>
          <w:rFonts w:ascii="Times New Roman" w:hAnsi="Times New Roman"/>
          <w:b/>
          <w:i w:val="false"/>
          <w:color w:val="000000"/>
          <w:sz w:val="22"/>
        </w:rPr>
        <w:t xml:space="preserve">Issuance of motor carrier permit or motor carrier certificate. </w:t>
      </w:r>
      <w:r>
        <w:rPr>
          <w:rFonts w:ascii="Times New Roman" w:hAnsi="Times New Roman"/>
          <w:b w:val="false"/>
          <w:i w:val="false"/>
          <w:color w:val="000000"/>
          <w:sz w:val="22"/>
        </w:rPr>
        <w:t>When all requirements are met, the department will issue the motor carrier permit or certificate, a copy of which shall be carried in each motor vehicle at all times. The copy may be in either a physical or an electronic format and shall be available for display to any peace officer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761—524.5</w:t>
      </w:r>
      <w:r>
        <w:rPr>
          <w:rFonts w:ascii="Times New Roman" w:hAnsi="Times New Roman"/>
          <w:b/>
          <w:i w:val="false"/>
          <w:color w:val="000000"/>
          <w:sz w:val="22"/>
        </w:rPr>
        <w:t xml:space="preserve">(325A) </w:t>
      </w:r>
      <w:r>
        <w:rPr>
          <w:rFonts w:ascii="Times New Roman" w:hAnsi="Times New Roman"/>
          <w:b/>
          <w:i w:val="false"/>
          <w:color w:val="000000"/>
          <w:sz w:val="22"/>
        </w:rPr>
        <w:t xml:space="preserve">Duplicate motor carrier permit or motor carrier certificate. </w:t>
      </w:r>
      <w:r>
        <w:rPr>
          <w:rFonts w:ascii="Times New Roman" w:hAnsi="Times New Roman"/>
          <w:b w:val="false"/>
          <w:i w:val="false"/>
          <w:color w:val="000000"/>
          <w:sz w:val="22"/>
        </w:rPr>
        <w:t>A motor carrier seeking a duplicate motor carrier permit or motor carrier certificate shall send a written request to the motor vehicle division and include the carrier name, the permit number, certificate number, or U.S. DOT number, and the statutory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761—524.6</w:t>
      </w:r>
      <w:r>
        <w:rPr>
          <w:rFonts w:ascii="Times New Roman" w:hAnsi="Times New Roman"/>
          <w:b/>
          <w:i w:val="false"/>
          <w:color w:val="000000"/>
          <w:sz w:val="22"/>
        </w:rPr>
        <w:t xml:space="preserve">(325A) </w:t>
      </w:r>
      <w:r>
        <w:rPr>
          <w:rFonts w:ascii="Times New Roman" w:hAnsi="Times New Roman"/>
          <w:b/>
          <w:i w:val="false"/>
          <w:color w:val="000000"/>
          <w:sz w:val="22"/>
        </w:rPr>
        <w:t xml:space="preserve">Amendment to a motor carrier permit or motor carrier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524.6(1)</w:t>
      </w:r>
      <w:r>
        <w:rPr>
          <w:rFonts w:ascii="Times New Roman" w:hAnsi="Times New Roman"/>
          <w:b w:val="false"/>
          <w:i w:val="false"/>
          <w:color w:val="000000"/>
          <w:sz w:val="22"/>
        </w:rPr>
        <w:t> </w:t>
      </w:r>
      <w:r>
        <w:rPr>
          <w:rFonts w:ascii="Times New Roman" w:hAnsi="Times New Roman"/>
          <w:b w:val="false"/>
          <w:i/>
          <w:color w:val="000000"/>
          <w:sz w:val="22"/>
        </w:rPr>
        <w:t xml:space="preserve">Update to a motor carrier permit. </w:t>
      </w:r>
      <w:r>
        <w:rPr>
          <w:rFonts w:ascii="Times New Roman" w:hAnsi="Times New Roman"/>
          <w:b w:val="false"/>
          <w:i w:val="false"/>
          <w:color w:val="000000"/>
          <w:sz w:val="22"/>
        </w:rPr>
        <w:t>A motor carrier seeking to change the commodities being transported under a permit shall submit an updated application to the motor vehicle division, including the permit number and statutory fee for a duplicate permit. Transporting of commodities not listed on the permit is not authorized until a new permit or temporary permit has been issued and is carried in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524.6(2)</w:t>
      </w:r>
      <w:r>
        <w:rPr>
          <w:rFonts w:ascii="Times New Roman" w:hAnsi="Times New Roman"/>
          <w:b w:val="false"/>
          <w:i w:val="false"/>
          <w:color w:val="000000"/>
          <w:sz w:val="22"/>
        </w:rPr>
        <w:t> </w:t>
      </w:r>
      <w:r>
        <w:rPr>
          <w:rFonts w:ascii="Times New Roman" w:hAnsi="Times New Roman"/>
          <w:b w:val="false"/>
          <w:i/>
          <w:color w:val="000000"/>
          <w:sz w:val="22"/>
        </w:rPr>
        <w:t xml:space="preserve">Change of name or address for a motor carrier permit or certificate. </w:t>
      </w:r>
      <w:r>
        <w:rPr>
          <w:rFonts w:ascii="Times New Roman" w:hAnsi="Times New Roman"/>
          <w:b w:val="false"/>
          <w:i w:val="false"/>
          <w:color w:val="000000"/>
          <w:sz w:val="22"/>
        </w:rPr>
        <w:t>A motor carrier seeking to change the name or address shall submit an updated application to the motor vehicle division within 30 days after the change and include the permit or certificate number, old name or address, new name or address and the statutory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761—524.7</w:t>
      </w:r>
      <w:r>
        <w:rPr>
          <w:rFonts w:ascii="Times New Roman" w:hAnsi="Times New Roman"/>
          <w:b/>
          <w:i w:val="false"/>
          <w:color w:val="000000"/>
          <w:sz w:val="22"/>
        </w:rPr>
        <w:t xml:space="preserve">(325A) </w:t>
      </w:r>
      <w:r>
        <w:rPr>
          <w:rFonts w:ascii="Times New Roman" w:hAnsi="Times New Roman"/>
          <w:b/>
          <w:i w:val="false"/>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524.7(1)</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Each motor carrier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all times maintain on file with the department the effective certificate(s) of insurance or a surety bond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insurance or the surety bond is written for a period of one year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written notice 30 days prior to the cancellation of the insurance or the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all certificates of insurance to the department electronically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524.7(2)</w:t>
      </w:r>
      <w:r>
        <w:rPr>
          <w:rFonts w:ascii="Times New Roman" w:hAnsi="Times New Roman"/>
          <w:b w:val="false"/>
          <w:i w:val="false"/>
          <w:color w:val="000000"/>
          <w:sz w:val="22"/>
        </w:rPr>
        <w:t> </w:t>
      </w:r>
      <w:r>
        <w:rPr>
          <w:rFonts w:ascii="Times New Roman" w:hAnsi="Times New Roman"/>
          <w:b w:val="false"/>
          <w:i/>
          <w:color w:val="000000"/>
          <w:sz w:val="22"/>
        </w:rPr>
        <w:t xml:space="preserve">Self-insurance. </w:t>
      </w:r>
      <w:r>
        <w:rPr>
          <w:rFonts w:ascii="Times New Roman" w:hAnsi="Times New Roman"/>
          <w:b w:val="false"/>
          <w:i w:val="false"/>
          <w:color w:val="000000"/>
          <w:sz w:val="22"/>
        </w:rPr>
        <w:t xml:space="preserve">Except as otherwise provided in subrule </w:t>
      </w:r>
      <w:hyperlink r:id="rId13">
        <w:r>
          <w:rPr>
            <w:rStyle w:val="Hyperlink"/>
            <w:rFonts w:ascii="Times New Roman" w:hAnsi="Times New Roman"/>
            <w:b w:val="false"/>
            <w:i w:val="false"/>
            <w:color w:val="000000"/>
            <w:sz w:val="22"/>
          </w:rPr>
          <w:t>524.7(1)</w:t>
        </w:r>
      </w:hyperlink>
      <w:r>
        <w:rPr>
          <w:rFonts w:ascii="Times New Roman" w:hAnsi="Times New Roman"/>
          <w:b w:val="false"/>
          <w:i w:val="false"/>
          <w:color w:val="000000"/>
          <w:sz w:val="22"/>
        </w:rPr>
        <w:t xml:space="preserve">, the department may allow a carrier to self-insure in lieu of maintaining insurance required under subrule </w:t>
      </w:r>
      <w:hyperlink r:id="rId14">
        <w:r>
          <w:rPr>
            <w:rStyle w:val="Hyperlink"/>
            <w:rFonts w:ascii="Times New Roman" w:hAnsi="Times New Roman"/>
            <w:b w:val="false"/>
            <w:i w:val="false"/>
            <w:color w:val="000000"/>
            <w:sz w:val="22"/>
          </w:rPr>
          <w:t>524.7(1)</w:t>
        </w:r>
      </w:hyperlink>
      <w:r>
        <w:rPr>
          <w:rFonts w:ascii="Times New Roman" w:hAnsi="Times New Roman"/>
          <w:b w:val="false"/>
          <w:i w:val="false"/>
          <w:color w:val="000000"/>
          <w:sz w:val="22"/>
        </w:rPr>
        <w:t xml:space="preserve"> if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intrastate carrier also operates interstate and has been approved by a federal agency to self-insure.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carrier submits a written request to self-insure to the motor vehicle division that includes a copy of the federal agency’s approval to self-insure and copies of any information required by that federal agency in approving the request to self-insure.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motor carrier agrees to immediately notify the department if there is any change in the status of the self-insurance for interstate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761—524.8</w:t>
      </w:r>
      <w:r>
        <w:rPr>
          <w:rFonts w:ascii="Times New Roman" w:hAnsi="Times New Roman"/>
          <w:b/>
          <w:i w:val="false"/>
          <w:color w:val="000000"/>
          <w:sz w:val="22"/>
        </w:rPr>
        <w:t xml:space="preserve">(325A) </w:t>
      </w:r>
      <w:r>
        <w:rPr>
          <w:rFonts w:ascii="Times New Roman" w:hAnsi="Times New Roman"/>
          <w:b/>
          <w:i w:val="false"/>
          <w:color w:val="000000"/>
          <w:sz w:val="22"/>
        </w:rPr>
        <w:t xml:space="preserve">Self-insurance for motor carriers of passengers.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524.8(1)</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self-insurance. </w:t>
      </w:r>
      <w:r>
        <w:rPr>
          <w:rFonts w:ascii="Times New Roman" w:hAnsi="Times New Roman"/>
          <w:b w:val="false"/>
          <w:i w:val="false"/>
          <w:color w:val="000000"/>
          <w:sz w:val="22"/>
        </w:rPr>
        <w:t>A motor carrier of passengers with more than 25 motor vehicles may request self-insurance by submitting a written request to the motor vehicle division, including a copy of the carrier’s most recent audited financial statement and a vehicle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524.8(2)</w:t>
      </w:r>
      <w:r>
        <w:rPr>
          <w:rFonts w:ascii="Times New Roman" w:hAnsi="Times New Roman"/>
          <w:b w:val="false"/>
          <w:i w:val="false"/>
          <w:color w:val="000000"/>
          <w:sz w:val="22"/>
        </w:rPr>
        <w:t> </w:t>
      </w:r>
      <w:r>
        <w:rPr>
          <w:rFonts w:ascii="Times New Roman" w:hAnsi="Times New Roman"/>
          <w:b w:val="false"/>
          <w:i/>
          <w:color w:val="000000"/>
          <w:sz w:val="22"/>
        </w:rPr>
        <w:t xml:space="preserve">Review by the department. </w:t>
      </w:r>
      <w:r>
        <w:rPr>
          <w:rFonts w:ascii="Times New Roman" w:hAnsi="Times New Roman"/>
          <w:b w:val="false"/>
          <w:i w:val="false"/>
          <w:color w:val="000000"/>
          <w:sz w:val="22"/>
        </w:rPr>
        <w:t xml:space="preserve">The department may request additional information to evaluate the request to self-insure. A request to self-insure will be denied and an existing approval to self-insure will be suspended if the motor carrier fails to meet the self-insurance standard under </w:t>
      </w:r>
      <w:r>
        <w:rPr>
          <w:rFonts w:ascii="Times New Roman" w:hAnsi="Times New Roman"/>
          <w:b w:val="false"/>
          <w:i w:val="false"/>
          <w:color w:val="000000"/>
          <w:sz w:val="22"/>
        </w:rPr>
        <w:t>49 CFR 387.33</w:t>
      </w:r>
      <w:r>
        <w:rPr>
          <w:rFonts w:ascii="Times New Roman" w:hAnsi="Times New Roman"/>
          <w:b w:val="false"/>
          <w:i w:val="false"/>
          <w:color w:val="000000"/>
          <w:sz w:val="22"/>
        </w:rPr>
        <w:t>T effective as of October 1, 2024. An approval to self-insure is continuous unless canceled. The motor carrier shall annually file audited financial statements with the motor vehicle division within 60 days after the end of the motor carrier’s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self-insurance approval. </w:t>
      </w:r>
      <w:r>
        <w:rPr>
          <w:rFonts w:ascii="Times New Roman" w:hAnsi="Times New Roman"/>
          <w:b w:val="false"/>
          <w:i w:val="false"/>
          <w:color w:val="000000"/>
          <w:sz w:val="22"/>
        </w:rPr>
        <w:t xml:space="preserve">The department, upon five days’ notice prior to any hearing to cancel approval, may cancel approval of a carrier to self-insure if the carrier fails to file an audited financial statement as required under subrule </w:t>
      </w:r>
      <w:hyperlink r:id="rId15">
        <w:r>
          <w:rPr>
            <w:rStyle w:val="Hyperlink"/>
            <w:rFonts w:ascii="Times New Roman" w:hAnsi="Times New Roman"/>
            <w:b w:val="false"/>
            <w:i w:val="false"/>
            <w:color w:val="000000"/>
            <w:sz w:val="22"/>
          </w:rPr>
          <w:t>524.8(2)</w:t>
        </w:r>
      </w:hyperlink>
      <w:r>
        <w:rPr>
          <w:rFonts w:ascii="Times New Roman" w:hAnsi="Times New Roman"/>
          <w:b w:val="false"/>
          <w:i w:val="false"/>
          <w:color w:val="000000"/>
          <w:sz w:val="22"/>
        </w:rPr>
        <w:t xml:space="preserve"> or for other reasonable grounds, including but not limited to the failure of the carrier to pay a final judgment within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761—524.9</w:t>
      </w:r>
      <w:r>
        <w:rPr>
          <w:rFonts w:ascii="Times New Roman" w:hAnsi="Times New Roman"/>
          <w:b/>
          <w:i w:val="false"/>
          <w:color w:val="000000"/>
          <w:sz w:val="22"/>
        </w:rPr>
        <w:t xml:space="preserve">(325A) </w:t>
      </w:r>
      <w:r>
        <w:rPr>
          <w:rFonts w:ascii="Times New Roman" w:hAnsi="Times New Roman"/>
          <w:b/>
          <w:i w:val="false"/>
          <w:color w:val="000000"/>
          <w:sz w:val="22"/>
        </w:rPr>
        <w:t xml:space="preserve">Safety regulations. </w:t>
      </w:r>
      <w:r>
        <w:rPr>
          <w:rFonts w:ascii="Times New Roman" w:hAnsi="Times New Roman"/>
          <w:b w:val="false"/>
          <w:i w:val="false"/>
          <w:color w:val="000000"/>
          <w:sz w:val="22"/>
        </w:rPr>
        <w:t xml:space="preserve">All motor carriers shall follow the applicable safety regulations in </w:t>
      </w:r>
      <w:hyperlink r:id="rId16">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 xml:space="preserve"> concerning operation, maintenance and inspection of vehicles.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761—524.10</w:t>
      </w:r>
      <w:r>
        <w:rPr>
          <w:rFonts w:ascii="Times New Roman" w:hAnsi="Times New Roman"/>
          <w:b/>
          <w:i w:val="false"/>
          <w:color w:val="000000"/>
          <w:sz w:val="22"/>
        </w:rPr>
        <w:t xml:space="preserve">(325A) </w:t>
      </w:r>
      <w:r>
        <w:rPr>
          <w:rFonts w:ascii="Times New Roman" w:hAnsi="Times New Roman"/>
          <w:b/>
          <w:i w:val="false"/>
          <w:color w:val="000000"/>
          <w:sz w:val="22"/>
        </w:rPr>
        <w:t xml:space="preserve">Financial statement. </w:t>
      </w:r>
      <w:r>
        <w:rPr>
          <w:rFonts w:ascii="Times New Roman" w:hAnsi="Times New Roman"/>
          <w:b w:val="false"/>
          <w:i w:val="false"/>
          <w:color w:val="000000"/>
          <w:sz w:val="22"/>
        </w:rPr>
        <w:t>An application by a motor carrier of bulk liquid commodities (nondairy) or regular-route passengers must include, on a form prescribed by the department, a statement signed by an authorized agent of a lending institution or a certified public accountant attesting to the financial capability of that carrier.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761—524.11</w:t>
      </w:r>
      <w:r>
        <w:rPr>
          <w:rFonts w:ascii="Times New Roman" w:hAnsi="Times New Roman"/>
          <w:b/>
          <w:i w:val="false"/>
          <w:color w:val="000000"/>
          <w:sz w:val="22"/>
        </w:rPr>
        <w:t xml:space="preserve">(325A) </w:t>
      </w:r>
      <w:r>
        <w:rPr>
          <w:rFonts w:ascii="Times New Roman" w:hAnsi="Times New Roman"/>
          <w:b/>
          <w:i w:val="false"/>
          <w:color w:val="000000"/>
          <w:sz w:val="22"/>
        </w:rPr>
        <w:t xml:space="preserve">Safety education seminar.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 xml:space="preserve">Except as provided in subrule </w:t>
      </w:r>
      <w:hyperlink r:id="rId17">
        <w:r>
          <w:rPr>
            <w:rStyle w:val="Hyperlink"/>
            <w:rFonts w:ascii="Times New Roman" w:hAnsi="Times New Roman"/>
            <w:b w:val="false"/>
            <w:i w:val="false"/>
            <w:color w:val="000000"/>
            <w:sz w:val="22"/>
          </w:rPr>
          <w:t>524.11(4)</w:t>
        </w:r>
      </w:hyperlink>
      <w:r>
        <w:rPr>
          <w:rFonts w:ascii="Times New Roman" w:hAnsi="Times New Roman"/>
          <w:b w:val="false"/>
          <w:i w:val="false"/>
          <w:color w:val="000000"/>
          <w:sz w:val="22"/>
        </w:rPr>
        <w:t xml:space="preserve">, persons responsible for the safety records and driver training of applicable motor carriers are required to complete the safety education seminar under Iowa Code section </w:t>
      </w:r>
      <w:hyperlink r:id="rId18">
        <w:r>
          <w:rPr>
            <w:rStyle w:val="Hyperlink"/>
            <w:rFonts w:ascii="Times New Roman" w:hAnsi="Times New Roman"/>
            <w:b w:val="false"/>
            <w:i w:val="false"/>
            <w:color w:val="000000"/>
            <w:sz w:val="22"/>
          </w:rPr>
          <w:t>325A.3(5)</w:t>
        </w:r>
      </w:hyperlink>
      <w:r>
        <w:rPr>
          <w:rFonts w:ascii="Times New Roman" w:hAnsi="Times New Roman"/>
          <w:b w:val="false"/>
          <w:i w:val="false"/>
          <w:color w:val="000000"/>
          <w:sz w:val="22"/>
        </w:rPr>
        <w:t>. Failure to attend an approved safety education seminar within the required time frame will result in suspension of the motor carrier permit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524.11(2)</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 xml:space="preserve">The department provides an approved safety education seminar periodically. Information on how to access the seminar is available from the Motor Vehicle Division in person at 6310 SE Convenience Boulevard, Ankeny, Iowa; by telephone at 515.237.3268; or by email at </w:t>
      </w:r>
      <w:hyperlink r:id="rId19">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524.11(3)</w:t>
      </w:r>
      <w:r>
        <w:rPr>
          <w:rFonts w:ascii="Times New Roman" w:hAnsi="Times New Roman"/>
          <w:b w:val="false"/>
          <w:i w:val="false"/>
          <w:color w:val="000000"/>
          <w:sz w:val="22"/>
        </w:rPr>
        <w:t> </w:t>
      </w:r>
      <w:r>
        <w:rPr>
          <w:rFonts w:ascii="Times New Roman" w:hAnsi="Times New Roman"/>
          <w:b w:val="false"/>
          <w:i/>
          <w:color w:val="000000"/>
          <w:sz w:val="22"/>
        </w:rPr>
        <w:t xml:space="preserve">Third-party safety education seminar approval. </w:t>
      </w:r>
      <w:r>
        <w:rPr>
          <w:rFonts w:ascii="Times New Roman" w:hAnsi="Times New Roman"/>
          <w:b w:val="false"/>
          <w:i w:val="false"/>
          <w:color w:val="000000"/>
          <w:sz w:val="22"/>
        </w:rPr>
        <w:t>The motor vehicle division may approve individuals outside the department to conduct safety education seminars. Only the department is authorized to approve the course curriculum. At a minimum, the safety course curriculum is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Commercial driver’s license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U.S. DOT’s motor carrier safety regulations and hazardous materials regulations adopted annually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20">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321.450</w:t>
        </w:r>
      </w:hyperlink>
      <w:r>
        <w:rPr>
          <w:rFonts w:ascii="Times New Roman" w:hAnsi="Times New Roman"/>
          <w:b w:val="false"/>
          <w:i w:val="false"/>
          <w:color w:val="000000"/>
          <w:sz w:val="22"/>
        </w:rPr>
        <w:t xml:space="preserve"> and all associated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2">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and all associated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Out-of-service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U.S. DOT’s Emergency Response Guidebook.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524.11(4)</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Passenger carriers with vehicles not meeting the definition of a commercial vehicle as defined in Iowa Code section </w:t>
      </w:r>
      <w:hyperlink r:id="rId2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exempt from attending the safety education seminar and paying the seminar fee. A motor carrier certificate issued for such a carrier contains the following statement: “limited to noncommercial vehicles only.” If a motor carrier wishes to start operating vehicles that meet the definition of a commercial motor vehicle, the motor carrier must update its authority with the motor vehicle division. Upon paying the seminar fee and attending the seminar within six months of updating the certificate, the department will issue a new motor carrier certificate removing the limitation.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761—524.12</w:t>
      </w:r>
      <w:r>
        <w:rPr>
          <w:rFonts w:ascii="Times New Roman" w:hAnsi="Times New Roman"/>
          <w:b/>
          <w:i w:val="false"/>
          <w:color w:val="000000"/>
          <w:sz w:val="22"/>
        </w:rPr>
        <w:t xml:space="preserve">(325A) </w:t>
      </w:r>
      <w:r>
        <w:rPr>
          <w:rFonts w:ascii="Times New Roman" w:hAnsi="Times New Roman"/>
          <w:b/>
          <w:i w:val="false"/>
          <w:color w:val="000000"/>
          <w:sz w:val="22"/>
        </w:rPr>
        <w:t xml:space="preserve">Lease of a vehicle.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524.12(1)</w:t>
      </w:r>
      <w:r>
        <w:rPr>
          <w:rFonts w:ascii="Times New Roman" w:hAnsi="Times New Roman"/>
          <w:b w:val="false"/>
          <w:i w:val="false"/>
          <w:color w:val="000000"/>
          <w:sz w:val="22"/>
        </w:rPr>
        <w:t> </w:t>
      </w:r>
      <w:r>
        <w:rPr>
          <w:rFonts w:ascii="Times New Roman" w:hAnsi="Times New Roman"/>
          <w:b w:val="false"/>
          <w:i/>
          <w:color w:val="000000"/>
          <w:sz w:val="22"/>
        </w:rPr>
        <w:t xml:space="preserve">Lease defined. </w:t>
      </w:r>
      <w:r>
        <w:rPr>
          <w:rFonts w:ascii="Times New Roman" w:hAnsi="Times New Roman"/>
          <w:b w:val="false"/>
          <w:i w:val="false"/>
          <w:color w:val="000000"/>
          <w:sz w:val="22"/>
        </w:rPr>
        <w:t>“Lease,” for the purpose of these rules, means a written document providing for the exclusive possession, control and responsibility over the operation of a vehicle by the lessee for a specific period of time as if the lessee were the owner. A copy of the lease must be carried in the leased vehicle at all times. No motor carrier may have more than one lease covering a specific vehicle in effect at a given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524.12(2)</w:t>
      </w:r>
      <w:r>
        <w:rPr>
          <w:rFonts w:ascii="Times New Roman" w:hAnsi="Times New Roman"/>
          <w:b w:val="false"/>
          <w:i w:val="false"/>
          <w:color w:val="000000"/>
          <w:sz w:val="22"/>
        </w:rPr>
        <w:t> </w:t>
      </w:r>
      <w:r>
        <w:rPr>
          <w:rFonts w:ascii="Times New Roman" w:hAnsi="Times New Roman"/>
          <w:b w:val="false"/>
          <w:i/>
          <w:color w:val="000000"/>
          <w:sz w:val="22"/>
        </w:rPr>
        <w:t xml:space="preserve">Lease of a vehicle to a shipper or a receiver. </w:t>
      </w:r>
      <w:r>
        <w:rPr>
          <w:rFonts w:ascii="Times New Roman" w:hAnsi="Times New Roman"/>
          <w:b w:val="false"/>
          <w:i w:val="false"/>
          <w:color w:val="000000"/>
          <w:sz w:val="22"/>
        </w:rPr>
        <w:t>No motor carrier shall lease a vehicle with or without a driver to a shipper or a receiver.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524.12(3)</w:t>
      </w:r>
      <w:r>
        <w:rPr>
          <w:rFonts w:ascii="Times New Roman" w:hAnsi="Times New Roman"/>
          <w:b w:val="false"/>
          <w:i w:val="false"/>
          <w:color w:val="000000"/>
          <w:sz w:val="22"/>
        </w:rPr>
        <w:t> </w:t>
      </w:r>
      <w:r>
        <w:rPr>
          <w:rFonts w:ascii="Times New Roman" w:hAnsi="Times New Roman"/>
          <w:b w:val="false"/>
          <w:i/>
          <w:color w:val="000000"/>
          <w:sz w:val="22"/>
        </w:rPr>
        <w:t xml:space="preserve">Marking of a motor vehicle. </w:t>
      </w:r>
      <w:r>
        <w:rPr>
          <w:rFonts w:ascii="Times New Roman" w:hAnsi="Times New Roman"/>
          <w:b w:val="false"/>
          <w:i w:val="false"/>
          <w:color w:val="000000"/>
          <w:sz w:val="22"/>
        </w:rPr>
        <w:t xml:space="preserve">Each lessee shall properly identify each motor vehicle during the period of the lease as specified in rule </w:t>
      </w:r>
      <w:hyperlink r:id="rId24">
        <w:r>
          <w:rPr>
            <w:rStyle w:val="Hyperlink"/>
            <w:rFonts w:ascii="Times New Roman" w:hAnsi="Times New Roman"/>
            <w:b w:val="false"/>
            <w:i w:val="false"/>
            <w:color w:val="000000"/>
            <w:sz w:val="22"/>
          </w:rPr>
          <w:t>661—22.9</w:t>
        </w:r>
      </w:hyperlink>
      <w:r>
        <w:rPr>
          <w:rFonts w:ascii="Times New Roman" w:hAnsi="Times New Roman"/>
          <w:b w:val="false"/>
          <w:i w:val="false"/>
          <w:color w:val="000000"/>
          <w:sz w:val="22"/>
        </w:rPr>
        <w:t>(325A).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524.12(4)</w:t>
      </w:r>
      <w:r>
        <w:rPr>
          <w:rFonts w:ascii="Times New Roman" w:hAnsi="Times New Roman"/>
          <w:b w:val="false"/>
          <w:i w:val="false"/>
          <w:color w:val="000000"/>
          <w:sz w:val="22"/>
        </w:rPr>
        <w:t> </w:t>
      </w:r>
      <w:r>
        <w:rPr>
          <w:rFonts w:ascii="Times New Roman" w:hAnsi="Times New Roman"/>
          <w:b w:val="false"/>
          <w:i/>
          <w:color w:val="000000"/>
          <w:sz w:val="22"/>
        </w:rPr>
        <w:t xml:space="preserve">Lease requirements. </w:t>
      </w:r>
      <w:r>
        <w:rPr>
          <w:rFonts w:ascii="Times New Roman" w:hAnsi="Times New Roman"/>
          <w:b w:val="false"/>
          <w:i w:val="false"/>
          <w:color w:val="000000"/>
          <w:sz w:val="22"/>
        </w:rPr>
        <w:t>Any lease of a vehicle by any motor carrier except under the following conditions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lease must be in writing and signed by the parties or their regular employees or agents duly authorized to act for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lease shall specify the time that the lease begins and the time or circumstances on which it ends.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761—524.13</w:t>
      </w:r>
      <w:r>
        <w:rPr>
          <w:rFonts w:ascii="Times New Roman" w:hAnsi="Times New Roman"/>
          <w:b/>
          <w:i w:val="false"/>
          <w:color w:val="000000"/>
          <w:sz w:val="22"/>
        </w:rPr>
        <w:t xml:space="preserve">(325A) </w:t>
      </w:r>
      <w:r>
        <w:rPr>
          <w:rFonts w:ascii="Times New Roman" w:hAnsi="Times New Roman"/>
          <w:b/>
          <w:i w:val="false"/>
          <w:color w:val="000000"/>
          <w:sz w:val="22"/>
        </w:rPr>
        <w:t xml:space="preserve">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All motor carriers of household goods shall maintain on file with the motor vehicle division a tariff stating the rates and charges that apply for the services performed under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524.13(2)</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All tariffs and amendments or supplements must be maintained in physical or electronic format and be legibly printed or produced. No alteration in writing, typing or erasure is to be made in any tariff or supplement.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All changes to tariffs and supplements are to be filed with the motor vehicle division at least seven days prior to the effective date. Tariffs or supplements issued in connection with applications for motor carriers of household goods may become effective on the date the permits are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524.13(4)</w:t>
      </w:r>
      <w:r>
        <w:rPr>
          <w:rFonts w:ascii="Times New Roman" w:hAnsi="Times New Roman"/>
          <w:b w:val="false"/>
          <w:i w:val="false"/>
          <w:color w:val="000000"/>
          <w:sz w:val="22"/>
        </w:rPr>
        <w:t> </w:t>
      </w:r>
      <w:r>
        <w:rPr>
          <w:rFonts w:ascii="Times New Roman" w:hAnsi="Times New Roman"/>
          <w:b w:val="false"/>
          <w:i/>
          <w:color w:val="000000"/>
          <w:sz w:val="22"/>
        </w:rPr>
        <w:t xml:space="preserve">Copy to department. </w:t>
      </w:r>
      <w:r>
        <w:rPr>
          <w:rFonts w:ascii="Times New Roman" w:hAnsi="Times New Roman"/>
          <w:b w:val="false"/>
          <w:i w:val="false"/>
          <w:color w:val="000000"/>
          <w:sz w:val="22"/>
        </w:rPr>
        <w:t>To file a tariff with the motor vehicle division, motor carriers of household goods or their agents are to submit, including by electronic means, a transmittal letter listing all the enclosed tariffs and include one copy of each tariff, supplement or revised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524.13(5)</w:t>
      </w:r>
      <w:r>
        <w:rPr>
          <w:rFonts w:ascii="Times New Roman" w:hAnsi="Times New Roman"/>
          <w:b w:val="false"/>
          <w:i w:val="false"/>
          <w:color w:val="000000"/>
          <w:sz w:val="22"/>
        </w:rPr>
        <w:t> </w:t>
      </w:r>
      <w:r>
        <w:rPr>
          <w:rFonts w:ascii="Times New Roman" w:hAnsi="Times New Roman"/>
          <w:b w:val="false"/>
          <w:i/>
          <w:color w:val="000000"/>
          <w:sz w:val="22"/>
        </w:rPr>
        <w:t xml:space="preserve">Title page. </w:t>
      </w:r>
      <w:r>
        <w:rPr>
          <w:rFonts w:ascii="Times New Roman" w:hAnsi="Times New Roman"/>
          <w:b w:val="false"/>
          <w:i w:val="false"/>
          <w:color w:val="000000"/>
          <w:sz w:val="22"/>
        </w:rPr>
        <w:t>The title page of every tariff and supplement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tariff shall be numbered in the upper right-hand corner, beginning with number 1 and shown as follows: Ia. DOT No.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tariff is issued canceling a tariff previously filed, the Ia. DOT number of the canceled tariff shall be in the right-hand corner under the Ia. DOT number of the new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Supplements or changes to a tariff shall be numbered beginning with number 1 in the upper right-hand corner along with the number of any previous supplements canceled or changed by the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each motor carrier of household goods must be the same as it appears on the permit. If the motor carrier of household goods is not a corporation and uses a trade name, the name of the individual or partners needs to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tariff shall include a brief description of the territory or points from which and to which the tariff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tariff shall contain the issue and effective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tariff shall include the name, title and street address of the motor carrier of household goods or the agent by whom the tariff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524.13(6)</w:t>
      </w:r>
      <w:r>
        <w:rPr>
          <w:rFonts w:ascii="Times New Roman" w:hAnsi="Times New Roman"/>
          <w:b w:val="false"/>
          <w:i w:val="false"/>
          <w:color w:val="000000"/>
          <w:sz w:val="22"/>
        </w:rPr>
        <w:t> </w:t>
      </w:r>
      <w:r>
        <w:rPr>
          <w:rFonts w:ascii="Times New Roman" w:hAnsi="Times New Roman"/>
          <w:b w:val="false"/>
          <w:i/>
          <w:color w:val="000000"/>
          <w:sz w:val="22"/>
        </w:rPr>
        <w:t xml:space="preserve">Contents of tariff. </w:t>
      </w:r>
      <w:r>
        <w:rPr>
          <w:rFonts w:ascii="Times New Roman" w:hAnsi="Times New Roman"/>
          <w:b w:val="false"/>
          <w:i w:val="false"/>
          <w:color w:val="000000"/>
          <w:sz w:val="22"/>
        </w:rPr>
        <w:t>Each tariff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that is arranged alphabetically.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index of all commodities, including the page number. However, no index or table of contents is needed in tariffs of less than five pages or if the rates are alphabetically arranged by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all abbreviations, symbols and reference marks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rates in the tariff explicitly stated in cents or in dollars and cents per one hundred pounds, per mile, per hour, per ton or two thousand pounds, per truck load (of stated amount) or other definable measure. Where rates are stated in amounts per package or bundle, definite specifications of the packages or bundles must be shown and ambiguous terms, rates, descriptions or plans for determining charges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524.13(7)</w:t>
      </w:r>
      <w:r>
        <w:rPr>
          <w:rFonts w:ascii="Times New Roman" w:hAnsi="Times New Roman"/>
          <w:b w:val="false"/>
          <w:i w:val="false"/>
          <w:color w:val="000000"/>
          <w:sz w:val="22"/>
        </w:rPr>
        <w:t> </w:t>
      </w:r>
      <w:r>
        <w:rPr>
          <w:rFonts w:ascii="Times New Roman" w:hAnsi="Times New Roman"/>
          <w:b w:val="false"/>
          <w:i/>
          <w:color w:val="000000"/>
          <w:sz w:val="22"/>
        </w:rPr>
        <w:t xml:space="preserve">Duplication of rates. </w:t>
      </w:r>
      <w:r>
        <w:rPr>
          <w:rFonts w:ascii="Times New Roman" w:hAnsi="Times New Roman"/>
          <w:b w:val="false"/>
          <w:i w:val="false"/>
          <w:color w:val="000000"/>
          <w:sz w:val="22"/>
        </w:rPr>
        <w:t>Motor carriers of household goods or their agents shall not publish duplicate or conflicting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524.13(8)</w:t>
      </w:r>
      <w:r>
        <w:rPr>
          <w:rFonts w:ascii="Times New Roman" w:hAnsi="Times New Roman"/>
          <w:b w:val="false"/>
          <w:i w:val="false"/>
          <w:color w:val="000000"/>
          <w:sz w:val="22"/>
        </w:rPr>
        <w:t> </w:t>
      </w:r>
      <w:r>
        <w:rPr>
          <w:rFonts w:ascii="Times New Roman" w:hAnsi="Times New Roman"/>
          <w:b w:val="false"/>
          <w:i/>
          <w:color w:val="000000"/>
          <w:sz w:val="22"/>
        </w:rPr>
        <w:t xml:space="preserve">Tariff changes. </w:t>
      </w:r>
      <w:r>
        <w:rPr>
          <w:rFonts w:ascii="Times New Roman" w:hAnsi="Times New Roman"/>
          <w:b w:val="false"/>
          <w:i w:val="false"/>
          <w:color w:val="000000"/>
          <w:sz w:val="22"/>
        </w:rPr>
        <w:t>All rates and charges that have been filed with the motor vehicle division must be allowed to become effective and remain in effect for a period of at least seven days before being changed, canceled or withdrawn. All tariffs, supplements and revised pages shall indicate changes from the previous tariff. Changes may be indicated by providing a summary or by use of the following symbols:</w:t>
      </w:r>
    </w:p>
    <w:p>
      <w:pPr>
        <w:spacing w:before="0" w:after="0"/>
        <w:ind w:left="120"/>
        <w:jc w:val="both"/>
      </w:pPr>
      <w:r>
        <w:rPr>
          <w:rFonts w:ascii="Times New Roman" w:hAnsi="Times New Roman"/>
          <w:b w:val="false"/>
          <w:i w:val="false"/>
          <w:color w:val="000000"/>
          <w:sz w:val="22"/>
        </w:rPr>
        <w:t>(R) to denote reductions</w:t>
      </w:r>
    </w:p>
    <w:p>
      <w:pPr>
        <w:spacing w:before="0" w:after="0"/>
        <w:ind w:left="120"/>
        <w:jc w:val="both"/>
      </w:pPr>
      <w:r>
        <w:rPr>
          <w:rFonts w:ascii="Times New Roman" w:hAnsi="Times New Roman"/>
          <w:b w:val="false"/>
          <w:i w:val="false"/>
          <w:color w:val="000000"/>
          <w:sz w:val="22"/>
        </w:rPr>
        <w:t>(A) to denote increases</w:t>
      </w:r>
    </w:p>
    <w:p>
      <w:pPr>
        <w:spacing w:before="0" w:after="0"/>
        <w:ind w:left="120"/>
        <w:jc w:val="both"/>
      </w:pPr>
      <w:r>
        <w:rPr>
          <w:rFonts w:ascii="Times New Roman" w:hAnsi="Times New Roman"/>
          <w:b w:val="false"/>
          <w:i w:val="false"/>
          <w:color w:val="000000"/>
          <w:sz w:val="22"/>
        </w:rPr>
        <w:t>(C) to denote changes, the result of which is neither an increase nor a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524.13(9)</w:t>
      </w:r>
      <w:r>
        <w:rPr>
          <w:rFonts w:ascii="Times New Roman" w:hAnsi="Times New Roman"/>
          <w:b w:val="false"/>
          <w:i w:val="false"/>
          <w:color w:val="000000"/>
          <w:sz w:val="22"/>
        </w:rPr>
        <w:t> </w:t>
      </w:r>
      <w:r>
        <w:rPr>
          <w:rFonts w:ascii="Times New Roman" w:hAnsi="Times New Roman"/>
          <w:b w:val="false"/>
          <w:i/>
          <w:color w:val="000000"/>
          <w:sz w:val="22"/>
        </w:rPr>
        <w:t xml:space="preserve">Posting regulations. </w:t>
      </w:r>
      <w:r>
        <w:rPr>
          <w:rFonts w:ascii="Times New Roman" w:hAnsi="Times New Roman"/>
          <w:b w:val="false"/>
          <w:i w:val="false"/>
          <w:color w:val="000000"/>
          <w:sz w:val="22"/>
        </w:rPr>
        <w:t>Each motor carrier of household goods must post and file, in either physical or electronic format, at its principal place of business all of its tariffs and supplements. All tariffs must be kept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524.13(10)</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special permission. </w:t>
      </w:r>
      <w:r>
        <w:rPr>
          <w:rFonts w:ascii="Times New Roman" w:hAnsi="Times New Roman"/>
          <w:b w:val="false"/>
          <w:i w:val="false"/>
          <w:color w:val="000000"/>
          <w:sz w:val="22"/>
        </w:rPr>
        <w:t>When making application for permission to establish rates, charges, or rules of the tariff on less than the statutory seven days’ notice, motor carriers of household goods and their agents shall use the form prescribed by the department or other form containing all of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524.13(11)</w:t>
      </w:r>
      <w:r>
        <w:rPr>
          <w:rFonts w:ascii="Times New Roman" w:hAnsi="Times New Roman"/>
          <w:b w:val="false"/>
          <w:i w:val="false"/>
          <w:color w:val="000000"/>
          <w:sz w:val="22"/>
        </w:rPr>
        <w:t> </w:t>
      </w:r>
      <w:r>
        <w:rPr>
          <w:rFonts w:ascii="Times New Roman" w:hAnsi="Times New Roman"/>
          <w:b w:val="false"/>
          <w:i/>
          <w:color w:val="000000"/>
          <w:sz w:val="22"/>
        </w:rPr>
        <w:t xml:space="preserve">Powers of attorney. </w:t>
      </w:r>
      <w:r>
        <w:rPr>
          <w:rFonts w:ascii="Times New Roman" w:hAnsi="Times New Roman"/>
          <w:b w:val="false"/>
          <w:i w:val="false"/>
          <w:color w:val="000000"/>
          <w:sz w:val="22"/>
        </w:rPr>
        <w:t>An agent or other motor carrier of household goods has the authority to file tariffs and supplements on behalf of a motor carrier if the motor carrier completes a power of attorney granting the agent or other motor carrier authority to act on the motor carrier’s behalf,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original power of attorney is on file with the motor vehicle division and a copy has been sent to the agent or other motor carrier of household goods who was granted the authority to act by the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carrier notifies the department in writing whenever the motor carrier wants to cancel the authority granted to an agent or other motor carrier of household goods by power of attorney. The notification may occur in writing to the department and state the power of attorney is revoked with 60 days’ notice. For good cause, the department may authorize less than 60 days’ notice. Copies of the notice must also be mailed to all interested parties by the motor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524.13(12)</w:t>
      </w:r>
      <w:r>
        <w:rPr>
          <w:rFonts w:ascii="Times New Roman" w:hAnsi="Times New Roman"/>
          <w:b w:val="false"/>
          <w:i w:val="false"/>
          <w:color w:val="000000"/>
          <w:sz w:val="22"/>
        </w:rPr>
        <w:t> </w:t>
      </w:r>
      <w:r>
        <w:rPr>
          <w:rFonts w:ascii="Times New Roman" w:hAnsi="Times New Roman"/>
          <w:b w:val="false"/>
          <w:i/>
          <w:color w:val="000000"/>
          <w:sz w:val="22"/>
        </w:rPr>
        <w:t xml:space="preserve">Nonconforming tariffs. </w:t>
      </w:r>
      <w:r>
        <w:rPr>
          <w:rFonts w:ascii="Times New Roman" w:hAnsi="Times New Roman"/>
          <w:b w:val="false"/>
          <w:i w:val="false"/>
          <w:color w:val="000000"/>
          <w:sz w:val="22"/>
        </w:rPr>
        <w:t xml:space="preserve">The motor vehicle division will review tariffs that do not conform with subrules </w:t>
      </w:r>
      <w:hyperlink r:id="rId25">
        <w:r>
          <w:rPr>
            <w:rStyle w:val="Hyperlink"/>
            <w:rFonts w:ascii="Times New Roman" w:hAnsi="Times New Roman"/>
            <w:b w:val="false"/>
            <w:i w:val="false"/>
            <w:color w:val="000000"/>
            <w:sz w:val="22"/>
          </w:rPr>
          <w:t>524.13(1)</w:t>
        </w:r>
      </w:hyperlink>
      <w:r>
        <w:rPr>
          <w:rFonts w:ascii="Times New Roman" w:hAnsi="Times New Roman"/>
          <w:b w:val="false"/>
          <w:i w:val="false"/>
          <w:color w:val="000000"/>
          <w:sz w:val="22"/>
        </w:rPr>
        <w:t xml:space="preserve"> through </w:t>
      </w:r>
      <w:hyperlink r:id="rId26">
        <w:r>
          <w:rPr>
            <w:rStyle w:val="Hyperlink"/>
            <w:rFonts w:ascii="Times New Roman" w:hAnsi="Times New Roman"/>
            <w:b w:val="false"/>
            <w:i w:val="false"/>
            <w:color w:val="000000"/>
            <w:sz w:val="22"/>
          </w:rPr>
          <w:t>524.13(11)</w:t>
        </w:r>
      </w:hyperlink>
      <w:r>
        <w:rPr>
          <w:rFonts w:ascii="Times New Roman" w:hAnsi="Times New Roman"/>
          <w:b w:val="false"/>
          <w:i w:val="false"/>
          <w:color w:val="000000"/>
          <w:sz w:val="22"/>
        </w:rPr>
        <w:t xml:space="preserve"> to determine if the tariffs contain the necessary information and are acceptable. Tariffs that are unacceptable will be returned to the motor carrier with an explanation.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761—524.14</w:t>
      </w:r>
      <w:r>
        <w:rPr>
          <w:rFonts w:ascii="Times New Roman" w:hAnsi="Times New Roman"/>
          <w:b/>
          <w:i w:val="false"/>
          <w:color w:val="000000"/>
          <w:sz w:val="22"/>
        </w:rPr>
        <w:t xml:space="preserve">(325A) </w:t>
      </w:r>
      <w:r>
        <w:rPr>
          <w:rFonts w:ascii="Times New Roman" w:hAnsi="Times New Roman"/>
          <w:b/>
          <w:i w:val="false"/>
          <w:color w:val="000000"/>
          <w:sz w:val="22"/>
        </w:rPr>
        <w:t xml:space="preserve">Denial, suspension, revocation, appeal and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will deny an application if the applicant fails to meet the criteria for issuance of a permit or certificate under Iowa Code chapter </w:t>
      </w:r>
      <w:hyperlink r:id="rId27">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524.14(2)</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w:t>
      </w:r>
      <w:r>
        <w:rPr>
          <w:rFonts w:ascii="Times New Roman" w:hAnsi="Times New Roman"/>
          <w:b w:val="false"/>
          <w:i w:val="false"/>
          <w:color w:val="000000"/>
          <w:sz w:val="22"/>
        </w:rPr>
        <w:t xml:space="preserve">The department may suspend or revoke a motor carrier permit or certificate for a violation of Iowa Code chapter </w:t>
      </w:r>
      <w:hyperlink r:id="rId28">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this chapter. The suspension or revocation shall continue until the motor carrier is no longer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person whose application for a motor carrier permit or certificate has been denied for a reason other than noncompliance with insurance requirements or whose motor carrier permit or certificate has been suspended or revoked for a reason other than noncompliance with insurance requirements may contest the decision in accordance with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by submitting an appeal request in writing to the director of the motor vehicle division. To be considered timely, the request must be submitted within 20 days after the date of the notice of suspension, revocation or denial and include, as applicable, the motor carrier’s name, permit or certificate number; complete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524.14(4)</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Once the suspension or revocation is ended and the statutory fee is paid, the department will issue a new permit or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9513C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321.515</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5/8/02, Notice 3/20/02—published 5/29/02, effective 7/3/02]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4346C</w:t>
      </w:r>
      <w:r>
        <w:rPr>
          <w:rFonts w:ascii="Times New Roman" w:hAnsi="Times New Roman"/>
          <w:b w:val="false"/>
          <w:i w:val="false"/>
          <w:color w:val="000000"/>
          <w:sz w:val="21"/>
        </w:rPr>
        <w:t xml:space="preserve"> (Notice ARC 4233C,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4803C</w:t>
      </w:r>
      <w:r>
        <w:rPr>
          <w:rFonts w:ascii="Times New Roman" w:hAnsi="Times New Roman"/>
          <w:b w:val="false"/>
          <w:i w:val="false"/>
          <w:color w:val="000000"/>
          <w:sz w:val="21"/>
        </w:rPr>
        <w:t xml:space="preserve"> (Notice ARC 4681C,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5047C</w:t>
      </w:r>
      <w:r>
        <w:rPr>
          <w:rFonts w:ascii="Times New Roman" w:hAnsi="Times New Roman"/>
          <w:b w:val="false"/>
          <w:i w:val="false"/>
          <w:color w:val="000000"/>
          <w:sz w:val="21"/>
        </w:rPr>
        <w:t xml:space="preserve"> (Notice ARC 4994C, IAB 3/25/20)</w:t>
      </w:r>
      <w:r>
        <w:rPr>
          <w:rFonts w:ascii="Times New Roman" w:hAnsi="Times New Roman"/>
          <w:b w:val="false"/>
          <w:i w:val="false"/>
          <w:color w:val="000000"/>
          <w:sz w:val="21"/>
        </w:rPr>
        <w:t>, IAB 6/3/20, effective 7/8/20]</w:t>
      </w:r>
    </w:p>
    <w:p>
      <w:pPr>
        <w:spacing w:before="0" w:after="0"/>
        <w:ind w:left="120"/>
        <w:jc w:val="center"/>
      </w:pPr>
      <w:r>
        <w:rPr>
          <w:rFonts w:ascii="Times New Roman" w:hAnsi="Times New Roman"/>
          <w:b w:val="false"/>
          <w:i w:val="false"/>
          <w:color w:val="000000"/>
          <w:sz w:val="21"/>
        </w:rPr>
        <w:t>[Filed ARC 5893C</w:t>
      </w:r>
      <w:r>
        <w:rPr>
          <w:rFonts w:ascii="Times New Roman" w:hAnsi="Times New Roman"/>
          <w:b w:val="false"/>
          <w:i w:val="false"/>
          <w:color w:val="000000"/>
          <w:sz w:val="21"/>
        </w:rPr>
        <w:t xml:space="preserve"> (Notice ARC 5621C, IAB 5/19/21)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[Filed ARC 9513C</w:t>
      </w:r>
      <w:r>
        <w:rPr>
          <w:rFonts w:ascii="Times New Roman" w:hAnsi="Times New Roman"/>
          <w:b w:val="false"/>
          <w:i w:val="false"/>
          <w:color w:val="000000"/>
          <w:sz w:val="21"/>
        </w:rPr>
        <w:t xml:space="preserve"> (Notice ARC 9186C, IAB 4/30/25)</w:t>
      </w:r>
      <w:r>
        <w:rPr>
          <w:rFonts w:ascii="Times New Roman" w:hAnsi="Times New Roman"/>
          <w:b w:val="false"/>
          <w:i w:val="false"/>
          <w:color w:val="000000"/>
          <w:sz w:val="21"/>
        </w:rPr>
        <w:t>, IAB 8/20/25, effective 9/24/25]</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5A.pdf" Type="http://schemas.openxmlformats.org/officeDocument/2006/relationships/hyperlink" Id="rId5"/>
    <Relationship TargetMode="External" Target="https://www.legis.iowa.gov/docs/ico/chapter/321N.1.pdf" Type="http://schemas.openxmlformats.org/officeDocument/2006/relationships/hyperlink" Id="rId6"/>
    <Relationship TargetMode="External" Target="https://www.legis.iowa.gov/docs/iac/chapter/761.540.pdf" Type="http://schemas.openxmlformats.org/officeDocument/2006/relationships/hyperlink" Id="rId7"/>
    <Relationship TargetMode="External" Target="mailto:omcs@iowadot.us" Type="http://schemas.openxmlformats.org/officeDocument/2006/relationships/hyperlink" Id="rId8"/>
    <Relationship TargetMode="External" Target="https://www.legis.iowa.gov/docs/iac/chapter/761.11.pdf" Type="http://schemas.openxmlformats.org/officeDocument/2006/relationships/hyperlink" Id="rId9"/>
    <Relationship TargetMode="External" Target="https://www.legis.iowa.gov/docs/iac/rule/761.524.10.pdf" Type="http://schemas.openxmlformats.org/officeDocument/2006/relationships/hyperlink" Id="rId10"/>
    <Relationship TargetMode="External" Target="https://www.legis.iowa.gov/docs/iac/rule/761.380.4.pdf" Type="http://schemas.openxmlformats.org/officeDocument/2006/relationships/hyperlink" Id="rId11"/>
    <Relationship TargetMode="External" Target="https://www.legis.iowa.gov/docs/iac/rule/761.400.18.pdf" Type="http://schemas.openxmlformats.org/officeDocument/2006/relationships/hyperlink" Id="rId12"/>
    <Relationship TargetMode="External" Target="https://www.legis.iowa.gov/docs/iac/rule/761.524.7.pdf" Type="http://schemas.openxmlformats.org/officeDocument/2006/relationships/hyperlink" Id="rId13"/>
    <Relationship TargetMode="External" Target="https://www.legis.iowa.gov/docs/iac/rule/761.524.7.pdf" Type="http://schemas.openxmlformats.org/officeDocument/2006/relationships/hyperlink" Id="rId14"/>
    <Relationship TargetMode="External" Target="https://www.legis.iowa.gov/docs/iac/rule/761.524.8.pdf" Type="http://schemas.openxmlformats.org/officeDocument/2006/relationships/hyperlink" Id="rId15"/>
    <Relationship TargetMode="External" Target="https://www.legis.iowa.gov/docs/iac/chapter/661.22.pdf" Type="http://schemas.openxmlformats.org/officeDocument/2006/relationships/hyperlink" Id="rId16"/>
    <Relationship TargetMode="External" Target="https://www.legis.iowa.gov/docs/iac/rule/761.524.11.pdf" Type="http://schemas.openxmlformats.org/officeDocument/2006/relationships/hyperlink" Id="rId17"/>
    <Relationship TargetMode="External" Target="https://www.legis.iowa.gov/docs/ico/chapter/325A.3.pdf" Type="http://schemas.openxmlformats.org/officeDocument/2006/relationships/hyperlink" Id="rId18"/>
    <Relationship TargetMode="External" Target="mailto:omcs@iowadot.us" Type="http://schemas.openxmlformats.org/officeDocument/2006/relationships/hyperlink" Id="rId19"/>
    <Relationship TargetMode="External" Target="https://www.legis.iowa.gov/docs/ico/chapter/321.449.pdf" Type="http://schemas.openxmlformats.org/officeDocument/2006/relationships/hyperlink" Id="rId20"/>
    <Relationship TargetMode="External" Target="https://www.legis.iowa.gov/docs/ico/chapter/321.450.pdf" Type="http://schemas.openxmlformats.org/officeDocument/2006/relationships/hyperlink" Id="rId21"/>
    <Relationship TargetMode="External" Target="https://www.legis.iowa.gov/docs/ico/chapter/321.463.pdf" Type="http://schemas.openxmlformats.org/officeDocument/2006/relationships/hyperlink" Id="rId22"/>
    <Relationship TargetMode="External" Target="https://www.legis.iowa.gov/docs/ico/chapter/321.1.pdf" Type="http://schemas.openxmlformats.org/officeDocument/2006/relationships/hyperlink" Id="rId23"/>
    <Relationship TargetMode="External" Target="https://www.legis.iowa.gov/docs/iac/rule/661.22.9.pdf" Type="http://schemas.openxmlformats.org/officeDocument/2006/relationships/hyperlink" Id="rId24"/>
    <Relationship TargetMode="External" Target="https://www.legis.iowa.gov/docs/iac/rule/761.524.13.pdf" Type="http://schemas.openxmlformats.org/officeDocument/2006/relationships/hyperlink" Id="rId25"/>
    <Relationship TargetMode="External" Target="https://www.legis.iowa.gov/docs/iac/rule/761.524.13.pdf" Type="http://schemas.openxmlformats.org/officeDocument/2006/relationships/hyperlink" Id="rId26"/>
    <Relationship TargetMode="External" Target="https://www.legis.iowa.gov/docs/ico/chapter/325A.pdf" Type="http://schemas.openxmlformats.org/officeDocument/2006/relationships/hyperlink" Id="rId27"/>
    <Relationship TargetMode="External" Target="https://www.legis.iowa.gov/docs/ico/chapter/325A.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ac/chapter/761.13.pdf" Type="http://schemas.openxmlformats.org/officeDocument/2006/relationships/hyperlink" Id="rId30"/>
    <Relationship TargetMode="External" Target="https://www.legis.iowa.gov/docs/ico/chapter/321.515.pdf" Type="http://schemas.openxmlformats.org/officeDocument/2006/relationships/hyperlink" Id="rId31"/>
    <Relationship TargetMode="External" Target="https://www.legis.iowa.gov/docs/ico/chapter/321.519.pdf" Type="http://schemas.openxmlformats.org/officeDocument/2006/relationships/hyperlink" Id="rId32"/>
    <Relationship TargetMode="External" Target="https://www.legis.iowa.gov/docs/ico/chapter/325A.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