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MOTOR CARRIERS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INTERSTATE REGISTRATION AND OPERATION OF VEHICLES</w:t>
      </w:r>
    </w:p>
    <w:p>
      <w:pPr>
        <w:spacing w:before="0" w:after="0"/>
        <w:ind w:left="120"/>
        <w:jc w:val="center"/>
      </w:pPr>
      <w:r>
        <w:rPr>
          <w:rFonts w:ascii="Times New Roman" w:hAnsi="Times New Roman"/>
          <w:b w:val="false"/>
          <w:i w:val="false"/>
          <w:color w:val="000000"/>
          <w:sz w:val="14"/>
        </w:rPr>
        <w:t>[Prior to 6/3/87, Transportation Department[820]—(07,F)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761—500.1</w:t>
      </w:r>
      <w:r>
        <w:rPr>
          <w:rFonts w:ascii="Times New Roman" w:hAnsi="Times New Roman"/>
          <w:b/>
          <w:i w:val="false"/>
          <w:color w:val="000000"/>
          <w:sz w:val="22"/>
        </w:rPr>
        <w:t xml:space="preserve">(326)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Iowa Code sections </w:t>
      </w:r>
      <w:hyperlink r:id="rId5">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326.3</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schedule” </w:t>
      </w:r>
      <w:r>
        <w:rPr>
          <w:rFonts w:ascii="Times New Roman" w:hAnsi="Times New Roman"/>
          <w:b w:val="false"/>
          <w:i w:val="false"/>
          <w:color w:val="000000"/>
          <w:sz w:val="22"/>
        </w:rPr>
        <w:t>means the department form used to report fleet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“IRP” </w:t>
      </w:r>
      <w:r>
        <w:rPr>
          <w:rFonts w:ascii="Times New Roman" w:hAnsi="Times New Roman"/>
          <w:b w:val="false"/>
          <w:i w:val="false"/>
          <w:color w:val="000000"/>
          <w:sz w:val="22"/>
        </w:rPr>
        <w:t xml:space="preserve">means the International Registration Plan as defined in Iowa Code section </w:t>
      </w:r>
      <w:hyperlink r:id="rId7">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registrant” </w:t>
      </w:r>
      <w:r>
        <w:rPr>
          <w:rFonts w:ascii="Times New Roman" w:hAnsi="Times New Roman"/>
          <w:b w:val="false"/>
          <w:i w:val="false"/>
          <w:color w:val="000000"/>
          <w:sz w:val="22"/>
        </w:rPr>
        <w:t>means a motor carrier who has received written approval by the department to self-certify IRP credential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“Self-certification of IRP credential destruction” </w:t>
      </w:r>
      <w:r>
        <w:rPr>
          <w:rFonts w:ascii="Times New Roman" w:hAnsi="Times New Roman"/>
          <w:b w:val="false"/>
          <w:i w:val="false"/>
          <w:color w:val="000000"/>
          <w:sz w:val="22"/>
        </w:rPr>
        <w:t>means a signed statement that is completed by a qualified registrant certifying the date the IRP credentials have been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evidence of apportioned registration” </w:t>
      </w:r>
      <w:r>
        <w:rPr>
          <w:rFonts w:ascii="Times New Roman" w:hAnsi="Times New Roman"/>
          <w:b w:val="false"/>
          <w:i w:val="false"/>
          <w:color w:val="000000"/>
          <w:sz w:val="22"/>
        </w:rPr>
        <w:t>means a document issued by the department that describes the vehicle and lists the weight for each jurisdiction in which the vehicle is registered for operation and allows the vehicle to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schedule” </w:t>
      </w:r>
      <w:r>
        <w:rPr>
          <w:rFonts w:ascii="Times New Roman" w:hAnsi="Times New Roman"/>
          <w:b w:val="false"/>
          <w:i w:val="false"/>
          <w:color w:val="000000"/>
          <w:sz w:val="22"/>
        </w:rPr>
        <w:t>means the department form used to report vehicle registration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326.3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761—500.2</w:t>
      </w:r>
      <w:r>
        <w:rPr>
          <w:rFonts w:ascii="Times New Roman" w:hAnsi="Times New Roman"/>
          <w:b/>
          <w:i w:val="false"/>
          <w:color w:val="000000"/>
          <w:sz w:val="22"/>
        </w:rPr>
        <w:t xml:space="preserve">(326)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registration and operation of vehicles are available on the department’s website at </w:t>
      </w:r>
      <w:hyperlink r:id="rId12">
        <w:r>
          <w:rPr>
            <w:rStyle w:val="Hyperlink"/>
            <w:rFonts w:ascii="Times New Roman" w:hAnsi="Times New Roman"/>
            <w:b w:val="false"/>
            <w:i w:val="false"/>
            <w:color w:val="000000"/>
            <w:sz w:val="22"/>
            <w:u w:val="single"/>
          </w:rPr>
          <w:t>www.iowadot.gov/mvd/motorcarriers/IRP/File-IRP</w:t>
        </w:r>
      </w:hyperlink>
      <w:r>
        <w:rPr>
          <w:rFonts w:ascii="Times New Roman" w:hAnsi="Times New Roman"/>
          <w:b w:val="false"/>
          <w:i w:val="false"/>
          <w:color w:val="000000"/>
          <w:sz w:val="22"/>
        </w:rPr>
        <w:t xml:space="preserve">; by mail from the Motor Vehicle Division, Iowa Department of Transportation, P.O. Box 10382, Des Moines, Iowa 50306-0382; in person at 6310 SE Convenience Boulevard, Ankeny, Iowa; by telephone at 515.237.3268; by facsimile at 515.236.3225; or by email at </w:t>
      </w:r>
      <w:hyperlink r:id="rId13">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color w:val="000000"/>
          <w:sz w:val="22"/>
        </w:rPr>
        <w:t xml:space="preserve">Method of operation. </w:t>
      </w:r>
      <w:r>
        <w:rPr>
          <w:rFonts w:ascii="Times New Roman" w:hAnsi="Times New Roman"/>
          <w:b w:val="false"/>
          <w:i w:val="false"/>
          <w:color w:val="000000"/>
          <w:sz w:val="22"/>
        </w:rPr>
        <w:t xml:space="preserve">The operations of the department’s motor vehicle division relating to reciprocity and apportioned registration are conducted in accordance with the IRP and Iowa Code chapters </w:t>
      </w:r>
      <w:hyperlink r:id="rId1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motor vehicle division is authorized pursuant to Iowa Code chapter </w:t>
      </w:r>
      <w:hyperlink r:id="rId16">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to enter into reciprocity apportioned registration agreements with other jurisdictions. The department is a member of the IRP. The IRP, effective October 2025, is hereby incorporated into this chapter. Under this agreement, the motor vehicle division will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 and collect apportionable fees due to this state under apportioned registration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registration plates, validation stickers, cab cards, temporary evidence of apportioned registration and trip permits to qualified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reciprocity agreements with other jurisdictions. These agreements exempt nonresidents from the registration and registration fee requirements of Iowa Code chapter </w:t>
      </w:r>
      <w:hyperlink r:id="rId1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326.5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761—500.3</w:t>
      </w:r>
      <w:r>
        <w:rPr>
          <w:rFonts w:ascii="Times New Roman" w:hAnsi="Times New Roman"/>
          <w:b/>
          <w:i w:val="false"/>
          <w:color w:val="000000"/>
          <w:sz w:val="22"/>
        </w:rPr>
        <w:t xml:space="preserve">(17A,326)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21">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 “Special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explosion.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500.3(6)</w:t>
      </w:r>
      <w:r>
        <w:rPr>
          <w:rFonts w:ascii="Times New Roman" w:hAnsi="Times New Roman"/>
          <w:b w:val="false"/>
          <w:i w:val="false"/>
          <w:color w:val="000000"/>
          <w:sz w:val="22"/>
        </w:rPr>
        <w:t>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500.3(7)</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761—500.4</w:t>
      </w:r>
      <w:r>
        <w:rPr>
          <w:rFonts w:ascii="Times New Roman" w:hAnsi="Times New Roman"/>
          <w:b/>
          <w:i w:val="false"/>
          <w:color w:val="000000"/>
          <w:sz w:val="22"/>
        </w:rPr>
        <w:t xml:space="preserve">(326) </w:t>
      </w:r>
      <w:r>
        <w:rPr>
          <w:rFonts w:ascii="Times New Roman" w:hAnsi="Times New Roman"/>
          <w:b/>
          <w:i w:val="false"/>
          <w:color w:val="000000"/>
          <w:sz w:val="22"/>
        </w:rPr>
        <w:t xml:space="preserve">Renewal for IRP registration. </w:t>
      </w:r>
      <w:r>
        <w:rPr>
          <w:rFonts w:ascii="Times New Roman" w:hAnsi="Times New Roman"/>
          <w:b w:val="false"/>
          <w:i w:val="false"/>
          <w:color w:val="000000"/>
          <w:sz w:val="22"/>
        </w:rPr>
        <w:t>Renewal reminder notices are sent electronically or by mail at least 60 days prior to the registration expiration date to all registrants who maintained an active IRP fleet with Iowa during that year. The renewal is made available online at least 60 days prior to the registration expiration date and can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The renewal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signed distance schedule and vehicle schedule(s). The schedules can be filed and signed either electronically or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documentation,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Receipted federal heavy vehicle use tax (Form 2290 Schedule 1) for vehicles with a taxable gross weight of 55,000 pounds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Form 2290 Schedule 1 and sufficient documentation of payment of the tax due at the time Form 2290 was filed. The documentation can include but is not limited to a photocopy of both sides of a canceled check, a bank statement indicating the amount of tax paid and electronic acknowledgment indicating a payment of tax and an Internal Revenue Service printout of the taxpayer’s account showing the amount of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Additional 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may be deleted from the fleet at the time of renewal. Operating a vehicle with credentials marked as deleted will result in the registrant being responsible for any fees assessed, including any applicable penalty. Operating a vehicle with credentials that were self-certified as destroyed will result in suspension of the self-certification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Units being stored must be marked “stored” on the renewal vehicle schedule and the plates, cab cards and validation stickers must be returned in accordance with rule </w:t>
      </w:r>
      <w:hyperlink r:id="rId24">
        <w:r>
          <w:rPr>
            <w:rStyle w:val="Hyperlink"/>
            <w:rFonts w:ascii="Times New Roman" w:hAnsi="Times New Roman"/>
            <w:b w:val="false"/>
            <w:i w:val="false"/>
            <w:color w:val="000000"/>
            <w:sz w:val="22"/>
          </w:rPr>
          <w:t>761—500.5</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may be added at the time of renewal. Upon payment of required fees, an applicant must apply for a temporary evidence of apportioned registration to be issued to operate a vehicle in accordance with the IRP. The department may extend the temporary evidence of apportioned registration if there are extenuating circumstances beyond the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registrant is seeking a refund in accordance with Iowa Code section </w:t>
      </w:r>
      <w:hyperlink r:id="rId25">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for vehicles deleted from a fleet, the annual and permanent registration plates and validation stickers must be returned to the motor vehicle division. No refund will be paid for a vehicle deleted at the time of renewal.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761—500.5</w:t>
      </w:r>
      <w:r>
        <w:rPr>
          <w:rFonts w:ascii="Times New Roman" w:hAnsi="Times New Roman"/>
          <w:b/>
          <w:i w:val="false"/>
          <w:color w:val="000000"/>
          <w:sz w:val="22"/>
        </w:rPr>
        <w:t xml:space="preserve">(321,326) </w:t>
      </w:r>
      <w:r>
        <w:rPr>
          <w:rFonts w:ascii="Times New Roman" w:hAnsi="Times New Roman"/>
          <w:b/>
          <w:i w:val="false"/>
          <w:color w:val="000000"/>
          <w:sz w:val="22"/>
        </w:rPr>
        <w:t xml:space="preserve">Deadline for placing a vehicle in storage. </w:t>
      </w:r>
      <w:r>
        <w:rPr>
          <w:rFonts w:ascii="Times New Roman" w:hAnsi="Times New Roman"/>
          <w:b w:val="false"/>
          <w:i w:val="false"/>
          <w:color w:val="000000"/>
          <w:sz w:val="22"/>
        </w:rPr>
        <w:t>The registrant of a currently registered vehicle may at any time request that a vehicle be put into storage. The registrant must complete a vehicle schedule and return it with the plate, cab card and validation sticker to the motor vehicle division. The vehicle schedule, plate, cab card and sticker must be received or postmarked on or before the registration expiration date to stop the registration fee from being assessed for the renewal year. The motor vehicle division will destroy the plate and return the cab card to the registrant with the word “stored” stamped on it. Placing the vehicle in storage stops penalties on registration fees. When the vehicle is taken out of storage, the vehicle is assessed for the current annual registration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761—500.6</w:t>
      </w:r>
      <w:r>
        <w:rPr>
          <w:rFonts w:ascii="Times New Roman" w:hAnsi="Times New Roman"/>
          <w:b/>
          <w:i w:val="false"/>
          <w:color w:val="000000"/>
          <w:sz w:val="22"/>
        </w:rPr>
        <w:t xml:space="preserve">(326) </w:t>
      </w:r>
      <w:r>
        <w:rPr>
          <w:rFonts w:ascii="Times New Roman" w:hAnsi="Times New Roman"/>
          <w:b/>
          <w:i w:val="false"/>
          <w:color w:val="000000"/>
          <w:sz w:val="22"/>
        </w:rPr>
        <w:t xml:space="preserve">Payment, delinquency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Acceptable methods to make payment to the Iowa Department of Transportation include cash, check, credit card or any other means offered by the department. Payment is due 30 calendar days from the invoice date. However, renewal invoices are due 30 calendar days from the invoice date or by the last day of the registration expiration month,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Invoices not paid by the due date are assessed a late payment penalty as provided in Iowa Code sections </w:t>
      </w:r>
      <w:hyperlink r:id="rId35">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The same penalty amount will be assessed the first of each month thereafter until the total invoice and all penalties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500.6(3)</w:t>
      </w:r>
      <w:r>
        <w:rPr>
          <w:rFonts w:ascii="Times New Roman" w:hAnsi="Times New Roman"/>
          <w:b w:val="false"/>
          <w:i w:val="false"/>
          <w:color w:val="000000"/>
          <w:sz w:val="22"/>
        </w:rPr>
        <w:t> </w:t>
      </w:r>
      <w:r>
        <w:rPr>
          <w:rFonts w:ascii="Times New Roman" w:hAnsi="Times New Roman"/>
          <w:b w:val="false"/>
          <w:i w:val="false"/>
          <w:color w:val="000000"/>
          <w:sz w:val="22"/>
        </w:rPr>
        <w:t>A delinquency notice will be sent on invoices 30 calendar days overdue. The department will send a delinquency notice stating the IRP registration will be suspended unless payment is received within 30 calendar days from the date of the delinquency notice. If payment is not received in a timely manner, a notice of suspension will be sent to the registrant. When a registrant is under suspension, all of the registrant’s Iowa-based IRP vehicles and the registrant’s Iowa-based International Fuel Tax Agreement (IFTA) account, if applicable, are suspended.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326.10A</w:t>
        </w:r>
      </w:hyperlink>
      <w:r>
        <w:rPr>
          <w:rFonts w:ascii="Times New Roman" w:hAnsi="Times New Roman"/>
          <w:b w:val="false"/>
          <w:i w:val="false"/>
          <w:color w:val="000000"/>
          <w:sz w:val="22"/>
        </w:rPr>
        <w:t>, </w:t>
      </w:r>
      <w:hyperlink r:id="rId38">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761—500.7</w:t>
      </w:r>
      <w:r>
        <w:rPr>
          <w:rFonts w:ascii="Times New Roman" w:hAnsi="Times New Roman"/>
          <w:b/>
          <w:i w:val="false"/>
          <w:color w:val="000000"/>
          <w:sz w:val="22"/>
        </w:rPr>
        <w:t xml:space="preserve">(326) </w:t>
      </w:r>
      <w:r>
        <w:rPr>
          <w:rFonts w:ascii="Times New Roman" w:hAnsi="Times New Roman"/>
          <w:b/>
          <w:i w:val="false"/>
          <w:color w:val="000000"/>
          <w:sz w:val="22"/>
        </w:rPr>
        <w:t xml:space="preserve">Self-certification of IRP registration plate and validation sticker destruction.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In order to request a refund for unused registration fees, unless the registrant qualifies to self-certify destruction under this rule, plates and validation stickers must be returned to the department when a vehicle is deleted from the fleet. A registrant will meet all of the following requirements to qualify for department approval to self-certify destruction of IRP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five years’ experience with IRP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satisfactory IRP payment history. A satisfactory payment history includes but is not limited to no suspension of IRP registration in the last five years due to late payment or returned check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rating from the U.S. Department of Transportation 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 motor carrier subject to a federal out-of-service order in the current year or any of the four prior years is not eligible to self-certify IRP credential destruction.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761—500.8</w:t>
      </w:r>
      <w:r>
        <w:rPr>
          <w:rFonts w:ascii="Times New Roman" w:hAnsi="Times New Roman"/>
          <w:b/>
          <w:i w:val="false"/>
          <w:color w:val="000000"/>
          <w:sz w:val="22"/>
        </w:rPr>
        <w:t xml:space="preserve">(326) </w:t>
      </w:r>
      <w:r>
        <w:rPr>
          <w:rFonts w:ascii="Times New Roman" w:hAnsi="Times New Roman"/>
          <w:b/>
          <w:i w:val="false"/>
          <w:color w:val="000000"/>
          <w:sz w:val="22"/>
        </w:rPr>
        <w:t xml:space="preserve">IRP credentials. </w:t>
      </w:r>
      <w:r>
        <w:rPr>
          <w:rFonts w:ascii="Times New Roman" w:hAnsi="Times New Roman"/>
          <w:b w:val="false"/>
          <w:i w:val="false"/>
          <w:color w:val="000000"/>
          <w:sz w:val="22"/>
        </w:rPr>
        <w:t>Upon payment of appropriate fees and submission of all required documentation, the motor vehicle division will issue one IRP plate for each power unit to be mounted on the front of the power unit, one trailer plate to be mounted on the rear of the trailer and one cab card for each power unit. The cab card may be in either a physical or electronic format.</w:t>
      </w:r>
    </w:p>
    <w:p>
      <w:pPr>
        <w:spacing w:before="0" w:after="0"/>
        <w:ind w:left="120"/>
        <w:jc w:val="both"/>
      </w:pPr>
      <w:r>
        <w:rPr>
          <w:rFonts w:ascii="Times New Roman" w:hAnsi="Times New Roman"/>
          <w:b w:val="false"/>
          <w:i w:val="false"/>
          <w:color w:val="000000"/>
          <w:sz w:val="22"/>
        </w:rPr>
        <w:t>This rule is intended to implement Iowa Code sections </w:t>
      </w:r>
      <w:hyperlink r:id="rId43">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761—500.9</w:t>
      </w:r>
      <w:r>
        <w:rPr>
          <w:rFonts w:ascii="Times New Roman" w:hAnsi="Times New Roman"/>
          <w:b/>
          <w:i w:val="false"/>
          <w:color w:val="000000"/>
          <w:sz w:val="22"/>
        </w:rPr>
        <w:t xml:space="preserve">(326) </w:t>
      </w:r>
      <w:r>
        <w:rPr>
          <w:rFonts w:ascii="Times New Roman" w:hAnsi="Times New Roman"/>
          <w:b/>
          <w:i w:val="false"/>
          <w:color w:val="000000"/>
          <w:sz w:val="22"/>
        </w:rPr>
        <w:t xml:space="preserve">Nonrenewal vehicle additions. </w:t>
      </w:r>
      <w:r>
        <w:rPr>
          <w:rFonts w:ascii="Times New Roman" w:hAnsi="Times New Roman"/>
          <w:b w:val="false"/>
          <w:i w:val="false"/>
          <w:color w:val="000000"/>
          <w:sz w:val="22"/>
        </w:rPr>
        <w:t>A registrant may add a vehicle to the fleet at any time after the commencement of the registration year. Upon payment of required fees, temporary evidence of apportioned registration may be issued to operate the vehicle(s). The temporary evidence of apportioned registration will not exceed 45 days. However, the department may extend the temporary evidence of apportioned registration if there are extenuating circumstances. Once temporary evidence of apportioned registration is issued and used, fees will be due and the invoice may only be canceled if an error was made by the department or there were extenuating circumstances for which nonuse can be proven.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761—500.10</w:t>
      </w:r>
      <w:r>
        <w:rPr>
          <w:rFonts w:ascii="Times New Roman" w:hAnsi="Times New Roman"/>
          <w:b/>
          <w:i w:val="false"/>
          <w:color w:val="000000"/>
          <w:sz w:val="22"/>
        </w:rPr>
        <w:t xml:space="preserve">(326) </w:t>
      </w:r>
      <w:r>
        <w:rPr>
          <w:rFonts w:ascii="Times New Roman" w:hAnsi="Times New Roman"/>
          <w:b/>
          <w:i w:val="false"/>
          <w:color w:val="000000"/>
          <w:sz w:val="22"/>
        </w:rPr>
        <w:t xml:space="preserve">Nonrenewal vehicle deletions. </w:t>
      </w:r>
      <w:r>
        <w:rPr>
          <w:rFonts w:ascii="Times New Roman" w:hAnsi="Times New Roman"/>
          <w:b w:val="false"/>
          <w:i w:val="false"/>
          <w:color w:val="000000"/>
          <w:sz w:val="22"/>
        </w:rPr>
        <w:t>A registrant may delete vehicles from the fleet at any time after the commencement of the registration year. The plates and validation stickers must be returned to the motor vehicle division at the time of deletion. In lieu of returning the plates and validation stickers, a qualified registrant may submit a self-certification of IRP credential destruction on or before the vehicle’s or vehicles’ deletion date to the motor vehicle division. Operating a vehicle with credentials that were self-certified as destroyed will result in suspension of the self-certification privilege, and the registrant is responsible for any additional fees that would have been due beyond the stated destruction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761—500.11</w:t>
      </w:r>
      <w:r>
        <w:rPr>
          <w:rFonts w:ascii="Times New Roman" w:hAnsi="Times New Roman"/>
          <w:b/>
          <w:i w:val="false"/>
          <w:color w:val="000000"/>
          <w:sz w:val="22"/>
        </w:rPr>
        <w:t xml:space="preserve">(326) </w:t>
      </w:r>
      <w:r>
        <w:rPr>
          <w:rFonts w:ascii="Times New Roman" w:hAnsi="Times New Roman"/>
          <w:b/>
          <w:i w:val="false"/>
          <w:color w:val="000000"/>
          <w:sz w:val="22"/>
        </w:rPr>
        <w:t xml:space="preserve">Voluntary cancellation of registration. </w:t>
      </w:r>
      <w:r>
        <w:rPr>
          <w:rFonts w:ascii="Times New Roman" w:hAnsi="Times New Roman"/>
          <w:b w:val="false"/>
          <w:i w:val="false"/>
          <w:color w:val="000000"/>
          <w:sz w:val="22"/>
        </w:rPr>
        <w:t xml:space="preserve">A registrant may cancel a transaction for IRP registration if the registrant notifies the motor vehicle division within 48 hours of the invoice date. The notice shall state the reason for cancellation, the licensing status and ownership and be signed by the registrant or its representative. If notice is not received within 48 hours or if a temporary evidence of apportioned registration was issued in accordance with rule </w:t>
      </w:r>
      <w:hyperlink r:id="rId50">
        <w:r>
          <w:rPr>
            <w:rStyle w:val="Hyperlink"/>
            <w:rFonts w:ascii="Times New Roman" w:hAnsi="Times New Roman"/>
            <w:b w:val="false"/>
            <w:i w:val="false"/>
            <w:color w:val="000000"/>
            <w:sz w:val="22"/>
          </w:rPr>
          <w:t>761—500.9</w:t>
        </w:r>
      </w:hyperlink>
      <w:r>
        <w:rPr>
          <w:rFonts w:ascii="Times New Roman" w:hAnsi="Times New Roman"/>
          <w:b w:val="false"/>
          <w:i w:val="false"/>
          <w:color w:val="000000"/>
          <w:sz w:val="22"/>
        </w:rPr>
        <w:t>(326), all registration fees must be paid in full.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761—500.12</w:t>
      </w:r>
      <w:r>
        <w:rPr>
          <w:rFonts w:ascii="Times New Roman" w:hAnsi="Times New Roman"/>
          <w:b/>
          <w:i w:val="false"/>
          <w:color w:val="000000"/>
          <w:sz w:val="22"/>
        </w:rPr>
        <w:t xml:space="preserve">(326) </w:t>
      </w:r>
      <w:r>
        <w:rPr>
          <w:rFonts w:ascii="Times New Roman" w:hAnsi="Times New Roman"/>
          <w:b/>
          <w:i w:val="false"/>
          <w:color w:val="000000"/>
          <w:sz w:val="22"/>
        </w:rPr>
        <w:t xml:space="preserve">Registration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500.12(1)</w:t>
      </w:r>
      <w:r>
        <w:rPr>
          <w:rFonts w:ascii="Times New Roman" w:hAnsi="Times New Roman"/>
          <w:b w:val="false"/>
          <w:i w:val="false"/>
          <w:color w:val="000000"/>
          <w:sz w:val="22"/>
        </w:rPr>
        <w:t> </w:t>
      </w:r>
      <w:r>
        <w:rPr>
          <w:rFonts w:ascii="Times New Roman" w:hAnsi="Times New Roman"/>
          <w:b w:val="false"/>
          <w:i w:val="false"/>
          <w:color w:val="000000"/>
          <w:sz w:val="22"/>
        </w:rPr>
        <w:t>If a vehicle is deleted from the IRP fleet and replaced with another vehicle, registration credit may be applied to IRP fees due on the replacement vehicle if the registrant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Submits the vehicle schedule identifying the added and deleted vehicles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Deletes the vehicle on or before the effective date of the replacement vehicle’s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500.12(2)</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Allowance for credit of deleted vehicles is subject to the conditions set forth in Iowa Code section </w:t>
      </w:r>
      <w:hyperlink r:id="rId54">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761—500.13</w:t>
      </w:r>
      <w:r>
        <w:rPr>
          <w:rFonts w:ascii="Times New Roman" w:hAnsi="Times New Roman"/>
          <w:b/>
          <w:i w:val="false"/>
          <w:color w:val="000000"/>
          <w:sz w:val="22"/>
        </w:rPr>
        <w:t xml:space="preserve">(321,326) </w:t>
      </w:r>
      <w:r>
        <w:rPr>
          <w:rFonts w:ascii="Times New Roman" w:hAnsi="Times New Roman"/>
          <w:b/>
          <w:i w:val="false"/>
          <w:color w:val="000000"/>
          <w:sz w:val="22"/>
        </w:rPr>
        <w:t xml:space="preserve">Penalty for late filing of vehicle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sections </w:t>
      </w:r>
      <w:hyperlink r:id="rId57">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a late filing penalty of 5 percent is assessed to the vehicle if a vehicle registration is not filed within 30 days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purchase of a new or used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 vehicle is brought across state borders into Iowa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being first operated with the exemption allowed under Iowa Code section </w:t>
      </w:r>
      <w:hyperlink r:id="rId59">
        <w:r>
          <w:rPr>
            <w:rStyle w:val="Hyperlink"/>
            <w:rFonts w:ascii="Times New Roman" w:hAnsi="Times New Roman"/>
            <w:b w:val="false"/>
            <w:i w:val="false"/>
            <w:color w:val="000000"/>
            <w:sz w:val="22"/>
          </w:rPr>
          <w:t>321.20A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500.13(2)</w:t>
      </w:r>
      <w:r>
        <w:rPr>
          <w:rFonts w:ascii="Times New Roman" w:hAnsi="Times New Roman"/>
          <w:b w:val="false"/>
          <w:i w:val="false"/>
          <w:color w:val="000000"/>
          <w:sz w:val="22"/>
        </w:rPr>
        <w:t> </w:t>
      </w:r>
      <w:r>
        <w:rPr>
          <w:rFonts w:ascii="Times New Roman" w:hAnsi="Times New Roman"/>
          <w:b w:val="false"/>
          <w:i w:val="false"/>
          <w:color w:val="000000"/>
          <w:sz w:val="22"/>
        </w:rPr>
        <w:t>An additional penalty will be assessed on the first of each month thereafter until the vehicle schedule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500.13(3)</w:t>
      </w:r>
      <w:r>
        <w:rPr>
          <w:rFonts w:ascii="Times New Roman" w:hAnsi="Times New Roman"/>
          <w:b w:val="false"/>
          <w:i w:val="false"/>
          <w:color w:val="000000"/>
          <w:sz w:val="22"/>
        </w:rPr>
        <w:t> </w:t>
      </w:r>
      <w:r>
        <w:rPr>
          <w:rFonts w:ascii="Times New Roman" w:hAnsi="Times New Roman"/>
          <w:b w:val="false"/>
          <w:i w:val="false"/>
          <w:color w:val="000000"/>
          <w:sz w:val="22"/>
        </w:rPr>
        <w:t>The department may collect intrastate registration fees and penalties when registering a delinquent vehicle to bring the vehicle fees current before allowing the IRP registration of the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321.20A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761—500.14</w:t>
      </w:r>
      <w:r>
        <w:rPr>
          <w:rFonts w:ascii="Times New Roman" w:hAnsi="Times New Roman"/>
          <w:b/>
          <w:i w:val="false"/>
          <w:color w:val="000000"/>
          <w:sz w:val="22"/>
        </w:rPr>
        <w:t xml:space="preserve">(326) </w:t>
      </w:r>
      <w:r>
        <w:rPr>
          <w:rFonts w:ascii="Times New Roman" w:hAnsi="Times New Roman"/>
          <w:b/>
          <w:i w:val="false"/>
          <w:color w:val="000000"/>
          <w:sz w:val="22"/>
        </w:rPr>
        <w:t xml:space="preserve">Duplicate credentials. </w:t>
      </w:r>
      <w:r>
        <w:rPr>
          <w:rFonts w:ascii="Times New Roman" w:hAnsi="Times New Roman"/>
          <w:b w:val="false"/>
          <w:i w:val="false"/>
          <w:color w:val="000000"/>
          <w:sz w:val="22"/>
        </w:rPr>
        <w:t>The fees for duplicate credentials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500.14(1)</w:t>
      </w:r>
      <w:r>
        <w:rPr>
          <w:rFonts w:ascii="Times New Roman" w:hAnsi="Times New Roman"/>
          <w:b w:val="false"/>
          <w:i w:val="false"/>
          <w:color w:val="000000"/>
          <w:sz w:val="22"/>
        </w:rPr>
        <w:t> </w:t>
      </w:r>
      <w:r>
        <w:rPr>
          <w:rFonts w:ascii="Times New Roman" w:hAnsi="Times New Roman"/>
          <w:b w:val="false"/>
          <w:i w:val="false"/>
          <w:color w:val="000000"/>
          <w:sz w:val="22"/>
        </w:rPr>
        <w:t>A replacement cab card is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500.14(2)</w:t>
      </w:r>
      <w:r>
        <w:rPr>
          <w:rFonts w:ascii="Times New Roman" w:hAnsi="Times New Roman"/>
          <w:b w:val="false"/>
          <w:i w:val="false"/>
          <w:color w:val="000000"/>
          <w:sz w:val="22"/>
        </w:rPr>
        <w:t> </w:t>
      </w:r>
      <w:r>
        <w:rPr>
          <w:rFonts w:ascii="Times New Roman" w:hAnsi="Times New Roman"/>
          <w:b w:val="false"/>
          <w:i w:val="false"/>
          <w:color w:val="000000"/>
          <w:sz w:val="22"/>
        </w:rPr>
        <w:t>A replacement plate, including the cab card, is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500.14(3)</w:t>
      </w:r>
      <w:r>
        <w:rPr>
          <w:rFonts w:ascii="Times New Roman" w:hAnsi="Times New Roman"/>
          <w:b w:val="false"/>
          <w:i w:val="false"/>
          <w:color w:val="000000"/>
          <w:sz w:val="22"/>
        </w:rPr>
        <w:t> </w:t>
      </w:r>
      <w:r>
        <w:rPr>
          <w:rFonts w:ascii="Times New Roman" w:hAnsi="Times New Roman"/>
          <w:b w:val="false"/>
          <w:i w:val="false"/>
          <w:color w:val="000000"/>
          <w:sz w:val="22"/>
        </w:rPr>
        <w:t>If applicable, a mailing fee will also be assessed based on the number of plates or cab cards being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326.22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761—500.15</w:t>
      </w:r>
      <w:r>
        <w:rPr>
          <w:rFonts w:ascii="Times New Roman" w:hAnsi="Times New Roman"/>
          <w:b/>
          <w:i w:val="false"/>
          <w:color w:val="000000"/>
          <w:sz w:val="22"/>
        </w:rPr>
        <w:t xml:space="preserve">(321,326) </w:t>
      </w:r>
      <w:r>
        <w:rPr>
          <w:rFonts w:ascii="Times New Roman" w:hAnsi="Times New Roman"/>
          <w:b/>
          <w:i w:val="false"/>
          <w:color w:val="000000"/>
          <w:sz w:val="22"/>
        </w:rPr>
        <w:t xml:space="preserve">Making claim for refund. </w:t>
      </w:r>
      <w:r>
        <w:rPr>
          <w:rFonts w:ascii="Times New Roman" w:hAnsi="Times New Roman"/>
          <w:b w:val="false"/>
          <w:i w:val="false"/>
          <w:color w:val="000000"/>
          <w:sz w:val="22"/>
        </w:rPr>
        <w:t>A refund of Iowa fees previously paid for the registration of vehicles may be made in accordance with Iowa Code sections </w:t>
      </w:r>
      <w:hyperlink r:id="rId67">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A claim for refund form may be obtained from the motor vehicle division. In lieu of returning the plates, a qualified registrant may submit a self-certification of IRP credential destruction on or before the vehicle’s or vehicles’ deletion date to the motor vehicle division.</w:t>
      </w:r>
    </w:p>
    <w:p>
      <w:pPr>
        <w:spacing w:before="0" w:after="0"/>
        <w:ind w:left="120"/>
        <w:jc w:val="both"/>
      </w:pPr>
      <w:r>
        <w:rPr>
          <w:rFonts w:ascii="Times New Roman" w:hAnsi="Times New Roman"/>
          <w:b w:val="false"/>
          <w:i w:val="false"/>
          <w:color w:val="000000"/>
          <w:sz w:val="22"/>
        </w:rPr>
        <w:t>This rule is intended to implement Iowa Code sections </w:t>
      </w:r>
      <w:hyperlink r:id="rId71">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761—500.16</w:t>
      </w:r>
      <w:r>
        <w:rPr>
          <w:rFonts w:ascii="Times New Roman" w:hAnsi="Times New Roman"/>
          <w:b/>
          <w:i w:val="false"/>
          <w:color w:val="000000"/>
          <w:sz w:val="22"/>
        </w:rPr>
        <w:t xml:space="preserve">(326) </w:t>
      </w:r>
      <w:r>
        <w:rPr>
          <w:rFonts w:ascii="Times New Roman" w:hAnsi="Times New Roman"/>
          <w:b/>
          <w:i w:val="false"/>
          <w:color w:val="000000"/>
          <w:sz w:val="22"/>
        </w:rPr>
        <w:t xml:space="preserve">Registration of vehicles with non-Iowa titles. </w:t>
      </w:r>
      <w:r>
        <w:rPr>
          <w:rFonts w:ascii="Times New Roman" w:hAnsi="Times New Roman"/>
          <w:b w:val="false"/>
          <w:i w:val="false"/>
          <w:color w:val="000000"/>
          <w:sz w:val="22"/>
        </w:rPr>
        <w:t xml:space="preserve">Registrants applying for registration for non-Iowa titled vehicles shall submit to the motor vehicle division with the application or payment as specified in rule </w:t>
      </w:r>
      <w:hyperlink r:id="rId76">
        <w:r>
          <w:rPr>
            <w:rStyle w:val="Hyperlink"/>
            <w:rFonts w:ascii="Times New Roman" w:hAnsi="Times New Roman"/>
            <w:b w:val="false"/>
            <w:i w:val="false"/>
            <w:color w:val="000000"/>
            <w:sz w:val="22"/>
          </w:rPr>
          <w:t>761—500.6</w:t>
        </w:r>
      </w:hyperlink>
      <w:r>
        <w:rPr>
          <w:rFonts w:ascii="Times New Roman" w:hAnsi="Times New Roman"/>
          <w:b w:val="false"/>
          <w:i w:val="false"/>
          <w:color w:val="000000"/>
          <w:sz w:val="22"/>
        </w:rPr>
        <w:t>(326)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500.16(1)</w:t>
      </w:r>
      <w:r>
        <w:rPr>
          <w:rFonts w:ascii="Times New Roman" w:hAnsi="Times New Roman"/>
          <w:b w:val="false"/>
          <w:i w:val="false"/>
          <w:color w:val="000000"/>
          <w:sz w:val="22"/>
        </w:rPr>
        <w:t> </w:t>
      </w:r>
      <w:r>
        <w:rPr>
          <w:rFonts w:ascii="Times New Roman" w:hAnsi="Times New Roman"/>
          <w:b w:val="false"/>
          <w:i w:val="false"/>
          <w:color w:val="000000"/>
          <w:sz w:val="22"/>
        </w:rPr>
        <w:t>A copy of the non-Iowa title or a copy of the title application if the title has not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500.16(2)</w:t>
      </w:r>
      <w:r>
        <w:rPr>
          <w:rFonts w:ascii="Times New Roman" w:hAnsi="Times New Roman"/>
          <w:b w:val="false"/>
          <w:i w:val="false"/>
          <w:color w:val="000000"/>
          <w:sz w:val="22"/>
        </w:rPr>
        <w:t> </w:t>
      </w:r>
      <w:r>
        <w:rPr>
          <w:rFonts w:ascii="Times New Roman" w:hAnsi="Times New Roman"/>
          <w:b w:val="false"/>
          <w:i w:val="false"/>
          <w:color w:val="000000"/>
          <w:sz w:val="22"/>
        </w:rPr>
        <w:t>If a jurisdiction does not issue titles, a copy of the bill of sale or a copy of the Canadian registration.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761—500.17</w:t>
      </w:r>
      <w:r>
        <w:rPr>
          <w:rFonts w:ascii="Times New Roman" w:hAnsi="Times New Roman"/>
          <w:b/>
          <w:i w:val="false"/>
          <w:color w:val="000000"/>
          <w:sz w:val="22"/>
        </w:rPr>
        <w:t xml:space="preserve">(326)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500.17(1)</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requirement and penalty. </w:t>
      </w:r>
      <w:r>
        <w:rPr>
          <w:rFonts w:ascii="Times New Roman" w:hAnsi="Times New Roman"/>
          <w:b w:val="false"/>
          <w:i w:val="false"/>
          <w:color w:val="000000"/>
          <w:sz w:val="22"/>
        </w:rPr>
        <w:t>Iowa IRP registrants shall preserve the records upon which their registration is based as required by the IRP for the current registration year and the three preceding registration years and, upon request, make such records available for audit. The department may assess a penalty upon registrants who have failed to maintain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500.17(2)</w:t>
      </w:r>
      <w:r>
        <w:rPr>
          <w:rFonts w:ascii="Times New Roman" w:hAnsi="Times New Roman"/>
          <w:b w:val="false"/>
          <w:i w:val="false"/>
          <w:color w:val="000000"/>
          <w:sz w:val="22"/>
        </w:rPr>
        <w:t> </w:t>
      </w:r>
      <w:r>
        <w:rPr>
          <w:rFonts w:ascii="Times New Roman" w:hAnsi="Times New Roman"/>
          <w:b w:val="false"/>
          <w:i/>
          <w:color w:val="000000"/>
          <w:sz w:val="22"/>
        </w:rPr>
        <w:t xml:space="preserve">Adequacy of records. </w:t>
      </w:r>
      <w:r>
        <w:rPr>
          <w:rFonts w:ascii="Times New Roman" w:hAnsi="Times New Roman"/>
          <w:b w:val="false"/>
          <w:i w:val="false"/>
          <w:color w:val="000000"/>
          <w:sz w:val="22"/>
        </w:rPr>
        <w:t>Records maintained by a registrant are adequate only if the records enable the department to verify the distances reported in the registrant’s application for apportioned registration and to evaluate the accuracy of the registrant’s distance accounting system. The records may be produced through any means and retained in any format or medium available to the registrant and accessible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produced by a means other than a vehicle-tracking system will be considered adequate if the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trip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 and destination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reading from the odometer, hubodometer, engine control module (ECM), or any similar device for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distance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produced by a vehicle-tracking system that utilizes latitudes and longitudes must be created and maintained at a minimum of every 15 minutes when the vehicle’s engine is on and contain the following data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latitude and longitude to include a minimum of four decimal places (0.0001)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odometer reading from the ECM of each system reading. If no ECM odometer is available, a beginning and ending dashboard odometer or hubometer for the trip will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calculated distance between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route of the vehicle’s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distance traveled by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500.17(3)</w:t>
      </w:r>
      <w:r>
        <w:rPr>
          <w:rFonts w:ascii="Times New Roman" w:hAnsi="Times New Roman"/>
          <w:b w:val="false"/>
          <w:i w:val="false"/>
          <w:color w:val="000000"/>
          <w:sz w:val="22"/>
        </w:rPr>
        <w:t> </w:t>
      </w:r>
      <w:r>
        <w:rPr>
          <w:rFonts w:ascii="Times New Roman" w:hAnsi="Times New Roman"/>
          <w:b w:val="false"/>
          <w:i/>
          <w:color w:val="000000"/>
          <w:sz w:val="22"/>
        </w:rPr>
        <w:t xml:space="preserve">Summaries. </w:t>
      </w:r>
      <w:r>
        <w:rPr>
          <w:rFonts w:ascii="Times New Roman" w:hAnsi="Times New Roman"/>
          <w:b w:val="false"/>
          <w:i w:val="false"/>
          <w:color w:val="000000"/>
          <w:sz w:val="22"/>
        </w:rPr>
        <w:t>The following summaries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fleet’s operations of each month, which includes both the full distance traveled by each apportioned vehicle in the fleet during the calendar month and the distance traveled in the month by each apportioned vehicle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fleet’s operations for each calendar quarter, which includes both the full distance traveled by vehicles in the fleet during the calendar quarter and the distance traveled in each jurisdiction by the vehicles in the fleet during the calendar quarter.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326.19A</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761—500.18</w:t>
      </w:r>
      <w:r>
        <w:rPr>
          <w:rFonts w:ascii="Times New Roman" w:hAnsi="Times New Roman"/>
          <w:b/>
          <w:i w:val="false"/>
          <w:color w:val="000000"/>
          <w:sz w:val="22"/>
        </w:rPr>
        <w:t xml:space="preserve">(326) </w:t>
      </w:r>
      <w:r>
        <w:rPr>
          <w:rFonts w:ascii="Times New Roman" w:hAnsi="Times New Roman"/>
          <w:b/>
          <w:i w:val="false"/>
          <w:color w:val="000000"/>
          <w:sz w:val="22"/>
        </w:rPr>
        <w:t xml:space="preserve">Trip permits. </w:t>
      </w:r>
      <w:r>
        <w:rPr>
          <w:rFonts w:ascii="Times New Roman" w:hAnsi="Times New Roman"/>
          <w:b w:val="false"/>
          <w:i w:val="false"/>
          <w:color w:val="000000"/>
          <w:sz w:val="22"/>
        </w:rPr>
        <w:t xml:space="preserve">A registrant may meet the registration requirements of Iowa Code chapter </w:t>
      </w:r>
      <w:hyperlink r:id="rId81">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by operating under a trip permit. However, trips that are intrastate or exceed legal dimensions or weight and operate under permit as specified in Iowa Code chapter </w:t>
      </w:r>
      <w:hyperlink r:id="rId82">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500.18(1)</w:t>
      </w:r>
      <w:r>
        <w:rPr>
          <w:rFonts w:ascii="Times New Roman" w:hAnsi="Times New Roman"/>
          <w:b w:val="false"/>
          <w:i w:val="false"/>
          <w:color w:val="000000"/>
          <w:sz w:val="22"/>
        </w:rPr>
        <w:t> </w:t>
      </w:r>
      <w:r>
        <w:rPr>
          <w:rFonts w:ascii="Times New Roman" w:hAnsi="Times New Roman"/>
          <w:b w:val="false"/>
          <w:i w:val="false"/>
          <w:color w:val="000000"/>
          <w:sz w:val="22"/>
        </w:rPr>
        <w:t>Trip permits may be obtained through the department’s website or in person from the motor vehicle division upon payment of the appropriate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500.18(2)</w:t>
      </w:r>
      <w:r>
        <w:rPr>
          <w:rFonts w:ascii="Times New Roman" w:hAnsi="Times New Roman"/>
          <w:b w:val="false"/>
          <w:i w:val="false"/>
          <w:color w:val="000000"/>
          <w:sz w:val="22"/>
        </w:rPr>
        <w:t> </w:t>
      </w:r>
      <w:r>
        <w:rPr>
          <w:rFonts w:ascii="Times New Roman" w:hAnsi="Times New Roman"/>
          <w:b w:val="false"/>
          <w:i w:val="false"/>
          <w:color w:val="000000"/>
          <w:sz w:val="22"/>
        </w:rPr>
        <w:t>Registrants purchasing trip permits in advance of use cannot return unused permits for a refund.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326.23</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326.46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761—500.19</w:t>
      </w:r>
      <w:r>
        <w:rPr>
          <w:rFonts w:ascii="Times New Roman" w:hAnsi="Times New Roman"/>
          <w:b/>
          <w:i w:val="false"/>
          <w:color w:val="000000"/>
          <w:sz w:val="22"/>
        </w:rPr>
        <w:t xml:space="preserve">(326)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To the greatest extent possible, the motor vehicle division will maintain in electronic form all records required under this chapter. The retention period for electronic records must follow the guidelines of the IRP.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500.19(1)</w:t>
      </w:r>
      <w:r>
        <w:rPr>
          <w:rFonts w:ascii="Times New Roman" w:hAnsi="Times New Roman"/>
          <w:b w:val="false"/>
          <w:i w:val="false"/>
          <w:color w:val="000000"/>
          <w:sz w:val="22"/>
        </w:rPr>
        <w:t> </w:t>
      </w:r>
      <w:r>
        <w:rPr>
          <w:rFonts w:ascii="Times New Roman" w:hAnsi="Times New Roman"/>
          <w:b w:val="false"/>
          <w:i/>
          <w:color w:val="000000"/>
          <w:sz w:val="22"/>
        </w:rPr>
        <w:t xml:space="preserve">IRP vehicle transaction. </w:t>
      </w:r>
      <w:r>
        <w:rPr>
          <w:rFonts w:ascii="Times New Roman" w:hAnsi="Times New Roman"/>
          <w:b w:val="false"/>
          <w:i w:val="false"/>
          <w:color w:val="000000"/>
          <w:sz w:val="22"/>
        </w:rPr>
        <w:t>The motor vehicle division will destroy paper copies of IRP vehicle transaction requests 90 days after the IRP invoice is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500.19(2)</w:t>
      </w:r>
      <w:r>
        <w:rPr>
          <w:rFonts w:ascii="Times New Roman" w:hAnsi="Times New Roman"/>
          <w:b w:val="false"/>
          <w:i w:val="false"/>
          <w:color w:val="000000"/>
          <w:sz w:val="22"/>
        </w:rPr>
        <w:t> </w:t>
      </w:r>
      <w:r>
        <w:rPr>
          <w:rFonts w:ascii="Times New Roman" w:hAnsi="Times New Roman"/>
          <w:b w:val="false"/>
          <w:i/>
          <w:color w:val="000000"/>
          <w:sz w:val="22"/>
        </w:rPr>
        <w:t xml:space="preserve">Federal heavy use tax (Form 2290 Schedule 1). </w:t>
      </w:r>
      <w:r>
        <w:rPr>
          <w:rFonts w:ascii="Times New Roman" w:hAnsi="Times New Roman"/>
          <w:b w:val="false"/>
          <w:i w:val="false"/>
          <w:color w:val="000000"/>
          <w:sz w:val="22"/>
        </w:rPr>
        <w:t>The motor vehicle division will maintain Form 2290 Schedule 1 in accordance with 23 CFR Section 669.9 effective April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without Notice, 6/8/76—published 6/28/76, effective 8/2/76]</w:t>
      </w:r>
    </w:p>
    <w:p>
      <w:pPr>
        <w:spacing w:before="0" w:after="0"/>
        <w:ind w:left="120"/>
        <w:jc w:val="center"/>
      </w:pPr>
      <w:r>
        <w:rPr>
          <w:rFonts w:ascii="Times New Roman" w:hAnsi="Times New Roman"/>
          <w:b w:val="false"/>
          <w:i w:val="false"/>
          <w:color w:val="000000"/>
          <w:sz w:val="21"/>
        </w:rPr>
        <w:t>[Filed 11/22/76, Notice 10/6/76—published 12/15/76, effective 1/19/77]</w:t>
      </w:r>
    </w:p>
    <w:p>
      <w:pPr>
        <w:spacing w:before="0" w:after="0"/>
        <w:ind w:left="120"/>
        <w:jc w:val="center"/>
      </w:pPr>
      <w:r>
        <w:rPr>
          <w:rFonts w:ascii="Times New Roman" w:hAnsi="Times New Roman"/>
          <w:b w:val="false"/>
          <w:i w:val="false"/>
          <w:color w:val="000000"/>
          <w:sz w:val="21"/>
        </w:rPr>
        <w:t>[Filed 10/17/77, Notice 8/24/77—published 11/2/77, effective 12/7/77]</w:t>
      </w:r>
    </w:p>
    <w:p>
      <w:pPr>
        <w:spacing w:before="0" w:after="0"/>
        <w:ind w:left="120"/>
        <w:jc w:val="center"/>
      </w:pPr>
      <w:r>
        <w:rPr>
          <w:rFonts w:ascii="Times New Roman" w:hAnsi="Times New Roman"/>
          <w:b w:val="false"/>
          <w:i w:val="false"/>
          <w:color w:val="000000"/>
          <w:sz w:val="21"/>
        </w:rPr>
        <w:t>[Filed 12/19/77, Notice 10/19/77—published 1/11/78, effective 2/15/78]</w:t>
      </w:r>
    </w:p>
    <w:p>
      <w:pPr>
        <w:spacing w:before="0" w:after="0"/>
        <w:ind w:left="120"/>
        <w:jc w:val="center"/>
      </w:pPr>
      <w:r>
        <w:rPr>
          <w:rFonts w:ascii="Times New Roman" w:hAnsi="Times New Roman"/>
          <w:b w:val="false"/>
          <w:i w:val="false"/>
          <w:color w:val="000000"/>
          <w:sz w:val="21"/>
        </w:rPr>
        <w:t>[Filed 10/5/79, Notice 8/22/79—published 10/31/79, effective 12/5/79]</w:t>
      </w:r>
    </w:p>
    <w:p>
      <w:pPr>
        <w:spacing w:before="0" w:after="0"/>
        <w:ind w:left="120"/>
        <w:jc w:val="center"/>
      </w:pPr>
      <w:r>
        <w:rPr>
          <w:rFonts w:ascii="Times New Roman" w:hAnsi="Times New Roman"/>
          <w:b w:val="false"/>
          <w:i w:val="false"/>
          <w:color w:val="000000"/>
          <w:sz w:val="21"/>
        </w:rPr>
        <w:t>[Filed 10/17/80, Notices 8/20/80, 9/17/80—published 11/12/80, effective 12/17/80]</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9/24/03, Notice 8/20/03—published 10/15/03, effective 11/19/03]</w:t>
      </w:r>
    </w:p>
    <w:p>
      <w:pPr>
        <w:spacing w:before="0" w:after="0"/>
        <w:ind w:left="120"/>
        <w:jc w:val="center"/>
      </w:pPr>
      <w:r>
        <w:rPr>
          <w:rFonts w:ascii="Times New Roman" w:hAnsi="Times New Roman"/>
          <w:b w:val="false"/>
          <w:i w:val="false"/>
          <w:color w:val="000000"/>
          <w:sz w:val="21"/>
        </w:rPr>
        <w:t>[Filed 11/19/04, Notice 10/13/04—published 12/22/04, effective 1/26/05]</w:t>
      </w:r>
    </w:p>
    <w:p>
      <w:pPr>
        <w:spacing w:before="0" w:after="0"/>
        <w:ind w:left="120"/>
        <w:jc w:val="center"/>
      </w:pPr>
      <w:r>
        <w:rPr>
          <w:rFonts w:ascii="Times New Roman" w:hAnsi="Times New Roman"/>
          <w:b w:val="false"/>
          <w:i w:val="false"/>
          <w:color w:val="000000"/>
          <w:sz w:val="21"/>
        </w:rPr>
        <w:t>[Filed 6/15/05, Notice 5/11/05—published 7/6/05, effective 8/10/05]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5494C</w:t>
      </w:r>
      <w:r>
        <w:rPr>
          <w:rFonts w:ascii="Times New Roman" w:hAnsi="Times New Roman"/>
          <w:b w:val="false"/>
          <w:i w:val="false"/>
          <w:color w:val="000000"/>
          <w:sz w:val="21"/>
        </w:rPr>
        <w:t xml:space="preserve"> (Notice ARC 5340C,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9621C</w:t>
      </w:r>
      <w:r>
        <w:rPr>
          <w:rFonts w:ascii="Times New Roman" w:hAnsi="Times New Roman"/>
          <w:b w:val="false"/>
          <w:i w:val="false"/>
          <w:color w:val="000000"/>
          <w:sz w:val="21"/>
        </w:rPr>
        <w:t xml:space="preserve"> (Notice ARC 9383C, IAB 7/9/25)</w:t>
      </w:r>
      <w:r>
        <w:rPr>
          <w:rFonts w:ascii="Times New Roman" w:hAnsi="Times New Roman"/>
          <w:b w:val="false"/>
          <w:i w:val="false"/>
          <w:color w:val="000000"/>
          <w:sz w:val="21"/>
        </w:rPr>
        <w:t>, IAB 10/15/25, effective 11/19/25]</w:t>
      </w:r>
    </w:p>
    <w:p>
      <w:pPr>
        <w:pBdr>
          <w:bottom w:space="2"/>
        </w:pBdr>
        <w:spacing w:before="0" w:after="0"/>
        <w:ind w:left="120"/>
        <w:jc w:val="both"/>
      </w:pPr>
      <w:r>
        <w:rPr>
          <w:rFonts w:ascii="Times New Roman" w:hAnsi="Times New Roman"/>
          <w:b w:val="false"/>
          <w:i w:val="false"/>
          <w:color w:val="000000"/>
          <w:sz w:val="22"/>
        </w:rPr>
        <w:t>Effective date of 500.1, definition of “Power unit,” 500.2, 500.3(1), 500.3(3), introductory paragraph, 500.3(3)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500.3(4)</w:t>
      </w:r>
      <w:r>
        <w:rPr>
          <w:rFonts w:ascii="Times New Roman" w:hAnsi="Times New Roman"/>
          <w:b w:val="false"/>
          <w:i/>
          <w:color w:val="000000"/>
          <w:sz w:val="22"/>
        </w:rPr>
        <w:t>“a,”</w:t>
      </w:r>
      <w:r>
        <w:rPr>
          <w:rFonts w:ascii="Times New Roman" w:hAnsi="Times New Roman"/>
          <w:b w:val="false"/>
          <w:i w:val="false"/>
          <w:color w:val="000000"/>
          <w:sz w:val="22"/>
        </w:rPr>
        <w:t xml:space="preserve"> introductory paragraph, 500.3(4)</w:t>
      </w:r>
      <w:r>
        <w:rPr>
          <w:rFonts w:ascii="Times New Roman" w:hAnsi="Times New Roman"/>
          <w:b w:val="false"/>
          <w:i/>
          <w:color w:val="000000"/>
          <w:sz w:val="22"/>
        </w:rPr>
        <w:t>“c,”</w:t>
      </w:r>
      <w:r>
        <w:rPr>
          <w:rFonts w:ascii="Times New Roman" w:hAnsi="Times New Roman"/>
          <w:b w:val="false"/>
          <w:i w:val="false"/>
          <w:color w:val="000000"/>
          <w:sz w:val="22"/>
        </w:rPr>
        <w:t xml:space="preserve"> 500.3(5)</w:t>
      </w:r>
      <w:r>
        <w:rPr>
          <w:rFonts w:ascii="Times New Roman" w:hAnsi="Times New Roman"/>
          <w:b w:val="false"/>
          <w:i/>
          <w:color w:val="000000"/>
          <w:sz w:val="22"/>
        </w:rPr>
        <w:t>“a,”</w:t>
      </w:r>
      <w:r>
        <w:rPr>
          <w:rFonts w:ascii="Times New Roman" w:hAnsi="Times New Roman"/>
          <w:b w:val="false"/>
          <w:i w:val="false"/>
          <w:color w:val="000000"/>
          <w:sz w:val="22"/>
        </w:rPr>
        <w:t xml:space="preserve"> introductory paragraph, 500.3(5)</w:t>
      </w:r>
      <w:r>
        <w:rPr>
          <w:rFonts w:ascii="Times New Roman" w:hAnsi="Times New Roman"/>
          <w:b w:val="false"/>
          <w:i/>
          <w:color w:val="000000"/>
          <w:sz w:val="22"/>
        </w:rPr>
        <w:t>“a”</w:t>
      </w:r>
      <w:r>
        <w:rPr>
          <w:rFonts w:ascii="Times New Roman" w:hAnsi="Times New Roman"/>
          <w:b w:val="false"/>
          <w:i w:val="false"/>
          <w:color w:val="000000"/>
          <w:sz w:val="22"/>
        </w:rPr>
        <w:t>(2), 500.3(5)</w:t>
      </w:r>
      <w:r>
        <w:rPr>
          <w:rFonts w:ascii="Times New Roman" w:hAnsi="Times New Roman"/>
          <w:b w:val="false"/>
          <w:i/>
          <w:color w:val="000000"/>
          <w:sz w:val="22"/>
        </w:rPr>
        <w:t>“b”</w:t>
      </w:r>
      <w:r>
        <w:rPr>
          <w:rFonts w:ascii="Times New Roman" w:hAnsi="Times New Roman"/>
          <w:b w:val="false"/>
          <w:i w:val="false"/>
          <w:color w:val="000000"/>
          <w:sz w:val="22"/>
        </w:rPr>
        <w:t>(2), 500.3(6), 500.6 to 500.9, 500.11</w:t>
      </w:r>
      <w:r>
        <w:rPr>
          <w:rFonts w:ascii="Times New Roman" w:hAnsi="Times New Roman"/>
          <w:b w:val="false"/>
          <w:i/>
          <w:color w:val="000000"/>
          <w:sz w:val="22"/>
        </w:rPr>
        <w:t>,</w:t>
      </w:r>
      <w:r>
        <w:rPr>
          <w:rFonts w:ascii="Times New Roman" w:hAnsi="Times New Roman"/>
          <w:b w:val="false"/>
          <w:i w:val="false"/>
          <w:color w:val="000000"/>
          <w:sz w:val="22"/>
        </w:rPr>
        <w:t xml:space="preserve"> 500.12, 500.14, 500.17, 500.20, June 2, 1993, delayed 70 days by the Administrative Rules Review Committee at its meeting held May 12, 1993; delay lifted by this Committee June 8, 1993, effective June 9, 1993.</w:t>
      </w:r>
    </w:p>
    <w:sectPr>
      <w:footerReference r:id="rId8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6.2.pdf" Type="http://schemas.openxmlformats.org/officeDocument/2006/relationships/hyperlink" Id="rId5"/>
    <Relationship TargetMode="External" Target="https://www.legis.iowa.gov/docs/ico/chapter/326.3.pdf" Type="http://schemas.openxmlformats.org/officeDocument/2006/relationships/hyperlink" Id="rId6"/>
    <Relationship TargetMode="External" Target="https://www.legis.iowa.gov/docs/ico/chapter/326.2.pdf" Type="http://schemas.openxmlformats.org/officeDocument/2006/relationships/hyperlink" Id="rId7"/>
    <Relationship TargetMode="External" Target="https://www.legis.iowa.gov/docs/ico/chapter/326.2.pdf" Type="http://schemas.openxmlformats.org/officeDocument/2006/relationships/hyperlink" Id="rId8"/>
    <Relationship TargetMode="External" Target="https://www.legis.iowa.gov/docs/ico/chapter/326.3.pdf" Type="http://schemas.openxmlformats.org/officeDocument/2006/relationships/hyperlink" Id="rId9"/>
    <Relationship TargetMode="External" Target="https://www.legis.iowa.gov/docs/ico/chapter/326.15.pdf" Type="http://schemas.openxmlformats.org/officeDocument/2006/relationships/hyperlink" Id="rId10"/>
    <Relationship TargetMode="External" Target="https://www.legis.iowa.gov/docs/ico/chapter/326.33.pdf" Type="http://schemas.openxmlformats.org/officeDocument/2006/relationships/hyperlink" Id="rId11"/>
    <Relationship TargetMode="External" Target="http://www.iowadot.gov/mvd/motorcarriers/IRP/File-IRP" Type="http://schemas.openxmlformats.org/officeDocument/2006/relationships/hyperlink" Id="rId12"/>
    <Relationship TargetMode="External" Target="mailto:omcs@iowadot.us" Type="http://schemas.openxmlformats.org/officeDocument/2006/relationships/hyperlink" Id="rId13"/>
    <Relationship TargetMode="External" Target="https://www.legis.iowa.gov/docs/ico/chapter/321.pdf" Type="http://schemas.openxmlformats.org/officeDocument/2006/relationships/hyperlink" Id="rId14"/>
    <Relationship TargetMode="External" Target="https://www.legis.iowa.gov/docs/ico/chapter/326.pdf" Type="http://schemas.openxmlformats.org/officeDocument/2006/relationships/hyperlink" Id="rId15"/>
    <Relationship TargetMode="External" Target="https://www.legis.iowa.gov/docs/ico/chapter/326.pdf" Type="http://schemas.openxmlformats.org/officeDocument/2006/relationships/hyperlink" Id="rId16"/>
    <Relationship TargetMode="External" Target="https://www.legis.iowa.gov/docs/ico/chapter/321.pdf" Type="http://schemas.openxmlformats.org/officeDocument/2006/relationships/hyperlink" Id="rId17"/>
    <Relationship TargetMode="External" Target="https://www.legis.iowa.gov/docs/ico/chapter/326.5.pdf" Type="http://schemas.openxmlformats.org/officeDocument/2006/relationships/hyperlink" Id="rId18"/>
    <Relationship TargetMode="External" Target="https://www.legis.iowa.gov/docs/ico/chapter/326.6.pdf" Type="http://schemas.openxmlformats.org/officeDocument/2006/relationships/hyperlink" Id="rId19"/>
    <Relationship TargetMode="External" Target="https://www.legis.iowa.gov/docs/ico/chapter/326.33.pdf" Type="http://schemas.openxmlformats.org/officeDocument/2006/relationships/hyperlink" Id="rId20"/>
    <Relationship TargetMode="External" Target="https://www.legis.iowa.gov/docs/iac/chapter/761.11.pdf" Type="http://schemas.openxmlformats.org/officeDocument/2006/relationships/hyperlink" Id="rId21"/>
    <Relationship TargetMode="External" Target="https://www.legis.iowa.gov/docs/ico/chapter/17A.9A.pdf" Type="http://schemas.openxmlformats.org/officeDocument/2006/relationships/hyperlink" Id="rId22"/>
    <Relationship TargetMode="External" Target="https://www.legis.iowa.gov/docs/ico/chapter/326.33.pdf" Type="http://schemas.openxmlformats.org/officeDocument/2006/relationships/hyperlink" Id="rId23"/>
    <Relationship TargetMode="External" Target="https://www.legis.iowa.gov/docs/iac/rule/761.500.5.pdf" Type="http://schemas.openxmlformats.org/officeDocument/2006/relationships/hyperlink" Id="rId24"/>
    <Relationship TargetMode="External" Target="https://www.legis.iowa.gov/docs/ico/chapter/326.15.pdf" Type="http://schemas.openxmlformats.org/officeDocument/2006/relationships/hyperlink" Id="rId25"/>
    <Relationship TargetMode="External" Target="https://www.legis.iowa.gov/docs/ico/chapter/326.6.pdf" Type="http://schemas.openxmlformats.org/officeDocument/2006/relationships/hyperlink" Id="rId26"/>
    <Relationship TargetMode="External" Target="https://www.legis.iowa.gov/docs/ico/chapter/326.11.pdf" Type="http://schemas.openxmlformats.org/officeDocument/2006/relationships/hyperlink" Id="rId27"/>
    <Relationship TargetMode="External" Target="https://www.legis.iowa.gov/docs/ico/chapter/326.12.pdf" Type="http://schemas.openxmlformats.org/officeDocument/2006/relationships/hyperlink" Id="rId28"/>
    <Relationship TargetMode="External" Target="https://www.legis.iowa.gov/docs/ico/chapter/326.14.pdf" Type="http://schemas.openxmlformats.org/officeDocument/2006/relationships/hyperlink" Id="rId29"/>
    <Relationship TargetMode="External" Target="https://www.legis.iowa.gov/docs/ico/chapter/326.15.pdf" Type="http://schemas.openxmlformats.org/officeDocument/2006/relationships/hyperlink" Id="rId30"/>
    <Relationship TargetMode="External" Target="https://www.legis.iowa.gov/docs/ico/chapter/326.33.pdf" Type="http://schemas.openxmlformats.org/officeDocument/2006/relationships/hyperlink" Id="rId31"/>
    <Relationship TargetMode="External" Target="https://www.legis.iowa.gov/docs/ico/chapter/321.126.pdf" Type="http://schemas.openxmlformats.org/officeDocument/2006/relationships/hyperlink" Id="rId32"/>
    <Relationship TargetMode="External" Target="https://www.legis.iowa.gov/docs/ico/chapter/321.134.pdf" Type="http://schemas.openxmlformats.org/officeDocument/2006/relationships/hyperlink" Id="rId33"/>
    <Relationship TargetMode="External" Target="https://www.legis.iowa.gov/docs/ico/chapter/326.33.pdf" Type="http://schemas.openxmlformats.org/officeDocument/2006/relationships/hyperlink" Id="rId34"/>
    <Relationship TargetMode="External" Target="https://www.legis.iowa.gov/docs/ico/chapter/326.14.pdf" Type="http://schemas.openxmlformats.org/officeDocument/2006/relationships/hyperlink" Id="rId35"/>
    <Relationship TargetMode="External" Target="https://www.legis.iowa.gov/docs/ico/chapter/326.16.pdf" Type="http://schemas.openxmlformats.org/officeDocument/2006/relationships/hyperlink" Id="rId36"/>
    <Relationship TargetMode="External" Target="https://www.legis.iowa.gov/docs/ico/chapter/326.10A.pdf" Type="http://schemas.openxmlformats.org/officeDocument/2006/relationships/hyperlink" Id="rId37"/>
    <Relationship TargetMode="External" Target="https://www.legis.iowa.gov/docs/ico/chapter/326.14.pdf" Type="http://schemas.openxmlformats.org/officeDocument/2006/relationships/hyperlink" Id="rId38"/>
    <Relationship TargetMode="External" Target="https://www.legis.iowa.gov/docs/ico/chapter/326.16.pdf" Type="http://schemas.openxmlformats.org/officeDocument/2006/relationships/hyperlink" Id="rId39"/>
    <Relationship TargetMode="External" Target="https://www.legis.iowa.gov/docs/ico/chapter/326.33.pdf" Type="http://schemas.openxmlformats.org/officeDocument/2006/relationships/hyperlink" Id="rId40"/>
    <Relationship TargetMode="External" Target="https://www.legis.iowa.gov/docs/ico/chapter/326.15.pdf" Type="http://schemas.openxmlformats.org/officeDocument/2006/relationships/hyperlink" Id="rId41"/>
    <Relationship TargetMode="External" Target="https://www.legis.iowa.gov/docs/ico/chapter/326.33.pdf" Type="http://schemas.openxmlformats.org/officeDocument/2006/relationships/hyperlink" Id="rId42"/>
    <Relationship TargetMode="External" Target="https://www.legis.iowa.gov/docs/ico/chapter/326.14.pdf" Type="http://schemas.openxmlformats.org/officeDocument/2006/relationships/hyperlink" Id="rId43"/>
    <Relationship TargetMode="External" Target="https://www.legis.iowa.gov/docs/ico/chapter/326.33.pdf" Type="http://schemas.openxmlformats.org/officeDocument/2006/relationships/hyperlink" Id="rId44"/>
    <Relationship TargetMode="External" Target="https://www.legis.iowa.gov/docs/ico/chapter/326.11.pdf" Type="http://schemas.openxmlformats.org/officeDocument/2006/relationships/hyperlink" Id="rId45"/>
    <Relationship TargetMode="External" Target="https://www.legis.iowa.gov/docs/ico/chapter/326.33.pdf" Type="http://schemas.openxmlformats.org/officeDocument/2006/relationships/hyperlink" Id="rId46"/>
    <Relationship TargetMode="External" Target="https://www.legis.iowa.gov/docs/ico/chapter/326.12.pdf" Type="http://schemas.openxmlformats.org/officeDocument/2006/relationships/hyperlink" Id="rId47"/>
    <Relationship TargetMode="External" Target="https://www.legis.iowa.gov/docs/ico/chapter/326.15.pdf" Type="http://schemas.openxmlformats.org/officeDocument/2006/relationships/hyperlink" Id="rId48"/>
    <Relationship TargetMode="External" Target="https://www.legis.iowa.gov/docs/ico/chapter/326.33.pdf" Type="http://schemas.openxmlformats.org/officeDocument/2006/relationships/hyperlink" Id="rId49"/>
    <Relationship TargetMode="External" Target="https://www.legis.iowa.gov/docs/iac/rule/761.500.9.pdf" Type="http://schemas.openxmlformats.org/officeDocument/2006/relationships/hyperlink" Id="rId50"/>
    <Relationship TargetMode="External" Target="https://www.legis.iowa.gov/docs/ico/chapter/326.6.pdf" Type="http://schemas.openxmlformats.org/officeDocument/2006/relationships/hyperlink" Id="rId51"/>
    <Relationship TargetMode="External" Target="https://www.legis.iowa.gov/docs/ico/chapter/326.11.pdf" Type="http://schemas.openxmlformats.org/officeDocument/2006/relationships/hyperlink" Id="rId52"/>
    <Relationship TargetMode="External" Target="https://www.legis.iowa.gov/docs/ico/chapter/326.33.pdf" Type="http://schemas.openxmlformats.org/officeDocument/2006/relationships/hyperlink" Id="rId53"/>
    <Relationship TargetMode="External" Target="https://www.legis.iowa.gov/docs/ico/chapter/326.12.pdf" Type="http://schemas.openxmlformats.org/officeDocument/2006/relationships/hyperlink" Id="rId54"/>
    <Relationship TargetMode="External" Target="https://www.legis.iowa.gov/docs/ico/chapter/326.12.pdf" Type="http://schemas.openxmlformats.org/officeDocument/2006/relationships/hyperlink" Id="rId55"/>
    <Relationship TargetMode="External" Target="https://www.legis.iowa.gov/docs/ico/chapter/326.33.pdf" Type="http://schemas.openxmlformats.org/officeDocument/2006/relationships/hyperlink" Id="rId56"/>
    <Relationship TargetMode="External" Target="https://www.legis.iowa.gov/docs/ico/chapter/326.14.pdf" Type="http://schemas.openxmlformats.org/officeDocument/2006/relationships/hyperlink" Id="rId57"/>
    <Relationship TargetMode="External" Target="https://www.legis.iowa.gov/docs/ico/chapter/326.16.pdf" Type="http://schemas.openxmlformats.org/officeDocument/2006/relationships/hyperlink" Id="rId58"/>
    <Relationship TargetMode="External" Target="https://www.legis.iowa.gov/docs/ico/chapter/321.20A.pdf" Type="http://schemas.openxmlformats.org/officeDocument/2006/relationships/hyperlink" Id="rId59"/>
    <Relationship TargetMode="External" Target="https://www.legis.iowa.gov/docs/ico/chapter/321.20A.pdf" Type="http://schemas.openxmlformats.org/officeDocument/2006/relationships/hyperlink" Id="rId60"/>
    <Relationship TargetMode="External" Target="https://www.legis.iowa.gov/docs/ico/chapter/326.11.pdf" Type="http://schemas.openxmlformats.org/officeDocument/2006/relationships/hyperlink" Id="rId61"/>
    <Relationship TargetMode="External" Target="https://www.legis.iowa.gov/docs/ico/chapter/326.14.pdf" Type="http://schemas.openxmlformats.org/officeDocument/2006/relationships/hyperlink" Id="rId62"/>
    <Relationship TargetMode="External" Target="https://www.legis.iowa.gov/docs/ico/chapter/326.16.pdf" Type="http://schemas.openxmlformats.org/officeDocument/2006/relationships/hyperlink" Id="rId63"/>
    <Relationship TargetMode="External" Target="https://www.legis.iowa.gov/docs/ico/chapter/326.33.pdf" Type="http://schemas.openxmlformats.org/officeDocument/2006/relationships/hyperlink" Id="rId64"/>
    <Relationship TargetMode="External" Target="https://www.legis.iowa.gov/docs/ico/chapter/326.22.pdf" Type="http://schemas.openxmlformats.org/officeDocument/2006/relationships/hyperlink" Id="rId65"/>
    <Relationship TargetMode="External" Target="https://www.legis.iowa.gov/docs/ico/chapter/326.33.pdf" Type="http://schemas.openxmlformats.org/officeDocument/2006/relationships/hyperlink" Id="rId66"/>
    <Relationship TargetMode="External" Target="https://www.legis.iowa.gov/docs/ico/chapter/321.126.pdf" Type="http://schemas.openxmlformats.org/officeDocument/2006/relationships/hyperlink" Id="rId67"/>
    <Relationship TargetMode="External" Target="https://www.legis.iowa.gov/docs/ico/chapter/321.127.pdf" Type="http://schemas.openxmlformats.org/officeDocument/2006/relationships/hyperlink" Id="rId68"/>
    <Relationship TargetMode="External" Target="https://www.legis.iowa.gov/docs/ico/chapter/321.129.pdf" Type="http://schemas.openxmlformats.org/officeDocument/2006/relationships/hyperlink" Id="rId69"/>
    <Relationship TargetMode="External" Target="https://www.legis.iowa.gov/docs/ico/chapter/326.15.pdf" Type="http://schemas.openxmlformats.org/officeDocument/2006/relationships/hyperlink" Id="rId70"/>
    <Relationship TargetMode="External" Target="https://www.legis.iowa.gov/docs/ico/chapter/321.126.pdf" Type="http://schemas.openxmlformats.org/officeDocument/2006/relationships/hyperlink" Id="rId71"/>
    <Relationship TargetMode="External" Target="https://www.legis.iowa.gov/docs/ico/chapter/321.127.pdf" Type="http://schemas.openxmlformats.org/officeDocument/2006/relationships/hyperlink" Id="rId72"/>
    <Relationship TargetMode="External" Target="https://www.legis.iowa.gov/docs/ico/chapter/321.129.pdf" Type="http://schemas.openxmlformats.org/officeDocument/2006/relationships/hyperlink" Id="rId73"/>
    <Relationship TargetMode="External" Target="https://www.legis.iowa.gov/docs/ico/chapter/326.15.pdf" Type="http://schemas.openxmlformats.org/officeDocument/2006/relationships/hyperlink" Id="rId74"/>
    <Relationship TargetMode="External" Target="https://www.legis.iowa.gov/docs/ico/chapter/326.33.pdf" Type="http://schemas.openxmlformats.org/officeDocument/2006/relationships/hyperlink" Id="rId75"/>
    <Relationship TargetMode="External" Target="https://www.legis.iowa.gov/docs/iac/rule/761.500.6.pdf" Type="http://schemas.openxmlformats.org/officeDocument/2006/relationships/hyperlink" Id="rId76"/>
    <Relationship TargetMode="External" Target="https://www.legis.iowa.gov/docs/ico/chapter/326.11.pdf" Type="http://schemas.openxmlformats.org/officeDocument/2006/relationships/hyperlink" Id="rId77"/>
    <Relationship TargetMode="External" Target="https://www.legis.iowa.gov/docs/ico/chapter/326.33.pdf" Type="http://schemas.openxmlformats.org/officeDocument/2006/relationships/hyperlink" Id="rId78"/>
    <Relationship TargetMode="External" Target="https://www.legis.iowa.gov/docs/ico/chapter/326.19A.pdf" Type="http://schemas.openxmlformats.org/officeDocument/2006/relationships/hyperlink" Id="rId79"/>
    <Relationship TargetMode="External" Target="https://www.legis.iowa.gov/docs/ico/chapter/326.33.pdf" Type="http://schemas.openxmlformats.org/officeDocument/2006/relationships/hyperlink" Id="rId80"/>
    <Relationship TargetMode="External" Target="https://www.legis.iowa.gov/docs/ico/chapter/326.pdf" Type="http://schemas.openxmlformats.org/officeDocument/2006/relationships/hyperlink" Id="rId81"/>
    <Relationship TargetMode="External" Target="https://www.legis.iowa.gov/docs/ico/chapter/321E.pdf" Type="http://schemas.openxmlformats.org/officeDocument/2006/relationships/hyperlink" Id="rId82"/>
    <Relationship TargetMode="External" Target="https://www.legis.iowa.gov/docs/ico/chapter/326.23.pdf" Type="http://schemas.openxmlformats.org/officeDocument/2006/relationships/hyperlink" Id="rId83"/>
    <Relationship TargetMode="External" Target="https://www.legis.iowa.gov/docs/ico/chapter/326.33.pdf" Type="http://schemas.openxmlformats.org/officeDocument/2006/relationships/hyperlink" Id="rId84"/>
    <Relationship TargetMode="External" Target="https://www.legis.iowa.gov/docs/ico/chapter/326.46.pdf" Type="http://schemas.openxmlformats.org/officeDocument/2006/relationships/hyperlink" Id="rId85"/>
    <Relationship TargetMode="External" Target="https://www.legis.iowa.gov/docs/ico/chapter/326.33.pdf" Type="http://schemas.openxmlformats.org/officeDocument/2006/relationships/hyperlink" Id="rId86"/>
    <Relationship Target="footer.xml" Type="http://schemas.openxmlformats.org/officeDocument/2006/relationships/footer"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