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ADMINISTRATIVE REMEDIES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621—9.1</w:t>
      </w:r>
      <w:r>
        <w:rPr>
          <w:rFonts w:ascii="Times New Roman" w:hAnsi="Times New Roman"/>
          <w:b/>
          <w:i w:val="false"/>
          <w:color w:val="000000"/>
          <w:sz w:val="22"/>
        </w:rPr>
        <w:t xml:space="preserve">(17A,20) </w:t>
      </w:r>
      <w:r>
        <w:rPr>
          <w:rFonts w:ascii="Times New Roman" w:hAnsi="Times New Roman"/>
          <w:b/>
          <w:i w:val="false"/>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By board majority. </w:t>
      </w:r>
      <w:r>
        <w:rPr>
          <w:rFonts w:ascii="Times New Roman" w:hAnsi="Times New Roman"/>
          <w:b w:val="false"/>
          <w:i w:val="false"/>
          <w:color w:val="000000"/>
          <w:sz w:val="22"/>
        </w:rPr>
        <w:t>When a majority of the board presides at the reception of the evidence in a contested case, the decision of the board is a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By presiding officer. </w:t>
      </w:r>
      <w:r>
        <w:rPr>
          <w:rFonts w:ascii="Times New Roman" w:hAnsi="Times New Roman"/>
          <w:b w:val="false"/>
          <w:i w:val="false"/>
          <w:color w:val="000000"/>
          <w:sz w:val="22"/>
        </w:rPr>
        <w:t>When a majority of the board does not preside at the reception of the evidence in a contested case, the presiding officer shall make a proposed decision that becomes the final decision of the agency without further proceedings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an appeal to the board or a petition for its review filed within 20 days of the filing of the proposed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within 20 days of the filing of the proposed decision, determines to review the decision on its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621—9.2</w:t>
      </w:r>
      <w:r>
        <w:rPr>
          <w:rFonts w:ascii="Times New Roman" w:hAnsi="Times New Roman"/>
          <w:b/>
          <w:i w:val="false"/>
          <w:color w:val="000000"/>
          <w:sz w:val="22"/>
        </w:rPr>
        <w:t xml:space="preserve">(17A,20) </w:t>
      </w:r>
      <w:r>
        <w:rPr>
          <w:rFonts w:ascii="Times New Roman" w:hAnsi="Times New Roman"/>
          <w:b/>
          <w:i w:val="false"/>
          <w:color w:val="000000"/>
          <w:sz w:val="22"/>
        </w:rPr>
        <w:t xml:space="preserve">Appeals or petitions for the board’s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or petition for review. </w:t>
      </w:r>
      <w:r>
        <w:rPr>
          <w:rFonts w:ascii="Times New Roman" w:hAnsi="Times New Roman"/>
          <w:b w:val="false"/>
          <w:i w:val="false"/>
          <w:color w:val="000000"/>
          <w:sz w:val="22"/>
        </w:rPr>
        <w:t>An appeal to the board or a petition for review of a proposed decision in a contested case proceeding shall be commenced by the filing of a written notice of appeal or petition for review with the agency within 20 days of the filing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Cross-appeals or cross-petitions for review. </w:t>
      </w:r>
      <w:r>
        <w:rPr>
          <w:rFonts w:ascii="Times New Roman" w:hAnsi="Times New Roman"/>
          <w:b w:val="false"/>
          <w:i w:val="false"/>
          <w:color w:val="000000"/>
          <w:sz w:val="22"/>
        </w:rPr>
        <w:t>A cross-appeal or cross-petition for review may be taken in the same manner as an appeal or a petition for review and shall be filed within 20 days of the filing of the proposed decision or within 5 days after the initial appeal or petition for review is filed,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 xml:space="preserve">All appeals and petitions for review shall be electronically filed pursuant to </w:t>
      </w:r>
      <w:hyperlink r:id="rId5">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621—9.3</w:t>
      </w:r>
      <w:r>
        <w:rPr>
          <w:rFonts w:ascii="Times New Roman" w:hAnsi="Times New Roman"/>
          <w:b/>
          <w:i w:val="false"/>
          <w:color w:val="000000"/>
          <w:sz w:val="22"/>
        </w:rPr>
        <w:t xml:space="preserve">(17A,20) </w:t>
      </w:r>
      <w:r>
        <w:rPr>
          <w:rFonts w:ascii="Times New Roman" w:hAnsi="Times New Roman"/>
          <w:b/>
          <w:i w:val="false"/>
          <w:color w:val="000000"/>
          <w:sz w:val="22"/>
        </w:rPr>
        <w:t xml:space="preserve">Board’s review on its own motion. </w:t>
      </w:r>
      <w:r>
        <w:rPr>
          <w:rFonts w:ascii="Times New Roman" w:hAnsi="Times New Roman"/>
          <w:b w:val="false"/>
          <w:i w:val="false"/>
          <w:color w:val="000000"/>
          <w:sz w:val="22"/>
        </w:rPr>
        <w:t>The board may determine to review the proposed decision within 20 days of the filing of the proposed decision by filing an order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621—9.4</w:t>
      </w:r>
      <w:r>
        <w:rPr>
          <w:rFonts w:ascii="Times New Roman" w:hAnsi="Times New Roman"/>
          <w:b/>
          <w:i w:val="false"/>
          <w:color w:val="000000"/>
          <w:sz w:val="22"/>
        </w:rPr>
        <w:t xml:space="preserve">(17A,20) </w:t>
      </w:r>
      <w:r>
        <w:rPr>
          <w:rFonts w:ascii="Times New Roman" w:hAnsi="Times New Roman"/>
          <w:b/>
          <w:i w:val="false"/>
          <w:color w:val="000000"/>
          <w:sz w:val="22"/>
        </w:rPr>
        <w:t xml:space="preserve">Petition for amicus curiae status. </w:t>
      </w:r>
      <w:r>
        <w:rPr>
          <w:rFonts w:ascii="Times New Roman" w:hAnsi="Times New Roman"/>
          <w:b w:val="false"/>
          <w:i w:val="false"/>
          <w:color w:val="000000"/>
          <w:sz w:val="22"/>
        </w:rPr>
        <w:t xml:space="preserve">Any person, employee organization or public employer who has a significant interest in an outcome of an appeal or review pursuant to either rule </w:t>
      </w:r>
      <w:hyperlink r:id="rId6">
        <w:r>
          <w:rPr>
            <w:rStyle w:val="Hyperlink"/>
            <w:rFonts w:ascii="Times New Roman" w:hAnsi="Times New Roman"/>
            <w:b w:val="false"/>
            <w:i w:val="false"/>
            <w:color w:val="000000"/>
            <w:sz w:val="22"/>
          </w:rPr>
          <w:t>621—9.2</w:t>
        </w:r>
      </w:hyperlink>
      <w:r>
        <w:rPr>
          <w:rFonts w:ascii="Times New Roman" w:hAnsi="Times New Roman"/>
          <w:b w:val="false"/>
          <w:i w:val="false"/>
          <w:color w:val="000000"/>
          <w:sz w:val="22"/>
        </w:rPr>
        <w:t xml:space="preserve">(17A,20) or </w:t>
      </w:r>
      <w:hyperlink r:id="rId7">
        <w:r>
          <w:rPr>
            <w:rStyle w:val="Hyperlink"/>
            <w:rFonts w:ascii="Times New Roman" w:hAnsi="Times New Roman"/>
            <w:b w:val="false"/>
            <w:i w:val="false"/>
            <w:color w:val="000000"/>
            <w:sz w:val="22"/>
          </w:rPr>
          <w:t>621—9.3</w:t>
        </w:r>
      </w:hyperlink>
      <w:r>
        <w:rPr>
          <w:rFonts w:ascii="Times New Roman" w:hAnsi="Times New Roman"/>
          <w:b w:val="false"/>
          <w:i w:val="false"/>
          <w:color w:val="000000"/>
          <w:sz w:val="22"/>
        </w:rPr>
        <w:t>(17A,20) may petition the board for amicus curiae status. Where the petition is granted by the board, the amicus curiae may submit briefs and arguments and participate in the same manner as an original party to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621—9.5</w:t>
      </w:r>
      <w:r>
        <w:rPr>
          <w:rFonts w:ascii="Times New Roman" w:hAnsi="Times New Roman"/>
          <w:b/>
          <w:i w:val="false"/>
          <w:color w:val="000000"/>
          <w:sz w:val="22"/>
        </w:rPr>
        <w:t xml:space="preserve">(17A,20) </w:t>
      </w:r>
      <w:r>
        <w:rPr>
          <w:rFonts w:ascii="Times New Roman" w:hAnsi="Times New Roman"/>
          <w:b/>
          <w:i w:val="false"/>
          <w:color w:val="000000"/>
          <w:sz w:val="22"/>
        </w:rPr>
        <w:t xml:space="preserve">Board proceedings on appeal or review. </w:t>
      </w:r>
      <w:r>
        <w:rPr>
          <w:rFonts w:ascii="Times New Roman" w:hAnsi="Times New Roman"/>
          <w:b w:val="false"/>
          <w:i w:val="false"/>
          <w:color w:val="000000"/>
          <w:sz w:val="22"/>
        </w:rPr>
        <w:t>On appeal from or review of a proposed decision, the board has all the power that it would have in initially making the final decision except as it may limit the issues after giving notice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The parties shall be given an opportunity to file briefs and, with the consent of the board, present oral arguments to the board members who are to render the final decision. If the board consents to the presentation of oral arguments, the board shall file an order setting a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Standard of review. </w:t>
      </w:r>
      <w:r>
        <w:rPr>
          <w:rFonts w:ascii="Times New Roman" w:hAnsi="Times New Roman"/>
          <w:b w:val="false"/>
          <w:i w:val="false"/>
          <w:color w:val="000000"/>
          <w:sz w:val="22"/>
        </w:rPr>
        <w:t>The board may reverse or modify any finding of fact if a preponderance of the evidence will support a determination to reverse or modify such a finding, or may reverse or modify any conclusion of law that the board finds to be in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The decision rendered by the board on appeal or review shall be a final decision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621—9.6</w:t>
      </w:r>
      <w:r>
        <w:rPr>
          <w:rFonts w:ascii="Times New Roman" w:hAnsi="Times New Roman"/>
          <w:b/>
          <w:i w:val="false"/>
          <w:color w:val="000000"/>
          <w:sz w:val="22"/>
        </w:rPr>
        <w:t xml:space="preserve">(17A,20) </w:t>
      </w:r>
      <w:r>
        <w:rPr>
          <w:rFonts w:ascii="Times New Roman" w:hAnsi="Times New Roman"/>
          <w:b/>
          <w:i w:val="false"/>
          <w:color w:val="000000"/>
          <w:sz w:val="22"/>
        </w:rPr>
        <w:t xml:space="preserve">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party may file an application for rehearing, stating the specific grounds for rehearing and the relief sought, within 20 days after the date of the issuance of any final decision by the agency in a contested case. An application for rehearing shall be deemed to have been denied unless the board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 xml:space="preserve">The application shall be electronically filed pursuant to </w:t>
      </w:r>
      <w:hyperlink r:id="rId8">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621—9.7</w:t>
      </w:r>
      <w:r>
        <w:rPr>
          <w:rFonts w:ascii="Times New Roman" w:hAnsi="Times New Roman"/>
          <w:b/>
          <w:i w:val="false"/>
          <w:color w:val="000000"/>
          <w:sz w:val="22"/>
        </w:rPr>
        <w:t xml:space="preserve">(17A,20) </w:t>
      </w:r>
      <w:r>
        <w:rPr>
          <w:rFonts w:ascii="Times New Roman" w:hAnsi="Times New Roman"/>
          <w:b/>
          <w:i w:val="false"/>
          <w:color w:val="000000"/>
          <w:sz w:val="22"/>
        </w:rPr>
        <w:t xml:space="preserve">Stays of agency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party may file an application for a stay of agency action. The board may, in its discretion and on such terms as it deems proper,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 xml:space="preserve">The application shall be electronically filed pursuant to </w:t>
      </w:r>
      <w:hyperlink r:id="rId9">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2916C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3/4/75]</w:t>
      </w:r>
    </w:p>
    <w:p>
      <w:pPr>
        <w:spacing w:before="0" w:after="0"/>
        <w:ind w:left="120"/>
        <w:jc w:val="center"/>
      </w:pPr>
      <w:r>
        <w:rPr>
          <w:rFonts w:ascii="Times New Roman" w:hAnsi="Times New Roman"/>
          <w:b w:val="false"/>
          <w:i w:val="false"/>
          <w:color w:val="000000"/>
          <w:sz w:val="21"/>
        </w:rPr>
        <w:t>[Filed 10/26/77, Notice 9/21/77—published 11/16/77, effective 12/21/77]</w:t>
      </w:r>
    </w:p>
    <w:p>
      <w:pPr>
        <w:spacing w:before="0" w:after="0"/>
        <w:ind w:left="120"/>
        <w:jc w:val="center"/>
      </w:pPr>
      <w:r>
        <w:rPr>
          <w:rFonts w:ascii="Times New Roman" w:hAnsi="Times New Roman"/>
          <w:b w:val="false"/>
          <w:i w:val="false"/>
          <w:color w:val="000000"/>
          <w:sz w:val="21"/>
        </w:rPr>
        <w:t>[Filed 9/11/79, Notice 7/11/79—published 10/3/79, effective 11/12/79]</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emergency 7/23/85—published 8/14/85, effective 7/23/85]</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2/1/89, Notice 12/28/88—published 2/22/89, effective 3/30/89]</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Without Notice ARC 8953B, IAB 7/28/10, effective 9/1/10]</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2916C</w:t>
      </w:r>
      <w:r>
        <w:rPr>
          <w:rFonts w:ascii="Times New Roman" w:hAnsi="Times New Roman"/>
          <w:b w:val="false"/>
          <w:i w:val="false"/>
          <w:color w:val="000000"/>
          <w:sz w:val="21"/>
        </w:rPr>
        <w:t xml:space="preserve"> (Notice ARC 2817C, IAB 11/23/16)</w:t>
      </w:r>
      <w:r>
        <w:rPr>
          <w:rFonts w:ascii="Times New Roman" w:hAnsi="Times New Roman"/>
          <w:b w:val="false"/>
          <w:i w:val="false"/>
          <w:color w:val="000000"/>
          <w:sz w:val="21"/>
        </w:rPr>
        <w:t>, IAB 1/18/17, effective 2/22/17]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21.16.pdf" Type="http://schemas.openxmlformats.org/officeDocument/2006/relationships/hyperlink" Id="rId5"/>
    <Relationship TargetMode="External" Target="https://www.legis.iowa.gov/docs/iac/rule/621.9.2.pdf" Type="http://schemas.openxmlformats.org/officeDocument/2006/relationships/hyperlink" Id="rId6"/>
    <Relationship TargetMode="External" Target="https://www.legis.iowa.gov/docs/iac/rule/621.9.3.pdf" Type="http://schemas.openxmlformats.org/officeDocument/2006/relationships/hyperlink" Id="rId7"/>
    <Relationship TargetMode="External" Target="https://www.legis.iowa.gov/docs/iac/chapter/621.16.pdf" Type="http://schemas.openxmlformats.org/officeDocument/2006/relationships/hyperlink" Id="rId8"/>
    <Relationship TargetMode="External" Target="https://www.legis.iowa.gov/docs/iac/chapter/621.16.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