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7.gif"/>
  <Override ContentType="image/gif" PartName="/word/media/document_image_rId18.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GENERAL PRACTICE AND HEARING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621—2.1</w:t>
      </w:r>
      <w:r>
        <w:rPr>
          <w:rFonts w:ascii="Times New Roman" w:hAnsi="Times New Roman"/>
          <w:b/>
          <w:i w:val="false"/>
          <w:color w:val="000000"/>
          <w:sz w:val="22"/>
        </w:rPr>
        <w:t xml:space="preserve">(20) </w:t>
      </w:r>
      <w:r>
        <w:rPr>
          <w:rFonts w:ascii="Times New Roman" w:hAnsi="Times New Roman"/>
          <w:b/>
          <w:i w:val="false"/>
          <w:color w:val="000000"/>
          <w:sz w:val="22"/>
        </w:rPr>
        <w:t xml:space="preserve">Hearing—time and place—administrative law judge. </w:t>
      </w:r>
      <w:r>
        <w:rPr>
          <w:rFonts w:ascii="Times New Roman" w:hAnsi="Times New Roman"/>
          <w:b w:val="false"/>
          <w:i w:val="false"/>
          <w:color w:val="000000"/>
          <w:sz w:val="22"/>
        </w:rPr>
        <w:t>A member of the board or an administrative law judge shall fix the time and place for all hearings. Hearings may be conducted by the board, or by one or more of its members, or by an administrative law judge designated by the board. At their discretion the board or administrative law judge may order a prehearing conference.</w:t>
      </w:r>
    </w:p>
    <w:p>
      <w:pPr>
        <w:spacing w:before="0" w:after="0"/>
        <w:ind w:left="120"/>
        <w:jc w:val="both"/>
      </w:pPr>
      <w:r>
        <w:rPr>
          <w:rFonts w:ascii="Times New Roman" w:hAnsi="Times New Roman"/>
          <w:b/>
          <w:i w:val="false"/>
          <w:color w:val="000000"/>
          <w:sz w:val="22"/>
        </w:rPr>
        <w:t>621—2.2</w:t>
      </w:r>
      <w:r>
        <w:rPr>
          <w:rFonts w:ascii="Times New Roman" w:hAnsi="Times New Roman"/>
          <w:b/>
          <w:i w:val="false"/>
          <w:color w:val="000000"/>
          <w:sz w:val="22"/>
        </w:rPr>
        <w:t xml:space="preserve">(20) </w:t>
      </w:r>
      <w:r>
        <w:rPr>
          <w:rFonts w:ascii="Times New Roman" w:hAnsi="Times New Roman"/>
          <w:b/>
          <w:i w:val="false"/>
          <w:color w:val="000000"/>
          <w:sz w:val="22"/>
        </w:rPr>
        <w:t xml:space="preserve">Notice of hearing—contents. </w:t>
      </w:r>
      <w:r>
        <w:rPr>
          <w:rFonts w:ascii="Times New Roman" w:hAnsi="Times New Roman"/>
          <w:b w:val="false"/>
          <w:i w:val="false"/>
          <w:color w:val="000000"/>
          <w:sz w:val="22"/>
        </w:rPr>
        <w:t>Written notice of a contested case hearing shall be filed by the agency.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A statement of the date,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621—2.3</w:t>
      </w:r>
      <w:r>
        <w:rPr>
          <w:rFonts w:ascii="Times New Roman" w:hAnsi="Times New Roman"/>
          <w:b/>
          <w:i w:val="false"/>
          <w:color w:val="000000"/>
          <w:sz w:val="22"/>
        </w:rPr>
        <w:t xml:space="preserve">(20)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hearing after proper service of notice, the presiding officer may, if no continuance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hearing become final agency action unless, within 20 days after the mailing of the decision to the parties, a motion to vacate pursuant to subrule </w:t>
      </w:r>
      <w:hyperlink r:id="rId5">
        <w:r>
          <w:rPr>
            <w:rStyle w:val="Hyperlink"/>
            <w:rFonts w:ascii="Times New Roman" w:hAnsi="Times New Roman"/>
            <w:b w:val="false"/>
            <w:i w:val="false"/>
            <w:color w:val="000000"/>
            <w:sz w:val="22"/>
          </w:rPr>
          <w:t>2.3(3)</w:t>
        </w:r>
      </w:hyperlink>
      <w:r>
        <w:rPr>
          <w:rFonts w:ascii="Times New Roman" w:hAnsi="Times New Roman"/>
          <w:b w:val="false"/>
          <w:i w:val="false"/>
          <w:color w:val="000000"/>
          <w:sz w:val="22"/>
        </w:rPr>
        <w:t xml:space="preserve"> is filed and served on all parties or, if the decision is a proposed decision within the meaning of Iowa Code section </w:t>
      </w:r>
      <w:hyperlink r:id="rId6">
        <w:r>
          <w:rPr>
            <w:rStyle w:val="Hyperlink"/>
            <w:rFonts w:ascii="Times New Roman" w:hAnsi="Times New Roman"/>
            <w:b w:val="false"/>
            <w:i w:val="false"/>
            <w:color w:val="000000"/>
            <w:sz w:val="22"/>
          </w:rPr>
          <w:t>17A.15(2)</w:t>
        </w:r>
      </w:hyperlink>
      <w:r>
        <w:rPr>
          <w:rFonts w:ascii="Times New Roman" w:hAnsi="Times New Roman"/>
          <w:b w:val="false"/>
          <w:i w:val="false"/>
          <w:color w:val="000000"/>
          <w:sz w:val="22"/>
        </w:rPr>
        <w:t xml:space="preserve">, an appeal from the decision to the board on the merits is filed within the time provided by rule 621—9.2(17A,20) or, in cases brought pursuant to Iowa Code section </w:t>
      </w:r>
      <w:hyperlink r:id="rId7">
        <w:r>
          <w:rPr>
            <w:rStyle w:val="Hyperlink"/>
            <w:rFonts w:ascii="Times New Roman" w:hAnsi="Times New Roman"/>
            <w:b w:val="false"/>
            <w:i w:val="false"/>
            <w:color w:val="000000"/>
            <w:sz w:val="22"/>
          </w:rPr>
          <w:t>8A.415</w:t>
        </w:r>
      </w:hyperlink>
      <w:r>
        <w:rPr>
          <w:rFonts w:ascii="Times New Roman" w:hAnsi="Times New Roman"/>
          <w:b w:val="false"/>
          <w:i w:val="false"/>
          <w:color w:val="000000"/>
          <w:sz w:val="22"/>
        </w:rPr>
        <w:t>, a petition for review by the board on the merits is filed within the time provided by rule 621—11.8(8A,20).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A motion to vacate may be filed only by a party who failed to appear for the hearing and against whom the decision was rendered. The motion must state all facts relied upon by the moving party which establish that good cause existed for that party’s failure to appear. Each fact so stated must be substantiated by at least one sworn affidavit of a person with personal knowledge of each such fact, which affidavit(s) must be attached to and filed and served with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the existence of good cause is on the moving party. Adverse parties may, within ten days of the service of the motion and supporting affidavit(s) upon them, file a response to the motion. Adverse parties shall be allowed to conduct discovery as to the issue of the existence of good cause and to present evidence on the issue prior to a ruling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val="false"/>
          <w:color w:val="000000"/>
          <w:sz w:val="22"/>
        </w:rPr>
        <w:t>The time for the filing of an intra-agency appeal from or petition for review of a decision for which a timely motion to vacate has been filed is stayed pending the issuance of the presiding officer’s ruling on the motion to vacate.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621—2.4</w:t>
      </w:r>
      <w:r>
        <w:rPr>
          <w:rFonts w:ascii="Times New Roman" w:hAnsi="Times New Roman"/>
          <w:b/>
          <w:i w:val="false"/>
          <w:color w:val="000000"/>
          <w:sz w:val="22"/>
        </w:rPr>
        <w:t xml:space="preserve">(20) </w:t>
      </w:r>
      <w:r>
        <w:rPr>
          <w:rFonts w:ascii="Times New Roman" w:hAnsi="Times New Roman"/>
          <w:b/>
          <w:i w:val="false"/>
          <w:color w:val="000000"/>
          <w:sz w:val="22"/>
        </w:rPr>
        <w:t xml:space="preserve">Intervention and additional parties. </w:t>
      </w:r>
      <w:r>
        <w:rPr>
          <w:rFonts w:ascii="Times New Roman" w:hAnsi="Times New Roman"/>
          <w:b w:val="false"/>
          <w:i w:val="false"/>
          <w:color w:val="000000"/>
          <w:sz w:val="22"/>
        </w:rPr>
        <w:t xml:space="preserve">Any interested person may request intervention in any proceeding before the public employment relations board. An application for intervention shall be in writing, except that applications made during a hearing may be made orally to the hearing officer, and shall contain a statement of the reasons for such intervention. When an application for intervention is filed regarding a petition for bargaining representative determination, 621—subrules </w:t>
      </w:r>
      <w:hyperlink r:id="rId8">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5.1(2)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5.5(2)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Where necessary to achieve a more proper decision, the board or administrative law judge may, on its own motion or the motion of any party, order the bringing in of additional parties. When so ordered, the board shall serve upon such additional parties all relevant pleadings and allow such parties a reasonable time to respond thereto where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621—2.5</w:t>
      </w:r>
      <w:r>
        <w:rPr>
          <w:rFonts w:ascii="Times New Roman" w:hAnsi="Times New Roman"/>
          <w:b/>
          <w:i w:val="false"/>
          <w:color w:val="000000"/>
          <w:sz w:val="22"/>
        </w:rPr>
        <w:t xml:space="preserve">(20) </w:t>
      </w:r>
      <w:r>
        <w:rPr>
          <w:rFonts w:ascii="Times New Roman" w:hAnsi="Times New Roman"/>
          <w:b/>
          <w:i w:val="false"/>
          <w:color w:val="000000"/>
          <w:sz w:val="22"/>
        </w:rPr>
        <w:t xml:space="preserve">Continuance. </w:t>
      </w:r>
      <w:r>
        <w:rPr>
          <w:rFonts w:ascii="Times New Roman" w:hAnsi="Times New Roman"/>
          <w:b w:val="false"/>
          <w:i w:val="false"/>
          <w:color w:val="000000"/>
          <w:sz w:val="22"/>
        </w:rPr>
        <w:t>Hearings or proceedings on any matter may be continued by order of the board or an administrative law judge, with the reasons therefor set out in said order, and notice thereof to all parties. Parties may, upon written application to the board prior to commencement of the hearing or other proceeding, or oral application to the administrative law judge during the hearing, but not ex parte, request a continuance. A continuance may be allowed for any cause not growing out of the fault or negligence of the applicant, which satisfies the board or administrative law judge that a proper decision or result will be more nearly obtained by granting a continuance. The continuance may also be granted if agreed to by all parties and approved by the board or administrative law judge.</w:t>
      </w:r>
    </w:p>
    <w:p>
      <w:pPr>
        <w:spacing w:before="210" w:after="0"/>
        <w:ind w:left="120"/>
        <w:jc w:val="both"/>
      </w:pPr>
      <w:r>
        <w:rPr>
          <w:rFonts w:ascii="Times New Roman" w:hAnsi="Times New Roman"/>
          <w:b/>
          <w:i w:val="false"/>
          <w:color w:val="000000"/>
          <w:sz w:val="22"/>
        </w:rPr>
        <w:t>621—2.6</w:t>
      </w:r>
      <w:r>
        <w:rPr>
          <w:rFonts w:ascii="Times New Roman" w:hAnsi="Times New Roman"/>
          <w:b/>
          <w:i w:val="false"/>
          <w:color w:val="000000"/>
          <w:sz w:val="22"/>
        </w:rPr>
        <w:t xml:space="preserve">(20) </w:t>
      </w:r>
      <w:r>
        <w:rPr>
          <w:rFonts w:ascii="Times New Roman" w:hAnsi="Times New Roman"/>
          <w:b/>
          <w:i w:val="false"/>
          <w:color w:val="000000"/>
          <w:sz w:val="22"/>
        </w:rPr>
        <w:t xml:space="preserve">Appearances and conduct of parties. </w:t>
      </w:r>
      <w:r>
        <w:rPr>
          <w:rFonts w:ascii="Times New Roman" w:hAnsi="Times New Roman"/>
          <w:b w:val="false"/>
          <w:i w:val="false"/>
          <w:color w:val="000000"/>
          <w:sz w:val="22"/>
        </w:rPr>
        <w:t>Any party may appear and be heard on its own behalf, or by its designated representative. Designated representatives shall file a notice of appearance with the board for each case in which they appear for a party. Filing of pleadings on behalf of a party shall be equivalent to filing a notice of appearance. All persons appearing in proceedings before the board shall conform to the standard of ethical conduct required of attorneys before the courts of the state of Iowa. If any person refuses to conform to such standards, the board may decline to permit such person to appear in any proceeding.</w:t>
      </w:r>
    </w:p>
    <w:p>
      <w:pPr>
        <w:spacing w:before="210" w:after="0"/>
        <w:ind w:left="120"/>
        <w:jc w:val="both"/>
      </w:pPr>
      <w:r>
        <w:rPr>
          <w:rFonts w:ascii="Times New Roman" w:hAnsi="Times New Roman"/>
          <w:b/>
          <w:i w:val="false"/>
          <w:color w:val="000000"/>
          <w:sz w:val="22"/>
        </w:rPr>
        <w:t>621—2.7</w:t>
      </w:r>
      <w:r>
        <w:rPr>
          <w:rFonts w:ascii="Times New Roman" w:hAnsi="Times New Roman"/>
          <w:b/>
          <w:i w:val="false"/>
          <w:color w:val="000000"/>
          <w:sz w:val="22"/>
        </w:rPr>
        <w:t xml:space="preserve">(20) </w:t>
      </w:r>
      <w:r>
        <w:rPr>
          <w:rFonts w:ascii="Times New Roman" w:hAnsi="Times New Roman"/>
          <w:b/>
          <w:i w:val="false"/>
          <w:color w:val="000000"/>
          <w:sz w:val="22"/>
        </w:rPr>
        <w:t xml:space="preserve">Evidence—objections. </w:t>
      </w:r>
      <w:r>
        <w:rPr>
          <w:rFonts w:ascii="Times New Roman" w:hAnsi="Times New Roman"/>
          <w:b w:val="false"/>
          <w:i w:val="false"/>
          <w:color w:val="000000"/>
          <w:sz w:val="22"/>
        </w:rPr>
        <w:t>Rules of evidence shall be those set forth in the Administrative Procedure Act. Any objection with respect to the conduct of the hearing, including an objection to the introduction of evidence, may be stated orally or in writing, accompanied by a short statement of the grounds of such objection, and included in the record. No such objection shall be deemed waived by further participation in the hearing.</w:t>
      </w:r>
    </w:p>
    <w:p>
      <w:pPr>
        <w:spacing w:before="0" w:after="0"/>
        <w:ind w:left="120"/>
        <w:jc w:val="both"/>
      </w:pPr>
      <w:r>
        <w:rPr>
          <w:rFonts w:ascii="Times New Roman" w:hAnsi="Times New Roman"/>
          <w:b/>
          <w:i w:val="false"/>
          <w:color w:val="000000"/>
          <w:sz w:val="22"/>
        </w:rPr>
        <w:t>621—2.8</w:t>
      </w:r>
      <w:r>
        <w:rPr>
          <w:rFonts w:ascii="Times New Roman" w:hAnsi="Times New Roman"/>
          <w:b/>
          <w:i w:val="false"/>
          <w:color w:val="000000"/>
          <w:sz w:val="22"/>
        </w:rPr>
        <w:t xml:space="preserve">(20) </w:t>
      </w:r>
      <w:r>
        <w:rPr>
          <w:rFonts w:ascii="Times New Roman" w:hAnsi="Times New Roman"/>
          <w:b/>
          <w:i w:val="false"/>
          <w:color w:val="000000"/>
          <w:sz w:val="22"/>
        </w:rPr>
        <w:t xml:space="preserve">Order of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Order of procedure. </w:t>
      </w:r>
      <w:r>
        <w:rPr>
          <w:rFonts w:ascii="Times New Roman" w:hAnsi="Times New Roman"/>
          <w:b w:val="false"/>
          <w:i w:val="false"/>
          <w:color w:val="000000"/>
          <w:sz w:val="22"/>
        </w:rPr>
        <w:t>The following is the order of procedure for hearings before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shall present its evidence first in unit determination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shall present its evidence first and shall have the burden of proof in prohibited practice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appellant shall present the appellant’s evidence first and have the burden of proof in grievance appeals filed pursuant to Iowa Code section 8A.415(1).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appellee shall present its evidence first and have the burden of proof in disciplinary action appeals filed pursuant to Iowa Code section 8A.415(2).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petitioner shall present its evidence first and have the burden of proof in state employee whistleblower actions filed pursuant to Iowa Code section 70A.28.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or administrative law judge may, in its discretion, alter the order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Order of procedure for intervenors. </w:t>
      </w:r>
      <w:r>
        <w:rPr>
          <w:rFonts w:ascii="Times New Roman" w:hAnsi="Times New Roman"/>
          <w:b w:val="false"/>
          <w:i w:val="false"/>
          <w:color w:val="000000"/>
          <w:sz w:val="22"/>
        </w:rPr>
        <w:t xml:space="preserve">Intervenors shall follow the parties in whose behalf the intervention is made; if not made in support of a principal party, the administrative law judge shall designate at what stage such intervenors shall be heard.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Order of other parties and general procedures. </w:t>
      </w:r>
      <w:r>
        <w:rPr>
          <w:rFonts w:ascii="Times New Roman" w:hAnsi="Times New Roman"/>
          <w:b w:val="false"/>
          <w:i w:val="false"/>
          <w:color w:val="000000"/>
          <w:sz w:val="22"/>
        </w:rPr>
        <w:t>The order of other parties shall be determined by the administrative law judge. All parties shall be allowed cross-examination and an opportunity for rebuttal. At any stage of the hearing or after the close of the hearing but prior to decision, the board or administrative law judge may call for further evidence to be presented by the party or parties concerned.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621—2.9</w:t>
      </w:r>
      <w:r>
        <w:rPr>
          <w:rFonts w:ascii="Times New Roman" w:hAnsi="Times New Roman"/>
          <w:b/>
          <w:i w:val="false"/>
          <w:color w:val="000000"/>
          <w:sz w:val="22"/>
        </w:rPr>
        <w:t xml:space="preserve">(20) </w:t>
      </w:r>
      <w:r>
        <w:rPr>
          <w:rFonts w:ascii="Times New Roman" w:hAnsi="Times New Roman"/>
          <w:b/>
          <w:i w:val="false"/>
          <w:color w:val="000000"/>
          <w:sz w:val="22"/>
        </w:rPr>
        <w:t xml:space="preserve">Amendments. </w:t>
      </w:r>
      <w:r>
        <w:rPr>
          <w:rFonts w:ascii="Times New Roman" w:hAnsi="Times New Roman"/>
          <w:b w:val="false"/>
          <w:i w:val="false"/>
          <w:color w:val="000000"/>
          <w:sz w:val="22"/>
        </w:rPr>
        <w:t>A petition, complaint or answer may be amended for good cause shown, but not ex parte, upon motion at any time prior to the decision. Allowance of such amendments, including those to conform to the proof, shall be within the discretion of the board or administrative law judge. The board or administrative law judge may impose terms, or grant a continuance with or without terms, as a condition of such allowance. Such motions prior to hearing shall be in writing filed with the board, and the moving party shall serve a copy thereof upon all parties by ordinary mail.</w:t>
      </w:r>
    </w:p>
    <w:p>
      <w:pPr>
        <w:spacing w:before="210" w:after="0"/>
        <w:ind w:left="120"/>
        <w:jc w:val="both"/>
      </w:pPr>
      <w:r>
        <w:rPr>
          <w:rFonts w:ascii="Times New Roman" w:hAnsi="Times New Roman"/>
          <w:b/>
          <w:i w:val="false"/>
          <w:color w:val="000000"/>
          <w:sz w:val="22"/>
        </w:rPr>
        <w:t>621—2.10</w:t>
      </w:r>
      <w:r>
        <w:rPr>
          <w:rFonts w:ascii="Times New Roman" w:hAnsi="Times New Roman"/>
          <w:b/>
          <w:i w:val="false"/>
          <w:color w:val="000000"/>
          <w:sz w:val="22"/>
        </w:rPr>
        <w:t xml:space="preserve">(20) </w:t>
      </w:r>
      <w:r>
        <w:rPr>
          <w:rFonts w:ascii="Times New Roman" w:hAnsi="Times New Roman"/>
          <w:b/>
          <w:i w:val="false"/>
          <w:color w:val="000000"/>
          <w:sz w:val="22"/>
        </w:rPr>
        <w:t xml:space="preserve">Briefs and arguments. </w:t>
      </w:r>
      <w:r>
        <w:rPr>
          <w:rFonts w:ascii="Times New Roman" w:hAnsi="Times New Roman"/>
          <w:b w:val="false"/>
          <w:i w:val="false"/>
          <w:color w:val="000000"/>
          <w:sz w:val="22"/>
        </w:rPr>
        <w:t>At the discretion of the board or administrative law judge, oral arguments may be presented by the parties with such time limits as determined by the board or administrative law judge. Briefs may be filed in such order and within such time limits as set by the board or administrative law judge.</w:t>
      </w:r>
    </w:p>
    <w:p>
      <w:pPr>
        <w:spacing w:before="210" w:after="0"/>
        <w:ind w:left="120"/>
        <w:jc w:val="both"/>
      </w:pPr>
      <w:r>
        <w:rPr>
          <w:rFonts w:ascii="Times New Roman" w:hAnsi="Times New Roman"/>
          <w:b/>
          <w:i w:val="false"/>
          <w:color w:val="000000"/>
          <w:sz w:val="22"/>
        </w:rPr>
        <w:t>621—2.11</w:t>
      </w:r>
      <w:r>
        <w:rPr>
          <w:rFonts w:ascii="Times New Roman" w:hAnsi="Times New Roman"/>
          <w:b/>
          <w:i w:val="false"/>
          <w:color w:val="000000"/>
          <w:sz w:val="22"/>
        </w:rPr>
        <w:t xml:space="preserve">(20) </w:t>
      </w:r>
      <w:r>
        <w:rPr>
          <w:rFonts w:ascii="Times New Roman" w:hAnsi="Times New Roman"/>
          <w:b/>
          <w:i w:val="false"/>
          <w:color w:val="000000"/>
          <w:sz w:val="22"/>
        </w:rPr>
        <w:t xml:space="preserve">Sequestration of witnesses. </w:t>
      </w:r>
      <w:r>
        <w:rPr>
          <w:rFonts w:ascii="Times New Roman" w:hAnsi="Times New Roman"/>
          <w:b w:val="false"/>
          <w:i w:val="false"/>
          <w:color w:val="000000"/>
          <w:sz w:val="22"/>
        </w:rPr>
        <w:t>Upon its own motion, or the motion of any party, the board or administrative law judge may order the sequestration of witnesses in any proceeding.</w:t>
      </w:r>
    </w:p>
    <w:p>
      <w:pPr>
        <w:spacing w:before="0" w:after="0"/>
        <w:ind w:left="120"/>
        <w:jc w:val="both"/>
      </w:pPr>
      <w:r>
        <w:rPr>
          <w:rFonts w:ascii="Times New Roman" w:hAnsi="Times New Roman"/>
          <w:b/>
          <w:i w:val="false"/>
          <w:color w:val="000000"/>
          <w:sz w:val="22"/>
        </w:rPr>
        <w:t>621—2.12</w:t>
      </w:r>
      <w:r>
        <w:rPr>
          <w:rFonts w:ascii="Times New Roman" w:hAnsi="Times New Roman"/>
          <w:b/>
          <w:i w:val="false"/>
          <w:color w:val="000000"/>
          <w:sz w:val="22"/>
        </w:rPr>
        <w:t xml:space="preserve">(20)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Attendance of witnesses. </w:t>
      </w:r>
      <w:r>
        <w:rPr>
          <w:rFonts w:ascii="Times New Roman" w:hAnsi="Times New Roman"/>
          <w:b w:val="false"/>
          <w:i w:val="false"/>
          <w:color w:val="000000"/>
          <w:sz w:val="22"/>
        </w:rPr>
        <w:t xml:space="preserve">The board, an administrative law judge, or an arbitrator selected pursuant to Iowa Code section </w:t>
      </w:r>
      <w:hyperlink r:id="rId13">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shall issue subpoenas to compel the attendance of witnesses and the production of relevant records upon written application of any party filed with the agency prior to the hearing. The application shall specify the names and addresses of the witnesses or the person or party having possession of the requested documents and shall list with specificity the records or other items sought. The requested subpoenas may be provided electronically to a registered user of the electronic document management system. A motion to quash a subpoena may be filed, and when the subpoena has been served more than seven days prior to the hearing, the motion shall be filed not less than three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Witnesses shall receive from the subpoenaing party fees and expenses as are prescribed by statute for witnesses in civil actions before a district court. Witnesses may, however, waive such fees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Service of subpoenas. </w:t>
      </w:r>
      <w:r>
        <w:rPr>
          <w:rFonts w:ascii="Times New Roman" w:hAnsi="Times New Roman"/>
          <w:b w:val="false"/>
          <w:i w:val="false"/>
          <w:color w:val="000000"/>
          <w:sz w:val="22"/>
        </w:rPr>
        <w:t xml:space="preserve">Subpoenas shall be served as provided in Iowa Code section </w:t>
      </w:r>
      <w:hyperlink r:id="rId14">
        <w:r>
          <w:rPr>
            <w:rStyle w:val="Hyperlink"/>
            <w:rFonts w:ascii="Times New Roman" w:hAnsi="Times New Roman"/>
            <w:b w:val="false"/>
            <w:i w:val="false"/>
            <w:color w:val="000000"/>
            <w:sz w:val="22"/>
          </w:rPr>
          <w:t>622.63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621—2.13</w:t>
      </w:r>
      <w:r>
        <w:rPr>
          <w:rFonts w:ascii="Times New Roman" w:hAnsi="Times New Roman"/>
          <w:b/>
          <w:i w:val="false"/>
          <w:color w:val="000000"/>
          <w:sz w:val="22"/>
        </w:rPr>
        <w:t xml:space="preserve">(20) </w:t>
      </w:r>
      <w:r>
        <w:rPr>
          <w:rFonts w:ascii="Times New Roman" w:hAnsi="Times New Roman"/>
          <w:b/>
          <w:i w:val="false"/>
          <w:color w:val="000000"/>
          <w:sz w:val="22"/>
        </w:rPr>
        <w:t xml:space="preserve">Form of documents and treatment of confidential or protected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All documents which relate to any proceeding before the agency should be typewritten and bear the docket number of the proceeding to which it relates. Such documents may be single- or double-spaced at the option of the submitting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When a party files any document which contains material or a reproduction, quotation, or extensive paraphrase of confidential information as defined by </w:t>
      </w:r>
      <w:hyperlink r:id="rId15">
        <w:r>
          <w:rPr>
            <w:rStyle w:val="Hyperlink"/>
            <w:rFonts w:ascii="Times New Roman" w:hAnsi="Times New Roman"/>
            <w:b w:val="false"/>
            <w:i w:val="false"/>
            <w:color w:val="000000"/>
            <w:sz w:val="22"/>
          </w:rPr>
          <w:t>621—subrule 1.6(10),</w:t>
        </w:r>
      </w:hyperlink>
      <w:r>
        <w:rPr>
          <w:rFonts w:ascii="Times New Roman" w:hAnsi="Times New Roman"/>
          <w:b w:val="false"/>
          <w:i w:val="false"/>
          <w:color w:val="000000"/>
          <w:sz w:val="22"/>
        </w:rPr>
        <w:t xml:space="preserve"> it is the responsibility of the filer to ensure that confidential information is omitted or redacted, or to certify the confidential nature of the document in the manner provided by the electronic document management system. If a document is certified as confidential, omission or redaction of the confidential information contained in the document is not required. The agency will not review filings to determine whether appropriate omissions or redactions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w:t>
      </w:r>
      <w:r>
        <w:rPr>
          <w:rFonts w:ascii="Times New Roman" w:hAnsi="Times New Roman"/>
          <w:b w:val="false"/>
          <w:i w:val="false"/>
          <w:color w:val="000000"/>
          <w:sz w:val="22"/>
        </w:rPr>
        <w:t xml:space="preserve">When a party files any document which contains protected information as defined by </w:t>
      </w:r>
      <w:hyperlink r:id="rId16">
        <w:r>
          <w:rPr>
            <w:rStyle w:val="Hyperlink"/>
            <w:rFonts w:ascii="Times New Roman" w:hAnsi="Times New Roman"/>
            <w:b w:val="false"/>
            <w:i w:val="false"/>
            <w:color w:val="000000"/>
            <w:sz w:val="22"/>
          </w:rPr>
          <w:t>621—subrule 1.6(11)</w:t>
        </w:r>
      </w:hyperlink>
      <w:r>
        <w:rPr>
          <w:rFonts w:ascii="Times New Roman" w:hAnsi="Times New Roman"/>
          <w:b w:val="false"/>
          <w:i w:val="false"/>
          <w:color w:val="000000"/>
          <w:sz w:val="22"/>
        </w:rPr>
        <w:t>, it is the responsibility of the filer to ensure that the protected information is omitted or redacted from the document before the document is filed unless the protected information is required by statute or rule to be included or is material to the proceeding. The agency will not review filings to determine whether appropriate omissions or redactions have been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621—2.14</w:t>
      </w:r>
      <w:r>
        <w:rPr>
          <w:rFonts w:ascii="Times New Roman" w:hAnsi="Times New Roman"/>
          <w:b/>
          <w:i w:val="false"/>
          <w:color w:val="000000"/>
          <w:sz w:val="22"/>
        </w:rPr>
        <w:t xml:space="preserve">(20) </w:t>
      </w:r>
      <w:r>
        <w:rPr>
          <w:rFonts w:ascii="Times New Roman" w:hAnsi="Times New Roman"/>
          <w:b/>
          <w:i w:val="false"/>
          <w:color w:val="000000"/>
          <w:sz w:val="22"/>
        </w:rPr>
        <w:t xml:space="preserve">Captions. </w:t>
      </w:r>
      <w:r>
        <w:rPr>
          <w:rFonts w:ascii="Times New Roman" w:hAnsi="Times New Roman"/>
          <w:b w:val="false"/>
          <w:i w:val="false"/>
          <w:color w:val="000000"/>
          <w:sz w:val="22"/>
        </w:rPr>
        <w:t>The following captions for documents other than forms provided by the board are suggested for use in practice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In prohibited practice proceedings:</w:t>
      </w:r>
    </w:p>
    <w:p>
      <w:pPr>
        <w:spacing w:before="0" w:after="0"/>
        <w:ind w:left="120"/>
        <w:jc w:val="both"/>
      </w:pPr>
      <w:r>
        <w:rPr>
          <w:rFonts w:ascii="Times New Roman" w:hAnsi="Times New Roman"/>
          <w:b w:val="false"/>
          <w:i w:val="false"/>
          <w:color w:val="000000"/>
          <w:sz w:val="22"/>
          <w:u w:val="single"/>
        </w:rPr>
        <w:t>Before the Public Employment Relations Board</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3629025" cy="11144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3629025" cy="11144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In proceedings pursuant to a petition:</w:t>
      </w:r>
    </w:p>
    <w:p>
      <w:pPr>
        <w:spacing w:before="0" w:after="0"/>
        <w:ind w:left="120"/>
        <w:jc w:val="both"/>
      </w:pPr>
      <w:r>
        <w:rPr>
          <w:rFonts w:ascii="Times New Roman" w:hAnsi="Times New Roman"/>
          <w:b w:val="false"/>
          <w:i w:val="false"/>
          <w:color w:val="000000"/>
          <w:sz w:val="22"/>
          <w:u w:val="single"/>
        </w:rPr>
        <w:t>Before the Public Employment Relations Board</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3619500" cy="1133475"/>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3619500" cy="1133475"/>
                    </a:xfrm>
                    <a:prstGeom prst="rect">
                      <a:avLst/>
                    </a:prstGeom>
                  </pic:spPr>
                </pic:pic>
              </a:graphicData>
            </a:graphic>
          </wp:inline>
        </w:drawing>
      </w:r>
    </w:p>
    <w:p>
      <w:pPr>
        <w:spacing w:before="0" w:after="0"/>
        <w:ind w:left="120"/>
        <w:jc w:val="both"/>
      </w:pPr>
      <w:r>
        <w:rPr>
          <w:rFonts w:ascii="Times New Roman" w:hAnsi="Times New Roman"/>
          <w:b/>
          <w:i w:val="false"/>
          <w:color w:val="000000"/>
          <w:sz w:val="22"/>
        </w:rPr>
        <w:t>621—2.15</w:t>
      </w:r>
      <w:r>
        <w:rPr>
          <w:rFonts w:ascii="Times New Roman" w:hAnsi="Times New Roman"/>
          <w:b/>
          <w:i w:val="false"/>
          <w:color w:val="000000"/>
          <w:sz w:val="22"/>
        </w:rPr>
        <w:t xml:space="preserve">(20) </w:t>
      </w:r>
      <w:r>
        <w:rPr>
          <w:rFonts w:ascii="Times New Roman" w:hAnsi="Times New Roman"/>
          <w:b/>
          <w:i w:val="false"/>
          <w:color w:val="000000"/>
          <w:sz w:val="22"/>
        </w:rPr>
        <w:t xml:space="preserve">Service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Service—upon whom made. </w:t>
      </w:r>
      <w:r>
        <w:rPr>
          <w:rFonts w:ascii="Times New Roman" w:hAnsi="Times New Roman"/>
          <w:b w:val="false"/>
          <w:i w:val="false"/>
          <w:color w:val="000000"/>
          <w:sz w:val="22"/>
        </w:rPr>
        <w:t>Whenever under these rules nonelectronic service is required or permitted to be made upon a person or party, such service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any city, or board, commission, council or agency thereof, by serving the mayor, city clerk, city administrator, or city personnel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any county, or office, board, commission or agency thereof, by serving the county auditor, the chairperson of the county board of supervisors, or the county personnel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any school district or school corporation, by serving the presiding officer, the secretary of its governing body, the superintendent, the school business official, or the human resources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state of Iowa, or board, commission, council, office or agency thereof, by serving the director of the department of administrative services or the executive director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state judicial department, by serving the state court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any other governing body, by serving its presiding officer, clerk, secretary, or personnel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an employee organization, by serving the person designated by the employee organization to receive service pursuant to 621—subrule 8.4(2) or by service upon the president or secretary of the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Upon any other person, by serving that person or that person’s attorney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 xml:space="preserve">Except as provided in rule </w:t>
      </w:r>
      <w:hyperlink r:id="rId19">
        <w:r>
          <w:rPr>
            <w:rStyle w:val="Hyperlink"/>
            <w:rFonts w:ascii="Times New Roman" w:hAnsi="Times New Roman"/>
            <w:b w:val="false"/>
            <w:i w:val="false"/>
            <w:color w:val="000000"/>
            <w:sz w:val="22"/>
          </w:rPr>
          <w:t>621—3.4</w:t>
        </w:r>
      </w:hyperlink>
      <w:r>
        <w:rPr>
          <w:rFonts w:ascii="Times New Roman" w:hAnsi="Times New Roman"/>
          <w:b w:val="false"/>
          <w:i w:val="false"/>
          <w:color w:val="000000"/>
          <w:sz w:val="22"/>
        </w:rPr>
        <w:t xml:space="preserve">(20) and subrule </w:t>
      </w:r>
      <w:hyperlink r:id="rId20">
        <w:r>
          <w:rPr>
            <w:rStyle w:val="Hyperlink"/>
            <w:rFonts w:ascii="Times New Roman" w:hAnsi="Times New Roman"/>
            <w:b w:val="false"/>
            <w:i w:val="false"/>
            <w:color w:val="000000"/>
            <w:sz w:val="22"/>
          </w:rPr>
          <w:t>2.12(3)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621—subrule 4.2(2)</w:t>
        </w:r>
      </w:hyperlink>
      <w:r>
        <w:rPr>
          <w:rFonts w:ascii="Times New Roman" w:hAnsi="Times New Roman"/>
          <w:b w:val="false"/>
          <w:i w:val="false"/>
          <w:color w:val="000000"/>
          <w:sz w:val="22"/>
        </w:rPr>
        <w:t>, whenever nonelectronic service of any document is permitted or required by these rules, the service shall be sufficient if made by ordinary mail. If the document served is an initial filing in a proceeding, the serving party shall also serve with the document an agency-approved information sheet regarding mandatory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w:t>
      </w:r>
      <w:r>
        <w:rPr>
          <w:rFonts w:ascii="Times New Roman" w:hAnsi="Times New Roman"/>
          <w:b w:val="false"/>
          <w:i w:val="false"/>
          <w:color w:val="000000"/>
          <w:sz w:val="22"/>
        </w:rPr>
        <w:t>Where personal service or service by certified or ordinary mail is permitted or required by these rules, the serving party shall file the return of personal service or certified mail return receipt with the agency. Where service by ordinary mail is permitted under these rules, the serving party shall include the following or a substantially similar certificate on the original document filed with the agency:</w:t>
      </w:r>
    </w:p>
    <w:p>
      <w:pPr>
        <w:spacing w:before="0" w:after="0"/>
        <w:ind w:left="120"/>
        <w:jc w:val="both"/>
      </w:pPr>
      <w:r>
        <w:rPr>
          <w:rFonts w:ascii="Times New Roman" w:hAnsi="Times New Roman"/>
          <w:b w:val="false"/>
          <w:i w:val="false"/>
          <w:color w:val="000000"/>
          <w:sz w:val="22"/>
        </w:rPr>
        <w:t xml:space="preserve">“I hereby certify that on </w:t>
      </w:r>
      <w:r>
        <w:rPr>
          <w:rFonts w:ascii="Times New Roman" w:hAnsi="Times New Roman"/>
          <w:b w:val="false"/>
          <w:i w:val="false"/>
          <w:color w:val="000000"/>
          <w:sz w:val="22"/>
        </w:rPr>
        <w:t>I sent a copy of the foregoing matter to</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the following parties of record or their representatives at the addresses indicated, by depositing same in a United States mail receptacle with sufficient postage affixed.</w:t>
      </w:r>
    </w:p>
    <w:p>
      <w:pPr>
        <w:spacing w:before="0" w:after="0"/>
        <w:ind w:left="120"/>
        <w:jc w:val="both"/>
      </w:pPr>
      <w:r>
        <w:rPr>
          <w:rFonts w:ascii="Times New Roman" w:hAnsi="Times New Roman"/>
          <w:b w:val="false"/>
          <w:i w:val="false"/>
          <w:color w:val="000000"/>
          <w:sz w:val="22"/>
        </w:rPr>
        <w:t xml:space="preserve">(Signed) </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(party or representative)</w:t>
      </w:r>
    </w:p>
    <w:p>
      <w:pPr>
        <w:spacing w:before="0" w:after="0"/>
        <w:ind w:left="120"/>
        <w:jc w:val="both"/>
      </w:pPr>
      <w:r>
        <w:rPr>
          <w:rFonts w:ascii="Times New Roman" w:hAnsi="Times New Roman"/>
          <w:b w:val="false"/>
          <w:i w:val="false"/>
          <w:color w:val="000000"/>
          <w:sz w:val="22"/>
        </w:rPr>
        <w:t xml:space="preserve">Unless excepted by </w:t>
      </w:r>
      <w:hyperlink r:id="rId22">
        <w:r>
          <w:rPr>
            <w:rStyle w:val="Hyperlink"/>
            <w:rFonts w:ascii="Times New Roman" w:hAnsi="Times New Roman"/>
            <w:b w:val="false"/>
            <w:i w:val="false"/>
            <w:color w:val="000000"/>
            <w:sz w:val="22"/>
          </w:rPr>
          <w:t>621—subrule 16.4(2)</w:t>
        </w:r>
      </w:hyperlink>
      <w:r>
        <w:rPr>
          <w:rFonts w:ascii="Times New Roman" w:hAnsi="Times New Roman"/>
          <w:b w:val="false"/>
          <w:i w:val="false"/>
          <w:color w:val="000000"/>
          <w:sz w:val="22"/>
        </w:rPr>
        <w:t xml:space="preserve">, proof of service shall be filed electronically in accordance with </w:t>
      </w:r>
      <w:hyperlink r:id="rId23">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621—2.16</w:t>
      </w:r>
      <w:r>
        <w:rPr>
          <w:rFonts w:ascii="Times New Roman" w:hAnsi="Times New Roman"/>
          <w:b/>
          <w:i w:val="false"/>
          <w:color w:val="000000"/>
          <w:sz w:val="22"/>
        </w:rPr>
        <w:t xml:space="preserve">(20) </w:t>
      </w:r>
      <w:r>
        <w:rPr>
          <w:rFonts w:ascii="Times New Roman" w:hAnsi="Times New Roman"/>
          <w:b/>
          <w:i w:val="false"/>
          <w:color w:val="000000"/>
          <w:sz w:val="22"/>
        </w:rPr>
        <w:t xml:space="preserve">Consolidation. </w:t>
      </w:r>
      <w:r>
        <w:rPr>
          <w:rFonts w:ascii="Times New Roman" w:hAnsi="Times New Roman"/>
          <w:b w:val="false"/>
          <w:i w:val="false"/>
          <w:color w:val="000000"/>
          <w:sz w:val="22"/>
        </w:rPr>
        <w:t>Upon application of any party or upon its own motion, the board or an administrative law judge may consolidate for hearing any cases which involve common questions of law or fact.</w:t>
      </w:r>
    </w:p>
    <w:p>
      <w:pPr>
        <w:spacing w:before="0" w:after="0"/>
        <w:ind w:left="120"/>
        <w:jc w:val="both"/>
      </w:pPr>
      <w:r>
        <w:rPr>
          <w:rFonts w:ascii="Times New Roman" w:hAnsi="Times New Roman"/>
          <w:b/>
          <w:i w:val="false"/>
          <w:color w:val="000000"/>
          <w:sz w:val="22"/>
        </w:rPr>
        <w:t>621—2.17</w:t>
      </w:r>
      <w:r>
        <w:rPr>
          <w:rFonts w:ascii="Times New Roman" w:hAnsi="Times New Roman"/>
          <w:b/>
          <w:i w:val="false"/>
          <w:color w:val="000000"/>
          <w:sz w:val="22"/>
        </w:rPr>
        <w:t xml:space="preserve">(20) </w:t>
      </w:r>
      <w:r>
        <w:rPr>
          <w:rFonts w:ascii="Times New Roman" w:hAnsi="Times New Roman"/>
          <w:b/>
          <w:i w:val="false"/>
          <w:color w:val="000000"/>
          <w:sz w:val="22"/>
        </w:rPr>
        <w:t xml:space="preserve">Prohibition against testimony of mediators, arbitrators and board employees. </w:t>
      </w:r>
      <w:r>
        <w:rPr>
          <w:rFonts w:ascii="Times New Roman" w:hAnsi="Times New Roman"/>
          <w:b w:val="false"/>
          <w:i w:val="false"/>
          <w:color w:val="000000"/>
          <w:sz w:val="22"/>
        </w:rPr>
        <w:t xml:space="preserve">Except as authorized by Iowa Code section </w:t>
      </w:r>
      <w:hyperlink r:id="rId24">
        <w:r>
          <w:rPr>
            <w:rStyle w:val="Hyperlink"/>
            <w:rFonts w:ascii="Times New Roman" w:hAnsi="Times New Roman"/>
            <w:b w:val="false"/>
            <w:i w:val="false"/>
            <w:color w:val="000000"/>
            <w:sz w:val="22"/>
          </w:rPr>
          <w:t>20.31</w:t>
        </w:r>
      </w:hyperlink>
      <w:r>
        <w:rPr>
          <w:rFonts w:ascii="Times New Roman" w:hAnsi="Times New Roman"/>
          <w:b w:val="false"/>
          <w:i w:val="false"/>
          <w:color w:val="000000"/>
          <w:sz w:val="22"/>
        </w:rPr>
        <w:t>, a mediator, arbitrator, administrative law judge, member of the board or other officer or employee of the board shall not testify on behalf of any party to a prohibited practice, representation or impasse resolution proceeding, pending in any court or before the board, with respect to any information, facts, or other matter coming to that individual’s knowledge through a party or parties in an official capacity as a resolver of disputes.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621—2.18</w:t>
      </w:r>
      <w:r>
        <w:rPr>
          <w:rFonts w:ascii="Times New Roman" w:hAnsi="Times New Roman"/>
          <w:b/>
          <w:i w:val="false"/>
          <w:color w:val="000000"/>
          <w:sz w:val="22"/>
        </w:rPr>
        <w:t xml:space="preserve">(20) </w:t>
      </w:r>
      <w:r>
        <w:rPr>
          <w:rFonts w:ascii="Times New Roman" w:hAnsi="Times New Roman"/>
          <w:b/>
          <w:i w:val="false"/>
          <w:color w:val="000000"/>
          <w:sz w:val="22"/>
        </w:rPr>
        <w:t xml:space="preserve">Delivery of decisions and orders. </w:t>
      </w:r>
      <w:r>
        <w:rPr>
          <w:rFonts w:ascii="Times New Roman" w:hAnsi="Times New Roman"/>
          <w:b w:val="false"/>
          <w:i w:val="false"/>
          <w:color w:val="000000"/>
          <w:sz w:val="22"/>
        </w:rPr>
        <w:t xml:space="preserve">Decisions and orders of the board or administrative law judge shall be filed and served in accordance with </w:t>
      </w:r>
      <w:hyperlink r:id="rId25">
        <w:r>
          <w:rPr>
            <w:rStyle w:val="Hyperlink"/>
            <w:rFonts w:ascii="Times New Roman" w:hAnsi="Times New Roman"/>
            <w:b w:val="false"/>
            <w:i w:val="false"/>
            <w:color w:val="000000"/>
            <w:sz w:val="22"/>
          </w:rPr>
          <w:t>621—Chapter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621—2.19</w:t>
      </w:r>
      <w:r>
        <w:rPr>
          <w:rFonts w:ascii="Times New Roman" w:hAnsi="Times New Roman"/>
          <w:b/>
          <w:i w:val="false"/>
          <w:color w:val="000000"/>
          <w:sz w:val="22"/>
        </w:rPr>
        <w:t xml:space="preserve">(20) </w:t>
      </w:r>
      <w:r>
        <w:rPr>
          <w:rFonts w:ascii="Times New Roman" w:hAnsi="Times New Roman"/>
          <w:b/>
          <w:i w:val="false"/>
          <w:color w:val="000000"/>
          <w:sz w:val="22"/>
        </w:rPr>
        <w:t xml:space="preserve">Stays of agency action. </w:t>
      </w:r>
      <w:r>
        <w:rPr>
          <w:rFonts w:ascii="Times New Roman" w:hAnsi="Times New Roman"/>
          <w:b w:val="false"/>
          <w:i w:val="false"/>
          <w:color w:val="000000"/>
          <w:sz w:val="22"/>
        </w:rPr>
        <w:t xml:space="preserve">Application for stays of agency actions must be filed with the board and served upon all interested parties pursuant to rule </w:t>
      </w:r>
      <w:hyperlink r:id="rId26">
        <w:r>
          <w:rPr>
            <w:rStyle w:val="Hyperlink"/>
            <w:rFonts w:ascii="Times New Roman" w:hAnsi="Times New Roman"/>
            <w:b w:val="false"/>
            <w:i w:val="false"/>
            <w:color w:val="000000"/>
            <w:sz w:val="22"/>
          </w:rPr>
          <w:t>621—2.15</w:t>
        </w:r>
      </w:hyperlink>
      <w:r>
        <w:rPr>
          <w:rFonts w:ascii="Times New Roman" w:hAnsi="Times New Roman"/>
          <w:b w:val="false"/>
          <w:i w:val="false"/>
          <w:color w:val="000000"/>
          <w:sz w:val="22"/>
        </w:rPr>
        <w:t>(20). The board may in its discretion and on such terms as it deems proper, grant or deny an application.</w:t>
      </w:r>
    </w:p>
    <w:p>
      <w:pPr>
        <w:spacing w:before="0" w:after="0"/>
        <w:ind w:left="120"/>
        <w:jc w:val="both"/>
      </w:pPr>
      <w:r>
        <w:rPr>
          <w:rFonts w:ascii="Times New Roman" w:hAnsi="Times New Roman"/>
          <w:b/>
          <w:i w:val="false"/>
          <w:color w:val="000000"/>
          <w:sz w:val="22"/>
        </w:rPr>
        <w:t>621—2.20</w:t>
      </w:r>
      <w:r>
        <w:rPr>
          <w:rFonts w:ascii="Times New Roman" w:hAnsi="Times New Roman"/>
          <w:b/>
          <w:i w:val="false"/>
          <w:color w:val="000000"/>
          <w:sz w:val="22"/>
        </w:rPr>
        <w:t xml:space="preserve">(20) </w:t>
      </w:r>
      <w:r>
        <w:rPr>
          <w:rFonts w:ascii="Times New Roman" w:hAnsi="Times New Roman"/>
          <w:b/>
          <w:i w:val="false"/>
          <w:color w:val="000000"/>
          <w:sz w:val="22"/>
        </w:rPr>
        <w:t xml:space="preserve">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a presiding officer in a contested case, or in proceedings on a petition for declaratory order in which there are two or more parties, shall not communicate directly or indirectly with any party, representative of any party or any other person with a direct or indirect interest in such case, nor shall any such party, representative or person communicate directly or indirectly with the presiding officer concerning any issues of fact or law in that case, except upon notice and opportunity for all parties to participate. Nothing in this provision precludes the presiding officer, without such notice and opportunity for all parties to participate, from communicating with members of the agency or seeking the advice or help of persons other than those with a personal interest in, or those engaged in personally investigating,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another’s investigative work product in the course of determining whether to initiate a proceeding or exposure to factual information while performing other agency functions, including fact-gathering for purposes other than investigation of the matter which culminates in a contested case. Factual information relevant to the merits of a contested case received by a person who later serves as a presiding officer in that case shall be disclosed if required by Iowa Code section </w:t>
      </w:r>
      <w:hyperlink r:id="rId2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with the filing of the petition in a declaratory order proceeding in which there are two or more parties,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w:t>
      </w:r>
      <w:r>
        <w:rPr>
          <w:rFonts w:ascii="Times New Roman" w:hAnsi="Times New Roman"/>
          <w:b w:val="false"/>
          <w:i w:val="false"/>
          <w:color w:val="000000"/>
          <w:sz w:val="22"/>
        </w:rPr>
        <w:t> </w:t>
      </w:r>
      <w:r>
        <w:rPr>
          <w:rFonts w:ascii="Times New Roman" w:hAnsi="Times New Roman"/>
          <w:b w:val="false"/>
          <w:i w:val="false"/>
          <w:color w:val="000000"/>
          <w:sz w:val="22"/>
        </w:rPr>
        <w:t>Communications with a presiding officer involving uncontested scheduling or procedural matters do not require notice or opportunity for parties to participate. Parties should notify other parties prior to initiating such contact with the presiding officer when feasible, and shall notify other parties prior to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or proceedings on a petition for declaratory order in which there are two or more parties shall disclose to all parties and place on the record of the pending matter all such written communications, all written responses to the communication, and a memorandum stating the substance of all such oral and other communications received, all responses made and the identity of each person from whom the presiding officer received a prohibited ex parte communication. The presiding officer shall notify all parties that these matters have been placed on the record. Any party desiring to rebut the prohibited communication will be allowed the opportunity to do so upon written request filed within ten days after the giving of notice that the matters have been placed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the effect of a prohibited ex parte communication is so prejudicial that it cannot be cured by the procedure specified in subrule </w:t>
      </w:r>
      <w:hyperlink r:id="rId28">
        <w:r>
          <w:rPr>
            <w:rStyle w:val="Hyperlink"/>
            <w:rFonts w:ascii="Times New Roman" w:hAnsi="Times New Roman"/>
            <w:b w:val="false"/>
            <w:i w:val="false"/>
            <w:color w:val="000000"/>
            <w:sz w:val="22"/>
          </w:rPr>
          <w:t>2.20(4)</w:t>
        </w:r>
      </w:hyperlink>
      <w:r>
        <w:rPr>
          <w:rFonts w:ascii="Times New Roman" w:hAnsi="Times New Roman"/>
          <w:b w:val="false"/>
          <w:i w:val="false"/>
          <w:color w:val="000000"/>
          <w:sz w:val="22"/>
        </w:rPr>
        <w:t>, the presiding officer shall be disqualified and the portions of the record pertaining to the communication shall be sealed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either individually, on a hearing panel or on an intra-agency appeal, a presiding officer shall disclose to all parties any material factual information received through ex parte communication prior to such assignment, unless the factual information has or soon will be disclosed pursuant to Iowa Code 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w:t>
      </w:r>
      <w:r>
        <w:rPr>
          <w:rFonts w:ascii="Times New Roman" w:hAnsi="Times New Roman"/>
          <w:b w:val="false"/>
          <w:i w:val="false"/>
          <w:color w:val="000000"/>
          <w:sz w:val="22"/>
        </w:rPr>
        <w:t> </w:t>
      </w:r>
      <w:r>
        <w:rPr>
          <w:rFonts w:ascii="Times New Roman" w:hAnsi="Times New Roman"/>
          <w:b w:val="false"/>
          <w:i w:val="false"/>
          <w:color w:val="000000"/>
          <w:sz w:val="22"/>
        </w:rPr>
        <w:t>Sanctions for prohibited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and any party may report any violation of this rule to appropriate authorities for any disciplinary proceedings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decision or, in the case of the board or a majority thereof, a final decision, imposing appropriate sanctions for violations of this rule including a decision against the offending party, censure, suspension, or revocation of the privilege to practice before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Alleged violations of ex parte communication prohibitions by agency personnel shall be reported to the chairperson for the possible imposition of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621—2.21</w:t>
      </w:r>
      <w:r>
        <w:rPr>
          <w:rFonts w:ascii="Times New Roman" w:hAnsi="Times New Roman"/>
          <w:b/>
          <w:i w:val="false"/>
          <w:color w:val="000000"/>
          <w:sz w:val="22"/>
        </w:rPr>
        <w:t xml:space="preserve">(20) </w:t>
      </w:r>
      <w:r>
        <w:rPr>
          <w:rFonts w:ascii="Times New Roman" w:hAnsi="Times New Roman"/>
          <w:b/>
          <w:i w:val="false"/>
          <w:color w:val="000000"/>
          <w:sz w:val="22"/>
        </w:rPr>
        <w:t xml:space="preserve">Costs of certified shorthand reporters and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Initial payment. </w:t>
      </w:r>
      <w:r>
        <w:rPr>
          <w:rFonts w:ascii="Times New Roman" w:hAnsi="Times New Roman"/>
          <w:b w:val="false"/>
          <w:i w:val="false"/>
          <w:color w:val="000000"/>
          <w:sz w:val="22"/>
        </w:rPr>
        <w:t>The agency may arrange for a certified shorthand reporter to report the contested case hearing and request that an original transcript of the hearing be prepared by the reporter for the agency’s use. The agency initially shall pay the reporter’s reasonable compensation for reporting the hearing and producing the agency-requested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Transcript of record. </w:t>
      </w:r>
      <w:r>
        <w:rPr>
          <w:rFonts w:ascii="Times New Roman" w:hAnsi="Times New Roman"/>
          <w:b w:val="false"/>
          <w:i w:val="false"/>
          <w:color w:val="000000"/>
          <w:sz w:val="22"/>
        </w:rPr>
        <w:t>Oral proceedings in all hearings shall be recorded by a certified shorthand reporter or by mechanized means. The board does not furnish transcriptions, but oral proceedings shall be transcribed at the expense of any party requesting the transcription. Arguments on motions, oral arguments on appeal to the board, and arguments made in declaratory order and expedited negotiability dispute proceedings need not be recorded. The agency may request that an original transcript of the hearing be prepared by the reporter for the agency’s use. The agency initially shall pay the reporter’s reasonable compensation for reporting the hearing and producing the agency-requested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Taxation as costs. </w:t>
      </w:r>
      <w:r>
        <w:rPr>
          <w:rFonts w:ascii="Times New Roman" w:hAnsi="Times New Roman"/>
          <w:b w:val="false"/>
          <w:i w:val="false"/>
          <w:color w:val="000000"/>
          <w:sz w:val="22"/>
        </w:rPr>
        <w:t>The cost of reporting and of the agency-requested transcript shall be taxed as costs against the nonprevailing party or parties, although the presiding officer, or the board on appeal or review of a proposed decision and order, may apportion such costs in another manner if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color w:val="000000"/>
          <w:sz w:val="22"/>
        </w:rPr>
        <w:t xml:space="preserve">Payment of taxed costs. </w:t>
      </w:r>
      <w:r>
        <w:rPr>
          <w:rFonts w:ascii="Times New Roman" w:hAnsi="Times New Roman"/>
          <w:b w:val="false"/>
          <w:i w:val="false"/>
          <w:color w:val="000000"/>
          <w:sz w:val="22"/>
        </w:rPr>
        <w:t xml:space="preserve">Following final agency action in a case, the agency will prepare and serve a bill of costs upon the party or parties against whom the costs have been taxed. Those parties shall, within 30 days of such service, remit to the agency the amount specified in the bill of costs. Sums remitted to the agency shall be considered repayment receipts as defined in Iowa Code section </w:t>
      </w:r>
      <w:hyperlink r:id="rId30">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621—2.22</w:t>
      </w:r>
      <w:r>
        <w:rPr>
          <w:rFonts w:ascii="Times New Roman" w:hAnsi="Times New Roman"/>
          <w:b/>
          <w:i w:val="false"/>
          <w:color w:val="000000"/>
          <w:sz w:val="22"/>
        </w:rPr>
        <w:t xml:space="preserve">(20) </w:t>
      </w:r>
      <w:r>
        <w:rPr>
          <w:rFonts w:ascii="Times New Roman" w:hAnsi="Times New Roman"/>
          <w:b/>
          <w:i w:val="false"/>
          <w:color w:val="000000"/>
          <w:sz w:val="22"/>
        </w:rPr>
        <w:t xml:space="preserve">Dismissal. </w:t>
      </w:r>
      <w:r>
        <w:rPr>
          <w:rFonts w:ascii="Times New Roman" w:hAnsi="Times New Roman"/>
          <w:b w:val="false"/>
          <w:i w:val="false"/>
          <w:color w:val="000000"/>
          <w:sz w:val="22"/>
        </w:rPr>
        <w:t>The board or an administrative law judge may dismiss cases for want of prosecution if, after receiving notice by certified mail, the parties do not show good cause why the case should be retained.</w:t>
      </w:r>
    </w:p>
    <w:p>
      <w:pPr>
        <w:spacing w:before="0" w:after="0"/>
        <w:ind w:left="120"/>
        <w:jc w:val="both"/>
      </w:pPr>
      <w:r>
        <w:rPr>
          <w:rFonts w:ascii="Times New Roman" w:hAnsi="Times New Roman"/>
          <w:b/>
          <w:i w:val="false"/>
          <w:color w:val="000000"/>
          <w:sz w:val="22"/>
        </w:rPr>
        <w:t>621—2.23</w:t>
      </w:r>
      <w:r>
        <w:rPr>
          <w:rFonts w:ascii="Times New Roman" w:hAnsi="Times New Roman"/>
          <w:b/>
          <w:i w:val="false"/>
          <w:color w:val="000000"/>
          <w:sz w:val="22"/>
        </w:rPr>
        <w:t xml:space="preserve">(20) </w:t>
      </w:r>
      <w:r>
        <w:rPr>
          <w:rFonts w:ascii="Times New Roman" w:hAnsi="Times New Roman"/>
          <w:b/>
          <w:i w:val="false"/>
          <w:color w:val="000000"/>
          <w:sz w:val="22"/>
        </w:rPr>
        <w:t xml:space="preserve">Informal disposition. </w:t>
      </w:r>
      <w:r>
        <w:rPr>
          <w:rFonts w:ascii="Times New Roman" w:hAnsi="Times New Roman"/>
          <w:b w:val="false"/>
          <w:i w:val="false"/>
          <w:color w:val="000000"/>
          <w:sz w:val="22"/>
        </w:rPr>
        <w:t xml:space="preserve">The board may assign an administrative law judge to assist the parties in reaching a settlement of any dispute which is the subject of an adjudicatory proceeding. However, no party shall be required to participate in mediation or settle the dispute pursuant to this rule. An administrative law judge assisting the parties under this rule shall not serve as a presiding officer in any proceeding related to the dispute. Adjudicatory proceedings may be voluntarily dismissed without consent of the board except as provided in rule </w:t>
      </w:r>
      <w:hyperlink r:id="rId31">
        <w:r>
          <w:rPr>
            <w:rStyle w:val="Hyperlink"/>
            <w:rFonts w:ascii="Times New Roman" w:hAnsi="Times New Roman"/>
            <w:b w:val="false"/>
            <w:i w:val="false"/>
            <w:color w:val="000000"/>
            <w:sz w:val="22"/>
          </w:rPr>
          <w:t>621—3.6</w:t>
        </w:r>
      </w:hyperlink>
      <w:r>
        <w:rPr>
          <w:rFonts w:ascii="Times New Roman" w:hAnsi="Times New Roman"/>
          <w:b w:val="false"/>
          <w:i w:val="false"/>
          <w:color w:val="000000"/>
          <w:sz w:val="22"/>
        </w:rPr>
        <w:t xml:space="preserve">(20) and </w:t>
      </w:r>
      <w:hyperlink r:id="rId32">
        <w:r>
          <w:rPr>
            <w:rStyle w:val="Hyperlink"/>
            <w:rFonts w:ascii="Times New Roman" w:hAnsi="Times New Roman"/>
            <w:b w:val="false"/>
            <w:i w:val="false"/>
            <w:color w:val="000000"/>
            <w:sz w:val="22"/>
          </w:rPr>
          <w:t>621—subrule 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621—2.24</w:t>
      </w:r>
      <w:r>
        <w:rPr>
          <w:rFonts w:ascii="Times New Roman" w:hAnsi="Times New Roman"/>
          <w:b/>
          <w:i w:val="false"/>
          <w:color w:val="000000"/>
          <w:sz w:val="22"/>
        </w:rPr>
        <w:t xml:space="preserve">(20) </w:t>
      </w:r>
      <w:r>
        <w:rPr>
          <w:rFonts w:ascii="Times New Roman" w:hAnsi="Times New Roman"/>
          <w:b/>
          <w:i w:val="false"/>
          <w:color w:val="000000"/>
          <w:sz w:val="22"/>
        </w:rPr>
        <w:t xml:space="preserve">Evidence of settlement negotiations. </w:t>
      </w:r>
      <w:r>
        <w:rPr>
          <w:rFonts w:ascii="Times New Roman" w:hAnsi="Times New Roman"/>
          <w:b w:val="false"/>
          <w:i w:val="false"/>
          <w:color w:val="000000"/>
          <w:sz w:val="22"/>
        </w:rPr>
        <w:t>Evidence of proposed offers of settlement of a contested case or a proceeding that may culminate in a contested case shall be inadmissible at the hearing thereon.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2/3/78, Notice 12/28/77—published 2/22/78, effective 3/29/78]</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1773C</w:t>
      </w:r>
      <w:r>
        <w:rPr>
          <w:rFonts w:ascii="Times New Roman" w:hAnsi="Times New Roman"/>
          <w:b w:val="false"/>
          <w:i w:val="false"/>
          <w:color w:val="000000"/>
          <w:sz w:val="21"/>
        </w:rPr>
        <w:t xml:space="preserve"> (Notice ARC 1670C,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3803C</w:t>
      </w:r>
      <w:r>
        <w:rPr>
          <w:rFonts w:ascii="Times New Roman" w:hAnsi="Times New Roman"/>
          <w:b w:val="false"/>
          <w:i w:val="false"/>
          <w:color w:val="000000"/>
          <w:sz w:val="21"/>
        </w:rPr>
        <w:t xml:space="preserve"> (Notice ARC 3671C,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21.2.3.pdf" Type="http://schemas.openxmlformats.org/officeDocument/2006/relationships/hyperlink" Id="rId5"/>
    <Relationship TargetMode="External" Target="https://www.legis.iowa.gov/docs/ico/chapter/17A.15.pdf" Type="http://schemas.openxmlformats.org/officeDocument/2006/relationships/hyperlink" Id="rId6"/>
    <Relationship TargetMode="External" Target="https://www.legis.iowa.gov/docs/ico/chapter/8A.415.pdf" Type="http://schemas.openxmlformats.org/officeDocument/2006/relationships/hyperlink" Id="rId7"/>
    <Relationship TargetMode="External" Target="https://www.legis.iowa.gov/docs/iac/rule/621.4.3.pdf" Type="http://schemas.openxmlformats.org/officeDocument/2006/relationships/hyperlink" Id="rId8"/>
    <Relationship TargetMode="External" Target="https://www.legis.iowa.gov/docs/iac/rule/621.4.4.pdf" Type="http://schemas.openxmlformats.org/officeDocument/2006/relationships/hyperlink" Id="rId9"/>
    <Relationship TargetMode="External" Target="https://www.legis.iowa.gov/docs/iac/rule/621.5.1.pdf" Type="http://schemas.openxmlformats.org/officeDocument/2006/relationships/hyperlink" Id="rId10"/>
    <Relationship TargetMode="External" Target="https://www.legis.iowa.gov/docs/iac/rule/621.5.5.pdf" Type="http://schemas.openxmlformats.org/officeDocument/2006/relationships/hyperlink" Id="rId11"/>
    <Relationship TargetMode="External" Target="https://www.legis.iowa.gov/docs/iac/rule/621.5.5.pdf" Type="http://schemas.openxmlformats.org/officeDocument/2006/relationships/hyperlink" Id="rId12"/>
    <Relationship TargetMode="External" Target="https://www.legis.iowa.gov/docs/ico/chapter/20.22.pdf" Type="http://schemas.openxmlformats.org/officeDocument/2006/relationships/hyperlink" Id="rId13"/>
    <Relationship TargetMode="External" Target="https://www.legis.iowa.gov/docs/ico/chapter/622.63.pdf" Type="http://schemas.openxmlformats.org/officeDocument/2006/relationships/hyperlink" Id="rId14"/>
    <Relationship TargetMode="External" Target="https://www.legis.iowa.gov/docs/iac/rule/621.1.6.pdf" Type="http://schemas.openxmlformats.org/officeDocument/2006/relationships/hyperlink" Id="rId15"/>
    <Relationship TargetMode="External" Target="https://www.legis.iowa.gov/docs/iac/rule/621.1.6.pdf" Type="http://schemas.openxmlformats.org/officeDocument/2006/relationships/hyperlink" Id="rId16"/>
    <Relationship Target="media/document_image_rId17.gif" Type="http://schemas.openxmlformats.org/officeDocument/2006/relationships/image" Id="rId17"/>
    <Relationship Target="media/document_image_rId18.gif" Type="http://schemas.openxmlformats.org/officeDocument/2006/relationships/image" Id="rId18"/>
    <Relationship TargetMode="External" Target="https://www.legis.iowa.gov/docs/iac/rule/621.3.4.pdf" Type="http://schemas.openxmlformats.org/officeDocument/2006/relationships/hyperlink" Id="rId19"/>
    <Relationship TargetMode="External" Target="https://www.legis.iowa.gov/docs/iac/rule/621.2.12.pdf" Type="http://schemas.openxmlformats.org/officeDocument/2006/relationships/hyperlink" Id="rId20"/>
    <Relationship TargetMode="External" Target="https://www.legis.iowa.gov/docs/iac/rule/621.4.2.pdf" Type="http://schemas.openxmlformats.org/officeDocument/2006/relationships/hyperlink" Id="rId21"/>
    <Relationship TargetMode="External" Target="https://www.legis.iowa.gov/docs/iac/rule/621.16.4.pdf" Type="http://schemas.openxmlformats.org/officeDocument/2006/relationships/hyperlink" Id="rId22"/>
    <Relationship TargetMode="External" Target="https://www.legis.iowa.gov/docs/iac/chapter/621.16.pdf" Type="http://schemas.openxmlformats.org/officeDocument/2006/relationships/hyperlink" Id="rId23"/>
    <Relationship TargetMode="External" Target="https://www.legis.iowa.gov/docs/ico/chapter/20.31.pdf" Type="http://schemas.openxmlformats.org/officeDocument/2006/relationships/hyperlink" Id="rId24"/>
    <Relationship TargetMode="External" Target="https://www.legis.iowa.gov/docs/iac/chapter/621.16.pdf" Type="http://schemas.openxmlformats.org/officeDocument/2006/relationships/hyperlink" Id="rId25"/>
    <Relationship TargetMode="External" Target="https://www.legis.iowa.gov/docs/iac/rule/621.2.15.pdf" Type="http://schemas.openxmlformats.org/officeDocument/2006/relationships/hyperlink" Id="rId26"/>
    <Relationship TargetMode="External" Target="https://www.legis.iowa.gov/docs/ico/chapter/17A.17.pdf" Type="http://schemas.openxmlformats.org/officeDocument/2006/relationships/hyperlink" Id="rId27"/>
    <Relationship TargetMode="External" Target="https://www.legis.iowa.gov/docs/iac/rule/621.2.20.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co/chapter/8.2.pdf" Type="http://schemas.openxmlformats.org/officeDocument/2006/relationships/hyperlink" Id="rId30"/>
    <Relationship TargetMode="External" Target="https://www.legis.iowa.gov/docs/iac/rule/621.3.6.pdf" Type="http://schemas.openxmlformats.org/officeDocument/2006/relationships/hyperlink" Id="rId31"/>
    <Relationship TargetMode="External" Target="https://www.legis.iowa.gov/docs/iac/rule/621.4.1.pdf" Type="http://schemas.openxmlformats.org/officeDocument/2006/relationships/hyperlink" Id="rId32"/>
    <Relationship TargetMode="External" Target="https://www.legis.iowa.gov/docs/ico/chapter/20.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