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PUBLIC RECORDS AND FAIR INFORMATION PRACTICES</w:t>
      </w:r>
      <w:r>
        <w:br/>
      </w:r>
      <w:r>
        <w:rPr>
          <w:rFonts w:ascii="Times New Roman" w:hAnsi="Times New Roman"/>
          <w:b w:val="false"/>
          <w:i w:val="false"/>
          <w:color w:val="000000"/>
          <w:sz w:val="21"/>
        </w:rPr>
        <w:t>(Uniform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621—12.1</w:t>
      </w:r>
      <w:r>
        <w:rPr>
          <w:rFonts w:ascii="Times New Roman" w:hAnsi="Times New Roman"/>
          <w:b/>
          <w:i w:val="false"/>
          <w:color w:val="000000"/>
          <w:sz w:val="22"/>
        </w:rPr>
        <w:t xml:space="preserve">(17A,20,22)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public employment relations board or PERB.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board or a person lawfully delegated authority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use” </w:t>
      </w:r>
      <w:r>
        <w:rPr>
          <w:rFonts w:ascii="Times New Roman" w:hAnsi="Times New Roman"/>
          <w:b w:val="false"/>
          <w:i w:val="false"/>
          <w:color w:val="000000"/>
          <w:sz w:val="22"/>
        </w:rPr>
        <w:t xml:space="preserve">means the disclosure of a record without the consent of the subject or subjects, for a purpose which is compatible with the purpose for which the record was collected or is maintained. “Routine use”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621—12.2</w:t>
      </w:r>
      <w:r>
        <w:rPr>
          <w:rFonts w:ascii="Times New Roman" w:hAnsi="Times New Roman"/>
          <w:b/>
          <w:i w:val="false"/>
          <w:color w:val="000000"/>
          <w:sz w:val="22"/>
        </w:rPr>
        <w:t xml:space="preserve">(17A,20,22)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This chapter implements Iowa Code section </w:t>
      </w:r>
      <w:hyperlink r:id="rId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agency policies and procedures for the maintenance of records. The purpose of this chapter is to facilitate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621—12.3</w:t>
      </w:r>
      <w:r>
        <w:rPr>
          <w:rFonts w:ascii="Times New Roman" w:hAnsi="Times New Roman"/>
          <w:b/>
          <w:i w:val="false"/>
          <w:color w:val="000000"/>
          <w:sz w:val="22"/>
        </w:rPr>
        <w:t xml:space="preserve">(17A,20,22)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Chair, Public Employment Relations Board, 510 East 12th Street, Suite 1B,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or in person. Requests shall identify the particular records sought by name or description in order to facilitate the location of the record. Mail, email or telephone requests shall include the name, address, email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agency shall comply with the request as soon as feasible. Access to an open record may be delayed for one of the purposes authorized by Iowa Code 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3">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or that it is a confidential record, or that its disclosure is prohibited by a court order. Access by members of the public to a confidential record is limited by law and, therefore, may generally be provided only in accordance with the provisions of rule 621—12.4(17A,20,22)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 xml:space="preserve">A reasonable number of copies of an open record may be made in the agency’s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Copies of records may be made by or for members of the public on agency photocopy machines or from electronic storage systems at cost as determined by the custodian, based upon the actual costs of the copying.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agency expenses in supervising the examination and copying of requested records. The hourly fee shall not be in excess of the hourly wage of an agency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 or records cannot reasonably be readily retrieved by the office, the requester will be advised of this fact. Reasonable search fees may be charged where appropriate. In addition, all allowable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621—12.4</w:t>
      </w:r>
      <w:r>
        <w:rPr>
          <w:rFonts w:ascii="Times New Roman" w:hAnsi="Times New Roman"/>
          <w:b/>
          <w:i w:val="false"/>
          <w:color w:val="000000"/>
          <w:sz w:val="22"/>
        </w:rPr>
        <w:t xml:space="preserve">(17A,20,22) </w:t>
      </w:r>
      <w:r>
        <w:rPr>
          <w:rFonts w:ascii="Times New Roman" w:hAnsi="Times New Roman"/>
          <w:b/>
          <w:i w:val="false"/>
          <w:color w:val="000000"/>
          <w:sz w:val="22"/>
        </w:rPr>
        <w:t xml:space="preserve">Procedures for access to confidential records. </w:t>
      </w:r>
      <w:r>
        <w:rPr>
          <w:rFonts w:ascii="Times New Roman" w:hAnsi="Times New Roman"/>
          <w:b w:val="false"/>
          <w:i w:val="false"/>
          <w:color w:val="000000"/>
          <w:sz w:val="22"/>
        </w:rPr>
        <w:t xml:space="preserve">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621—12.3(17A,20,22).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email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621—12.5</w:t>
      </w:r>
      <w:r>
        <w:rPr>
          <w:rFonts w:ascii="Times New Roman" w:hAnsi="Times New Roman"/>
          <w:b/>
          <w:i w:val="false"/>
          <w:color w:val="000000"/>
          <w:sz w:val="22"/>
        </w:rPr>
        <w:t xml:space="preserve">(17A,20,22)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electronically filed with the custodian. The request must set forth the legal and factual basis justifying such confidential record treatment for that record, and the name, address, email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submitting such a request shall, if possible, accompany the request with a copy of the record in question from which those portions for which such confidential record treatment has been requested have been deleted. If the original record is being submitted to the agency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agency does not request that it be withheld from public inspection under Iowa Code section </w:t>
      </w:r>
      <w:hyperlink r:id="rId1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submitted,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621—12.6</w:t>
      </w:r>
      <w:r>
        <w:rPr>
          <w:rFonts w:ascii="Times New Roman" w:hAnsi="Times New Roman"/>
          <w:b/>
          <w:i w:val="false"/>
          <w:color w:val="000000"/>
          <w:sz w:val="22"/>
        </w:rPr>
        <w:t xml:space="preserve">(17A,20,22)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agency to disclose records about that person to the person’s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621—12.7</w:t>
      </w:r>
      <w:r>
        <w:rPr>
          <w:rFonts w:ascii="Times New Roman" w:hAnsi="Times New Roman"/>
          <w:b/>
          <w:i w:val="false"/>
          <w:color w:val="000000"/>
          <w:sz w:val="22"/>
        </w:rPr>
        <w:t xml:space="preserve">(17A,20,22)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or exempt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routine use as defined in rule 621—12.1(17A,20,22)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2">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621—12.8</w:t>
      </w:r>
      <w:r>
        <w:rPr>
          <w:rFonts w:ascii="Times New Roman" w:hAnsi="Times New Roman"/>
          <w:b/>
          <w:i w:val="false"/>
          <w:color w:val="000000"/>
          <w:sz w:val="22"/>
        </w:rPr>
        <w:t xml:space="preserve">(17A,20,22) </w:t>
      </w:r>
      <w:r>
        <w:rPr>
          <w:rFonts w:ascii="Times New Roman" w:hAnsi="Times New Roman"/>
          <w:b/>
          <w:i w:val="false"/>
          <w:color w:val="000000"/>
          <w:sz w:val="22"/>
        </w:rPr>
        <w:t xml:space="preserve">Routine use. </w:t>
      </w:r>
      <w:r>
        <w:rPr>
          <w:rFonts w:ascii="Times New Roman" w:hAnsi="Times New Roman"/>
          <w:b w:val="false"/>
          <w:i w:val="false"/>
          <w:color w:val="000000"/>
          <w:sz w:val="22"/>
        </w:rPr>
        <w:t>To the extent allowed by law, the following uses are considered routine uses of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12.8(5)</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12.8(6)</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621—12.9</w:t>
      </w:r>
      <w:r>
        <w:rPr>
          <w:rFonts w:ascii="Times New Roman" w:hAnsi="Times New Roman"/>
          <w:b/>
          <w:i w:val="false"/>
          <w:color w:val="000000"/>
          <w:sz w:val="22"/>
        </w:rPr>
        <w:t xml:space="preserve">(17A,20,22)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agency disclosure of confidential records as provided in rule 621—12.6(17A,20,22).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621—12.10</w:t>
      </w:r>
      <w:r>
        <w:rPr>
          <w:rFonts w:ascii="Times New Roman" w:hAnsi="Times New Roman"/>
          <w:b/>
          <w:i w:val="false"/>
          <w:color w:val="000000"/>
          <w:sz w:val="22"/>
        </w:rPr>
        <w:t xml:space="preserve">(17A,20,22)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as provided in rule 621—12.9(17A,20,22).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2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records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Iowa Code section </w:t>
      </w:r>
      <w:hyperlink r:id="rId2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621—12.11</w:t>
      </w:r>
      <w:r>
        <w:rPr>
          <w:rFonts w:ascii="Times New Roman" w:hAnsi="Times New Roman"/>
          <w:b/>
          <w:i w:val="false"/>
          <w:color w:val="000000"/>
          <w:sz w:val="22"/>
        </w:rPr>
        <w:t xml:space="preserve">(17A,20,22)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pursuant to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pursuant to Iowa Code section </w:t>
      </w:r>
      <w:hyperlink r:id="rId26">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Mediators’ documents, including proposals, notes, memoranda, or other paperwork product, relating to mediation of agency cases and collective bargaining negotiations pursuant to Iowa Code section </w:t>
      </w:r>
      <w:hyperlink r:id="rId27">
        <w:r>
          <w:rPr>
            <w:rStyle w:val="Hyperlink"/>
            <w:rFonts w:ascii="Times New Roman" w:hAnsi="Times New Roman"/>
            <w:b w:val="false"/>
            <w:i w:val="false"/>
            <w:color w:val="000000"/>
            <w:sz w:val="22"/>
          </w:rPr>
          <w:t>20.31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show of interest contained in representation and decertification case files, in which public employees indicate by original signature whether they wish to be represented by or decertify a certified employee organization for representation or decertification election pursuant to Iowa Code section </w:t>
      </w:r>
      <w:hyperlink r:id="rId28">
        <w:r>
          <w:rPr>
            <w:rStyle w:val="Hyperlink"/>
            <w:rFonts w:ascii="Times New Roman" w:hAnsi="Times New Roman"/>
            <w:b w:val="false"/>
            <w:i w:val="false"/>
            <w:color w:val="000000"/>
            <w:sz w:val="22"/>
          </w:rPr>
          <w:t>22.7(69)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the agency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29">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pursuant to Iowa Code sections </w:t>
      </w:r>
      <w:hyperlink r:id="rId3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 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1.503;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 and case law. Attorney-client communications are confidential pursuant to Iowa Code sections </w:t>
      </w:r>
      <w:hyperlink r:id="rId3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pursuant to Iowa Code section </w:t>
      </w:r>
      <w:hyperlink r:id="rId36">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financial records pursuant to Iowa Code sections </w:t>
      </w:r>
      <w:hyperlink r:id="rId37">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pursuant to Iowa Code section </w:t>
      </w:r>
      <w:hyperlink r:id="rId3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or investigative data pursuant to Iowa Code section </w:t>
      </w:r>
      <w:hyperlink r:id="rId4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history and intelligence data pursuant to Iowa Code sections </w:t>
      </w:r>
      <w:hyperlink r:id="rId41">
        <w:r>
          <w:rPr>
            <w:rStyle w:val="Hyperlink"/>
            <w:rFonts w:ascii="Times New Roman" w:hAnsi="Times New Roman"/>
            <w:b w:val="false"/>
            <w:i w:val="false"/>
            <w:color w:val="000000"/>
            <w:sz w:val="22"/>
          </w:rPr>
          <w:t>22.7(9)</w:t>
        </w:r>
      </w:hyperlink>
      <w:r>
        <w:rPr>
          <w:rFonts w:ascii="Times New Roman" w:hAnsi="Times New Roman"/>
          <w:b w:val="false"/>
          <w:i w:val="false"/>
          <w:color w:val="000000"/>
          <w:sz w:val="22"/>
        </w:rPr>
        <w:t>,</w:t>
      </w:r>
      <w:hyperlink r:id="rId42">
        <w:r>
          <w:rPr>
            <w:rStyle w:val="Hyperlink"/>
            <w:rFonts w:ascii="Times New Roman" w:hAnsi="Times New Roman"/>
            <w:b w:val="false"/>
            <w:i w:val="false"/>
            <w:color w:val="000000"/>
            <w:sz w:val="22"/>
          </w:rPr>
          <w:t> 692.3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Minutes of testimony pursuant to Iowa Rules of Criminal Procedure 2.4(6)(a) and 2.5(3).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Information which is confidential under the law governing the agency providing information to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Biographical or identifying information about a child victim pursuant to Iowa Code chapter </w:t>
      </w:r>
      <w:hyperlink r:id="rId44">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Victim registration pursuant to Iowa Code chapter </w:t>
      </w:r>
      <w:hyperlink r:id="rId45">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4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these records withheld from inspection under a statute which authorizes limited or discretionary disclosure as provided in rule 621—12.4(17A,20,22). If the agency initially determines that it will release such records, the agency may where appropriate notify interested persons and withhold the records from inspection as provided in subrule 12.4(3).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621—12.12</w:t>
      </w:r>
      <w:r>
        <w:rPr>
          <w:rFonts w:ascii="Times New Roman" w:hAnsi="Times New Roman"/>
          <w:b/>
          <w:i w:val="false"/>
          <w:color w:val="000000"/>
          <w:sz w:val="22"/>
        </w:rPr>
        <w:t xml:space="preserve">(17A,20,22)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7">
        <w:r>
          <w:rPr>
            <w:rStyle w:val="Hyperlink"/>
            <w:rFonts w:ascii="Times New Roman" w:hAnsi="Times New Roman"/>
            <w:b w:val="false"/>
            <w:i w:val="false"/>
            <w:color w:val="000000"/>
            <w:sz w:val="22"/>
          </w:rPr>
          <w:t>621—12.1</w:t>
        </w:r>
      </w:hyperlink>
      <w:r>
        <w:rPr>
          <w:rFonts w:ascii="Times New Roman" w:hAnsi="Times New Roman"/>
          <w:b w:val="false"/>
          <w:i w:val="false"/>
          <w:color w:val="000000"/>
          <w:sz w:val="22"/>
        </w:rPr>
        <w:t xml:space="preserve">(17A,20,22). Unless otherwise stated, the authority for this agency to maintain the record is provided by Iowa Code chapter </w:t>
      </w:r>
      <w:hyperlink r:id="rId4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statutes governing the subject matter of the record, and the enabling statutes of the agency, where applicable.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practice complaint case files. These files contain information which pertains to the alleged violation of Iowa Code chapter </w:t>
      </w:r>
      <w:hyperlink r:id="rId4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A person, employee organization or public employer may file the documents contained in this type of case. Case files may include pleadings, briefs, notices, rulings, decisions, orders, exhibits, transcripts, docket sheets, general correspondence, attorneys’ notes, settlement offers, memoranda, and research materials. Cases contain personal information of the representatives and may contain personal information if the complainant or respondent is an individual.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or contain settlement offers and mediators’ documents.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Bargaining unit determination and representative certification case files. These files contain information which pertains to the establishment of appropriate bargaining units, conduct of secret ballot elections and monitoring of the merger, and affiliation and disaffiliation of certified employee organizations. A person, employee organization or public employer may file the documents contained in these types of cases. Case files may include pleadings, briefs, tally of ballots, notices, rulings, decisions, orders, exhibits, transcripts, docket sheets, general correspondence, attorneys’ notes, settlement offers, memoranda, research materials, and investigation materials. Cases contain personal information of the representatives and may contain personal information if the petitioner or respondent is an individual. Further personal information may be included in transcript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Further personal information may be included in testimony and exhibits. The files may contain materials which are confidential as attorney work product, shows of interest, settlement offers and mediators’ notes.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val="false"/>
          <w:color w:val="000000"/>
          <w:sz w:val="22"/>
        </w:rPr>
        <w:t>Retention and recertification election case files. These files contain information which pertains to the conduct of a retention and recertification election. A person, employee organization or public employer may file the documents contained in this type of case. Case files include pleadings, notices, voter lists, tally of ballots, orders, challenges, and objections. Cases contain personal information of the representatives. Further personal information may be included in testimony, exhibits, and other documents. The public employer is required to send to the agency a listing of employees eligible to vote in the recertification elections. The files located on the agency’s network may contain materials which are confidential as attorney work product, shows of interest, settlement offers and mediators’ notes. Some materials are confidential under other applicable provisions of law. Copies of documents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Negotiability dispute case files. These files contain information which pertains to specific contract proposals and whether a specific contract proposal is a mandatory, permissive or excluded subject of bargaining under Iowa Code section </w:t>
      </w:r>
      <w:hyperlink r:id="rId50">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xml:space="preserve">. An employee organization or public employer may file the documents contained in this type of case. Such files contain documents concerning the agency’s determination of the negotiability question. The records may include pleadings, briefs, notices, rulings, orders, exhibits, transcripts, docket sheets, general correspondence, attorneys’ notes, memoranda, research materials, and information compiled under the direction of the agency. Cases contain personal information of the representatives. Cases filed prior to January 1, 2015, are contained on the agency’s network. The files may contain materials which are confidential as attorney work product and contain settlement offers and mediators’ documents. Some materials are confidential under other applicable provisions of law.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Copies of documents or hearing recordings filed in these cases may be obtained through the agency or the agency’s electronic document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12.12(5)</w:t>
      </w:r>
      <w:r>
        <w:rPr>
          <w:rFonts w:ascii="Times New Roman" w:hAnsi="Times New Roman"/>
          <w:b w:val="false"/>
          <w:i w:val="false"/>
          <w:color w:val="000000"/>
          <w:sz w:val="22"/>
        </w:rPr>
        <w:t> </w:t>
      </w:r>
      <w:r>
        <w:rPr>
          <w:rFonts w:ascii="Times New Roman" w:hAnsi="Times New Roman"/>
          <w:b w:val="false"/>
          <w:i w:val="false"/>
          <w:color w:val="000000"/>
          <w:sz w:val="22"/>
        </w:rPr>
        <w:t>Declaratory order case files. These files contain information which pertains to applicability of a statute, rule or order within the primary jurisdiction of the agency. A person, employee organization or public employer may file the documents contained in this type of case. Such files contain documents concerning the agency’s determination of that question. The records may include pleadings, notices, rulings, orders, exhibits, transcripts, docket sheets, general correspondence, attorneys’ notes, memoranda, research materials, and information compiled under the direction of the agency. Cases contain personal information of the representatives and may contain personal information of the petitioner or respondent if the petitioner or respondent is an individual.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may contain materials which are confidential as attorney work product, settlement offers and mediators’ notes. Some materials are confidential under other applicable provisions of law. The files are maintained by the agency and are indexed by the case number.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12.12(6)</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 negotiation impasse files. These files contain information which pertains to the public employer and certified employee organization’s negotiations. An employee organization or public employer may file the documents contained in the file. The records may include the request for impasse services, assignment of a mediator, interest arbitration list, selection letters, and correspondence regarding mediation and interest arbitration hearings. Mediators may maintain assigned impasse files which contain confidential documents related to the mediation. Files contain personal information of the representatives. The files are maintained by the agency and are indexed by the bargaining unit number. Electronic files will be kept for up to five years following the close of the arbitration. Copies of the documents contained in the files may be obtained through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12.12(7)</w:t>
      </w:r>
      <w:r>
        <w:rPr>
          <w:rFonts w:ascii="Times New Roman" w:hAnsi="Times New Roman"/>
          <w:b w:val="false"/>
          <w:i w:val="false"/>
          <w:color w:val="000000"/>
          <w:sz w:val="22"/>
        </w:rPr>
        <w:t> </w:t>
      </w:r>
      <w:r>
        <w:rPr>
          <w:rFonts w:ascii="Times New Roman" w:hAnsi="Times New Roman"/>
          <w:b w:val="false"/>
          <w:i w:val="false"/>
          <w:color w:val="000000"/>
          <w:sz w:val="22"/>
        </w:rPr>
        <w:t>Neutral files. The agency maintains biographical data on qualified mediators and arbitrators. A mediator’s file contains an application, an acceptance letter, and the yearly mediator contract. An arbitrator’s file contains an application, an acceptance letter, renewal applications, biographical sketches, letters of recommendation, a résumé, and decisions. Neutral files may also contain concerns expressed by employees or employer and employee organization representatives, material related to agency-conducted investigations, and information on hearings and decisions issued by the agency. Cases contain personal information of the representatives and may contain personal information of the petitioner or respondent if the petitioner or respondent is an individual. Further personal information may be included in testimony, exhibits, and other documents. Neutral files contain personal information of the neutral and may contain personal information of employees and employer and employee organization representatives if they provide written comments regarding a neutral. The files may contain materials which are confidential as attorney work product, settlement offers and mediators’ notes. Some materials are confidential under other applicable provisions of law. The files are maintained by the agency and are commonly indexed by the neutral’s last name. Biographical sketches of neutrals are located on the agency’s website. Copies of documents contained in these files may be obtained through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12.12(8)</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organization files. Employee organizations are required to file certain documents with the agency prior to certification and annually. An employee organization’s representative files the documents contained in the file. The records include the certified employee organization’s constitution and bylaws, amended constitution and bylaws, registration reports, annual reports, correspondence, bargaining unit description and subsequent amendments. The employee organization files contain personal information of the representatives. Further personal information may be included in testimony and exhibits. Employee organization files are electronic and can be located in suPERB. The files are maintained by the agency and are indexed by the certified employee organization in paper files and by certified employee organization number if the files are on the agency’s electronic document management system. Copies of the documents contained in these files may be obtained through the agency or the agency’s electronic document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12.12(9)</w:t>
      </w:r>
      <w:r>
        <w:rPr>
          <w:rFonts w:ascii="Times New Roman" w:hAnsi="Times New Roman"/>
          <w:b w:val="false"/>
          <w:i w:val="false"/>
          <w:color w:val="000000"/>
          <w:sz w:val="22"/>
        </w:rPr>
        <w:t> </w:t>
      </w:r>
      <w:r>
        <w:rPr>
          <w:rFonts w:ascii="Times New Roman" w:hAnsi="Times New Roman"/>
          <w:b w:val="false"/>
          <w:i w:val="false"/>
          <w:color w:val="000000"/>
          <w:sz w:val="22"/>
        </w:rPr>
        <w:t>State employee appeals of grievance decisions and disciplinary action case files. These files contain appeals from a response from the Iowa department of administrative services regarding an employee’s grievance or appeal of a disciplinary action. A person or representative may file the documents contained in this type of case. These files contain information which pertains to the appeal. The records may include the appeal form and attachments, pleadings, briefs, notices, rulings, decisions, orders, exhibits, transcripts, docket sheets, general correspondence, attorneys’ notes, settlement offers, memoranda, and research materials. Cases contain personal information of the representative and the employee.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and contain settlement offers and mediators’ documents.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12.12(10)</w:t>
      </w:r>
      <w:r>
        <w:rPr>
          <w:rFonts w:ascii="Times New Roman" w:hAnsi="Times New Roman"/>
          <w:b w:val="false"/>
          <w:i w:val="false"/>
          <w:color w:val="000000"/>
          <w:sz w:val="22"/>
        </w:rPr>
        <w:t> </w:t>
      </w:r>
      <w:r>
        <w:rPr>
          <w:rFonts w:ascii="Times New Roman" w:hAnsi="Times New Roman"/>
          <w:b w:val="false"/>
          <w:i w:val="false"/>
          <w:color w:val="000000"/>
          <w:sz w:val="22"/>
        </w:rPr>
        <w:t>Public safety unit determination case files. These files contain information which pertains to whether a bargaining unit is a public safety unit. An employee organization or public employer may file the documents contained in this type of case. Such files contain documents concerning the agency’s determination of that question. The records may include pleadings, notices, orders, exhibits, transcripts, docket sheets, general correspondence, attorneys’ notes, memoranda, research materials, and information compiled under the direction of the agency. Cases contain personal information of the representatives and may contain personal information of employees. Further personal information may be included in testimony, exhibits, and other documents. Cases are contained within the agency’s electronic document management system or suPERB.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settlement offers and mediators’ notes.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12.12(11)</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Iowa Code chapter </w:t>
      </w:r>
      <w:hyperlink r:id="rId5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case files. These files contain information which pertains to objections which an employer or employee organization may make when impasse procedures are not completed prior to the applicable deadline for completion of impasse procedures, challenges which an employee organization or employer may make when the voter eligibility is challenged, and challenges which an employee organization may make postelection in retention and recertification elections. An employee organization or public employer may file the documents contained in this type of case. Further personal information may be included in testimony, exhibits, and other documents. Such files contain documents concerning the agency’s determination of the question. The records may include pleadings, notices, orders, exhibits, transcripts, docket sheets, general correspondence, attorneys’ notes, memoranda, research materials, and information compiled under the direction of the agency. Cases contain personal information of the representatives and may contain personal information of employees. Cases are contained within the agency’s electronic document management system or suPERB.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settlement offers and mediators’ notes. Some materials are confidential under other applicable provisions of law. Copies of documents or hearing recordings filed in these cases may be obtained through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12.12(12)</w:t>
      </w:r>
      <w:r>
        <w:rPr>
          <w:rFonts w:ascii="Times New Roman" w:hAnsi="Times New Roman"/>
          <w:b w:val="false"/>
          <w:i w:val="false"/>
          <w:color w:val="000000"/>
          <w:sz w:val="22"/>
        </w:rPr>
        <w:t> </w:t>
      </w:r>
      <w:r>
        <w:rPr>
          <w:rFonts w:ascii="Times New Roman" w:hAnsi="Times New Roman"/>
          <w:b w:val="false"/>
          <w:i w:val="false"/>
          <w:color w:val="000000"/>
          <w:sz w:val="22"/>
        </w:rPr>
        <w:t>Grievance, fact-finding and interest arbitration decisions. The agency maintains decisions issued by neutrals. Grievance arbitration decisions prior to the year 2000 are maintained on the agency’s database, and copies of a decision may be obtained through the agency. Grievance arbitration decisions after the year 2000 which the parties agreed could be made public can be obtained through the agency’s searchable database system. All fact-finding and interest arbitration decisions can be obtained through the agency’s searchable database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Collective bargaining agreements. The agency maintains collective bargaining agreements negotiated between the public employer and the certified employee organization. Collective bargaining agreements negotiated prior to the year 2000 are maintained on the agency’s database, and copies of these collective bargaining agreements may be obtained through the agency. Collective bargaining agreements negotiated after the year 2000 can be obtained through the agency’s searchable database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agency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may be confidential under Iowa Code sections </w:t>
      </w:r>
      <w:hyperlink r:id="rId5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12.12(15)</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involves the agency. The records include pleadings, briefs, docket sheets, documents, general correspondence, attorneys’ notes, memoranda, research materials, and investigation materials. Litigation files may be paper files and may be kept up to five years in paper format or replaced immediately in electronic format if possible. The files are indexed by the name of the opposing party or case number. The files contain materials which are confidential as attorney work product. Some materials are confidential under other applicable provisions of law. Persons who wish to obtain copies of pleadings and other documents filed in litigation should obtain these from the clerk of the appropriate court which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621—12.13</w:t>
      </w:r>
      <w:r>
        <w:rPr>
          <w:rFonts w:ascii="Times New Roman" w:hAnsi="Times New Roman"/>
          <w:b/>
          <w:i w:val="false"/>
          <w:color w:val="000000"/>
          <w:sz w:val="22"/>
        </w:rPr>
        <w:t xml:space="preserve">(17A,20,22)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54">
        <w:r>
          <w:rPr>
            <w:rStyle w:val="Hyperlink"/>
            <w:rFonts w:ascii="Times New Roman" w:hAnsi="Times New Roman"/>
            <w:b w:val="false"/>
            <w:i w:val="false"/>
            <w:color w:val="000000"/>
            <w:sz w:val="22"/>
          </w:rPr>
          <w:t>621—12.1</w:t>
        </w:r>
      </w:hyperlink>
      <w:r>
        <w:rPr>
          <w:rFonts w:ascii="Times New Roman" w:hAnsi="Times New Roman"/>
          <w:b w:val="false"/>
          <w:i w:val="false"/>
          <w:color w:val="000000"/>
          <w:sz w:val="22"/>
        </w:rPr>
        <w:t xml:space="preserve">(17A,20,22). The records listed may contain information about individuals. Unless otherwise designated, the authority for this agency to maintain the record is provided by Iowa Code chapter </w:t>
      </w:r>
      <w:hyperlink r:id="rId5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statutes governing the subject matter of the record, and the enabling statutes of the agency, where applicable. All records are stored electronically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 xml:space="preserve">Citizen inquiry and response files. Individuals and representatives write or email this agency on a variety of legal issues with regard to Iowa Code chapter </w:t>
      </w:r>
      <w:hyperlink r:id="rId56">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agency does not generally provide legal advice to individuals but may provide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agency records. These records include agendas, minutes and materials presented during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These records include documents concerning budgets, property inventory, purchasing, yearly reports, office policies for employees, time sheets, and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12.13(4)</w:t>
      </w:r>
      <w:r>
        <w:rPr>
          <w:rFonts w:ascii="Times New Roman" w:hAnsi="Times New Roman"/>
          <w:b w:val="false"/>
          <w:i w:val="false"/>
          <w:color w:val="000000"/>
          <w:sz w:val="22"/>
        </w:rPr>
        <w:t> </w:t>
      </w:r>
      <w:r>
        <w:rPr>
          <w:rFonts w:ascii="Times New Roman" w:hAnsi="Times New Roman"/>
          <w:b w:val="false"/>
          <w:i w:val="false"/>
          <w:color w:val="000000"/>
          <w:sz w:val="22"/>
        </w:rPr>
        <w:t>Rule-making records. Official documents executed during the promulgation of agency rules and public comments are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621—12.14</w:t>
      </w:r>
      <w:r>
        <w:rPr>
          <w:rFonts w:ascii="Times New Roman" w:hAnsi="Times New Roman"/>
          <w:b/>
          <w:i w:val="false"/>
          <w:color w:val="000000"/>
          <w:sz w:val="22"/>
        </w:rPr>
        <w:t xml:space="preserve">(17A,20,22)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compare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621—12.15</w:t>
      </w:r>
      <w:r>
        <w:rPr>
          <w:rFonts w:ascii="Times New Roman" w:hAnsi="Times New Roman"/>
          <w:b/>
          <w:i w:val="false"/>
          <w:color w:val="000000"/>
          <w:sz w:val="22"/>
        </w:rPr>
        <w:t xml:space="preserve">(17A,20,22)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an individual’s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the Code of Professional Responsibility, and applicable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9/19/88—published 10/5/88, effective 9/19/88]</w:t>
      </w:r>
    </w:p>
    <w:p>
      <w:pPr>
        <w:spacing w:before="0" w:after="0"/>
        <w:ind w:left="120"/>
        <w:jc w:val="center"/>
      </w:pPr>
      <w:r>
        <w:rPr>
          <w:rFonts w:ascii="Times New Roman" w:hAnsi="Times New Roman"/>
          <w:b w:val="false"/>
          <w:i w:val="false"/>
          <w:color w:val="000000"/>
          <w:sz w:val="21"/>
        </w:rPr>
        <w:t>[Filed 4/18/89, Notice 10/5/88—published 5/3/89, effective 6/7/89]</w:t>
      </w:r>
    </w:p>
    <w:p>
      <w:pPr>
        <w:spacing w:before="0" w:after="0"/>
        <w:ind w:left="120"/>
        <w:jc w:val="center"/>
      </w:pPr>
      <w:r>
        <w:rPr>
          <w:rFonts w:ascii="Times New Roman" w:hAnsi="Times New Roman"/>
          <w:b w:val="false"/>
          <w:i w:val="false"/>
          <w:color w:val="000000"/>
          <w:sz w:val="21"/>
        </w:rPr>
        <w:t>[Filed emergency 11/18/94—published 12/7/94, effective 11/21/94]</w:t>
      </w:r>
    </w:p>
    <w:p>
      <w:pPr>
        <w:spacing w:before="0" w:after="0"/>
        <w:ind w:left="120"/>
        <w:jc w:val="center"/>
      </w:pPr>
      <w:r>
        <w:rPr>
          <w:rFonts w:ascii="Times New Roman" w:hAnsi="Times New Roman"/>
          <w:b w:val="false"/>
          <w:i w:val="false"/>
          <w:color w:val="000000"/>
          <w:sz w:val="21"/>
        </w:rPr>
        <w:t>[Filed 1/11/95, Notice 12/7/94—published 2/1/95, effective 3/8/95]</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emergency 7/1/04—published 7/21/04, effective 7/30/04]</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1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22.10.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8.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8.pdf" Type="http://schemas.openxmlformats.org/officeDocument/2006/relationships/hyperlink" Id="rId21"/>
    <Relationship TargetMode="External" Target="https://www.legis.iowa.gov/docs/ico/chapter/2A.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1.5.pdf" Type="http://schemas.openxmlformats.org/officeDocument/2006/relationships/hyperlink" Id="rId26"/>
    <Relationship TargetMode="External" Target="https://www.legis.iowa.gov/docs/ico/chapter/20.3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17A.2.pdf" Type="http://schemas.openxmlformats.org/officeDocument/2006/relationships/hyperlink" Id="rId29"/>
    <Relationship TargetMode="External" Target="https://www.legis.iowa.gov/docs/ico/chapter/17A.3.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622.10.pdf" Type="http://schemas.openxmlformats.org/officeDocument/2006/relationships/hyperlink" Id="rId32"/>
    <Relationship TargetMode="External" Target="https://www.legis.iowa.gov/docs/ico/chapter/622.11.pdf" Type="http://schemas.openxmlformats.org/officeDocument/2006/relationships/hyperlink" Id="rId33"/>
    <Relationship TargetMode="External" Target="https://www.legis.iowa.gov/docs/ico/chapter/622.10.pdf" Type="http://schemas.openxmlformats.org/officeDocument/2006/relationships/hyperlink" Id="rId34"/>
    <Relationship TargetMode="External" Target="https://www.legis.iowa.gov/docs/ico/chapter/622.11.pdf" Type="http://schemas.openxmlformats.org/officeDocument/2006/relationships/hyperlink" Id="rId35"/>
    <Relationship TargetMode="External" Target="https://www.legis.iowa.gov/docs/ico/chapter/72.3.pdf" Type="http://schemas.openxmlformats.org/officeDocument/2006/relationships/hyperlink" Id="rId36"/>
    <Relationship TargetMode="External" Target="https://www.legis.iowa.gov/docs/ico/chapter/422.20.pdf" Type="http://schemas.openxmlformats.org/officeDocument/2006/relationships/hyperlink" Id="rId37"/>
    <Relationship TargetMode="External" Target="https://www.legis.iowa.gov/docs/ico/chapter/422.72.pdf" Type="http://schemas.openxmlformats.org/officeDocument/2006/relationships/hyperlink" Id="rId38"/>
    <Relationship TargetMode="External" Target="https://www.legis.iowa.gov/docs/ico/chapter/17A.3.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692.3.pdf" Type="http://schemas.openxmlformats.org/officeDocument/2006/relationships/hyperlink" Id="rId42"/>
    <Relationship TargetMode="External" Target="https://www.legis.iowa.gov/docs/ico/chapter/692.18.pdf" Type="http://schemas.openxmlformats.org/officeDocument/2006/relationships/hyperlink" Id="rId43"/>
    <Relationship TargetMode="External" Target="https://www.legis.iowa.gov/docs/ico/chapter/915.pdf" Type="http://schemas.openxmlformats.org/officeDocument/2006/relationships/hyperlink" Id="rId44"/>
    <Relationship TargetMode="External" Target="https://www.legis.iowa.gov/docs/ico/chapter/915.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ac/rule/621.12.1.pdf" Type="http://schemas.openxmlformats.org/officeDocument/2006/relationships/hyperlink" Id="rId47"/>
    <Relationship TargetMode="External" Target="https://www.legis.iowa.gov/docs/ico/chapter/20.pdf" Type="http://schemas.openxmlformats.org/officeDocument/2006/relationships/hyperlink" Id="rId48"/>
    <Relationship TargetMode="External" Target="https://www.legis.iowa.gov/docs/ico/chapter/20.pdf" Type="http://schemas.openxmlformats.org/officeDocument/2006/relationships/hyperlink" Id="rId49"/>
    <Relationship TargetMode="External" Target="https://www.legis.iowa.gov/docs/ico/chapter/20.9.pdf" Type="http://schemas.openxmlformats.org/officeDocument/2006/relationships/hyperlink" Id="rId50"/>
    <Relationship TargetMode="External" Target="https://www.legis.iowa.gov/docs/ico/chapter/20.pdf" Type="http://schemas.openxmlformats.org/officeDocument/2006/relationships/hyperlink" Id="rId51"/>
    <Relationship TargetMode="External" Target="https://www.legis.iowa.gov/docs/ico/chapter/22.7.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ac/rule/621.12.1.pdf" Type="http://schemas.openxmlformats.org/officeDocument/2006/relationships/hyperlink" Id="rId54"/>
    <Relationship TargetMode="External" Target="https://www.legis.iowa.gov/docs/ico/chapter/20.pdf" Type="http://schemas.openxmlformats.org/officeDocument/2006/relationships/hyperlink" Id="rId55"/>
    <Relationship TargetMode="External" Target="https://www.legis.iowa.gov/docs/ico/chapter/20.pdf" Type="http://schemas.openxmlformats.org/officeDocument/2006/relationships/hyperlink" Id="rId56"/>
    <Relationship TargetMode="External" Target="https://www.legis.iowa.gov/docs/ico/chapter/22.pdf" Type="http://schemas.openxmlformats.org/officeDocument/2006/relationships/hyperlink" Id="rId57"/>
    <Relationship TargetMode="External" Target="https://www.legis.iowa.gov/docs/ico/chapter/17A.pdf" Type="http://schemas.openxmlformats.org/officeDocument/2006/relationships/hyperlink" Id="rId58"/>
    <Relationship TargetMode="External" Target="https://www.legis.iowa.gov/docs/ico/chapter/20.pdf" Type="http://schemas.openxmlformats.org/officeDocument/2006/relationships/hyperlink" Id="rId59"/>
    <Relationship TargetMode="External" Target="https://www.legis.iowa.gov/docs/ico/chapter/22.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