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621—10.1</w:t>
      </w:r>
      <w:r>
        <w:rPr>
          <w:rFonts w:ascii="Times New Roman" w:hAnsi="Times New Roman"/>
          <w:b/>
          <w:i w:val="false"/>
          <w:color w:val="000000"/>
          <w:sz w:val="22"/>
        </w:rPr>
        <w:t xml:space="preserve">(17A,20) </w:t>
      </w:r>
      <w:r>
        <w:rPr>
          <w:rFonts w:ascii="Times New Roman" w:hAnsi="Times New Roman"/>
          <w:b/>
          <w:i w:val="false"/>
          <w:color w:val="000000"/>
          <w:sz w:val="22"/>
        </w:rPr>
        <w:t xml:space="preserve">Who may petition. </w:t>
      </w:r>
      <w:r>
        <w:rPr>
          <w:rFonts w:ascii="Times New Roman" w:hAnsi="Times New Roman"/>
          <w:b w:val="false"/>
          <w:i w:val="false"/>
          <w:color w:val="000000"/>
          <w:sz w:val="22"/>
        </w:rPr>
        <w:t>Any person, public employer or employee organization may file a petition with the board pursuant to 621—Chapter 16 for a declaratory order as to the applicability to specified circumstances of a statute, rule or order within the primary jurisdiction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621—10.2</w:t>
      </w:r>
      <w:r>
        <w:rPr>
          <w:rFonts w:ascii="Times New Roman" w:hAnsi="Times New Roman"/>
          <w:b/>
          <w:i w:val="false"/>
          <w:color w:val="000000"/>
          <w:sz w:val="22"/>
        </w:rPr>
        <w:t xml:space="preserve">(20) </w:t>
      </w:r>
      <w:r>
        <w:rPr>
          <w:rFonts w:ascii="Times New Roman" w:hAnsi="Times New Roman"/>
          <w:b/>
          <w:i w:val="false"/>
          <w:color w:val="000000"/>
          <w:sz w:val="22"/>
        </w:rPr>
        <w:t xml:space="preserve">Contents of petition. </w:t>
      </w:r>
      <w:r>
        <w:rPr>
          <w:rFonts w:ascii="Times New Roman" w:hAnsi="Times New Roman"/>
          <w:b w:val="false"/>
          <w:i w:val="false"/>
          <w:color w:val="000000"/>
          <w:sz w:val="22"/>
        </w:rPr>
        <w:t>A petition for a declaratory order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the specific facts upon which the board is to base the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A citation to and the relevant language of the specific statute, rule or order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The specific questions which the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entities, or a description of any class of persons or entities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service of the petition upon any persons or entities required to be served with a copy by rule </w:t>
      </w:r>
      <w:hyperlink r:id="rId5">
        <w:r>
          <w:rPr>
            <w:rStyle w:val="Hyperlink"/>
            <w:rFonts w:ascii="Times New Roman" w:hAnsi="Times New Roman"/>
            <w:b w:val="false"/>
            <w:i w:val="false"/>
            <w:color w:val="000000"/>
            <w:sz w:val="22"/>
          </w:rPr>
          <w:t>621—10.7(17A,20)</w:t>
        </w:r>
      </w:hyperlink>
      <w:r>
        <w:rPr>
          <w:rFonts w:ascii="Times New Roman" w:hAnsi="Times New Roman"/>
          <w:b w:val="false"/>
          <w:i w:val="false"/>
          <w:color w:val="000000"/>
          <w:sz w:val="22"/>
        </w:rPr>
        <w:t xml:space="preserve">. Service of the petition and proof thereof shall be in accordance with </w:t>
      </w:r>
      <w:hyperlink r:id="rId6">
        <w:r>
          <w:rPr>
            <w:rStyle w:val="Hyperlink"/>
            <w:rFonts w:ascii="Times New Roman" w:hAnsi="Times New Roman"/>
            <w:b w:val="false"/>
            <w:i w:val="false"/>
            <w:color w:val="000000"/>
            <w:sz w:val="22"/>
          </w:rPr>
          <w:t>621—subrules 2.15(3)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621—10.3</w:t>
      </w:r>
      <w:r>
        <w:rPr>
          <w:rFonts w:ascii="Times New Roman" w:hAnsi="Times New Roman"/>
          <w:b/>
          <w:i w:val="false"/>
          <w:color w:val="000000"/>
          <w:sz w:val="22"/>
        </w:rPr>
        <w:t xml:space="preserve">(17A,20) </w:t>
      </w:r>
      <w:r>
        <w:rPr>
          <w:rFonts w:ascii="Times New Roman" w:hAnsi="Times New Roman"/>
          <w:b/>
          <w:i w:val="false"/>
          <w:color w:val="000000"/>
          <w:sz w:val="22"/>
        </w:rPr>
        <w:t xml:space="preserve">Caption. </w:t>
      </w:r>
      <w:r>
        <w:rPr>
          <w:rFonts w:ascii="Times New Roman" w:hAnsi="Times New Roman"/>
          <w:b w:val="false"/>
          <w:i w:val="false"/>
          <w:color w:val="000000"/>
          <w:sz w:val="22"/>
        </w:rPr>
        <w:t>The following caption is suggested for petitions for declaratory orders:</w:t>
      </w:r>
    </w:p>
    <w:tbl>
      <w:tblPr>
        <w:tblW w:w="5000" w:type="pct"/>
        <w:tblCellSpacing w:w="0" w:type="auto"/>
        <w:tblBorders>
          <w:top w:val="none"/>
          <w:left w:val="none"/>
          <w:bottom w:val="none"/>
          <w:right w:val="none"/>
          <w:insideH w:val="none"/>
          <w:insideV w:val="none"/>
        </w:tblBorders>
        <w:tblLayout w:type="fixed"/>
      </w:tblPr>
      <w:tblGrid>
        <w:gridCol w:w="4850"/>
        <w:gridCol w:w="1490"/>
        <w:gridCol w:w="4850"/>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PUBLIC EMPLOYMENT RELATIONS BOARD</w:t>
            </w:r>
          </w:p>
        </w:tc>
      </w:tr>
      <w:tr>
        <w:trPr>
          <w:trHeight w:val="1110" w:hRule="atLeast"/>
        </w:trPr>
        <w:tc>
          <w:tcPr>
            <w:tcW w:w="485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 THE MATTER OF:</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(NAME OF THE PARTY REQUESTING</w:t>
            </w:r>
          </w:p>
          <w:p>
            <w:pPr>
              <w:spacing w:before="0" w:after="0"/>
              <w:ind w:left="160"/>
              <w:jc w:val="left"/>
            </w:pPr>
            <w:r>
              <w:rPr>
                <w:rFonts w:ascii="Times New Roman" w:hAnsi="Times New Roman"/>
                <w:b w:val="false"/>
                <w:i w:val="false"/>
                <w:color w:val="000000"/>
                <w:sz w:val="16"/>
              </w:rPr>
              <w:t>THE RULING),</w:t>
            </w:r>
          </w:p>
          <w:p>
            <w:pPr>
              <w:spacing w:before="0" w:after="0"/>
              <w:ind w:left="592"/>
              <w:jc w:val="left"/>
            </w:pPr>
            <w:r>
              <w:rPr>
                <w:rFonts w:ascii="Times New Roman" w:hAnsi="Times New Roman"/>
                <w:b w:val="false"/>
                <w:i w:val="false"/>
                <w:color w:val="000000"/>
                <w:sz w:val="16"/>
              </w:rPr>
              <w:t>PETITIONER.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CASE NO.</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210" w:after="0"/>
        <w:ind w:left="120"/>
        <w:jc w:val="both"/>
      </w:pPr>
      <w:r>
        <w:rPr>
          <w:rFonts w:ascii="Times New Roman" w:hAnsi="Times New Roman"/>
          <w:b/>
          <w:i w:val="false"/>
          <w:color w:val="000000"/>
          <w:sz w:val="22"/>
        </w:rPr>
        <w:t>621—10.4</w:t>
      </w:r>
      <w:r>
        <w:rPr>
          <w:rFonts w:ascii="Times New Roman" w:hAnsi="Times New Roman"/>
          <w:b/>
          <w:i w:val="false"/>
          <w:color w:val="000000"/>
          <w:sz w:val="22"/>
        </w:rPr>
        <w:t xml:space="preserve">(17A,20)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ten days after receipt of a petition for a declaratory order, the board shall give notice of the petition to all persons not served by the petitioner pursuant to rule </w:t>
      </w:r>
      <w:hyperlink r:id="rId8">
        <w:r>
          <w:rPr>
            <w:rStyle w:val="Hyperlink"/>
            <w:rFonts w:ascii="Times New Roman" w:hAnsi="Times New Roman"/>
            <w:b w:val="false"/>
            <w:i w:val="false"/>
            <w:color w:val="000000"/>
            <w:sz w:val="22"/>
          </w:rPr>
          <w:t>621—10.7(17A,20)</w:t>
        </w:r>
      </w:hyperlink>
      <w:r>
        <w:rPr>
          <w:rFonts w:ascii="Times New Roman" w:hAnsi="Times New Roman"/>
          <w:b w:val="false"/>
          <w:i w:val="false"/>
          <w:color w:val="000000"/>
          <w:sz w:val="22"/>
        </w:rPr>
        <w:t xml:space="preserve"> to whom notice is required by any provision of law. The board may also give notice to any other persons or entities.</w:t>
      </w:r>
    </w:p>
    <w:p>
      <w:pPr>
        <w:spacing w:before="0" w:after="0"/>
        <w:ind w:left="120"/>
        <w:jc w:val="both"/>
      </w:pPr>
      <w:r>
        <w:rPr>
          <w:rFonts w:ascii="Times New Roman" w:hAnsi="Times New Roman"/>
          <w:b/>
          <w:i w:val="false"/>
          <w:color w:val="000000"/>
          <w:sz w:val="22"/>
        </w:rPr>
        <w:t>621—10.5</w:t>
      </w:r>
      <w:r>
        <w:rPr>
          <w:rFonts w:ascii="Times New Roman" w:hAnsi="Times New Roman"/>
          <w:b/>
          <w:i w:val="false"/>
          <w:color w:val="000000"/>
          <w:sz w:val="22"/>
        </w:rPr>
        <w:t xml:space="preserve">(17A,20)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which complies with subrule </w:t>
      </w:r>
      <w:hyperlink r:id="rId9">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within 20 days of the filing of a petition for declaratory order shall be allowed to intervene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files a petition for intervention which complies with subrule </w:t>
      </w:r>
      <w:hyperlink r:id="rId10">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at any time prior to the issuance of the agency’s final order in the matter may be allowed to intervene in the proceeding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in a declaratory order proceeding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seeking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the 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to and the relevant language of any additional statutes, rules or orders and any other additional, relevant law not specified in the petition for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presented in the petition for declaratory order desired by the intervenor and a summary of the reasons urged by the intervenor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entities, or a description of any class of persons or entities known by intervenor to be affected by or interested in the questions presented.</w:t>
      </w:r>
    </w:p>
    <w:p>
      <w:pPr>
        <w:spacing w:before="210" w:after="0"/>
        <w:ind w:left="120"/>
        <w:jc w:val="both"/>
      </w:pPr>
      <w:r>
        <w:rPr>
          <w:rFonts w:ascii="Times New Roman" w:hAnsi="Times New Roman"/>
          <w:b/>
          <w:i w:val="false"/>
          <w:color w:val="000000"/>
          <w:sz w:val="22"/>
        </w:rPr>
        <w:t>621—10.6</w:t>
      </w:r>
      <w:r>
        <w:rPr>
          <w:rFonts w:ascii="Times New Roman" w:hAnsi="Times New Roman"/>
          <w:b/>
          <w:i w:val="false"/>
          <w:color w:val="000000"/>
          <w:sz w:val="22"/>
        </w:rPr>
        <w:t xml:space="preserve">(17A,20)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by that party. The board may request a brief from the petitioner, any intervenor or any other person or entity concerning the questions raised.</w:t>
      </w:r>
    </w:p>
    <w:p>
      <w:pPr>
        <w:spacing w:before="210" w:after="0"/>
        <w:ind w:left="120"/>
        <w:jc w:val="both"/>
      </w:pPr>
      <w:r>
        <w:rPr>
          <w:rFonts w:ascii="Times New Roman" w:hAnsi="Times New Roman"/>
          <w:b/>
          <w:i w:val="false"/>
          <w:color w:val="000000"/>
          <w:sz w:val="22"/>
        </w:rPr>
        <w:t>621—10.7</w:t>
      </w:r>
      <w:r>
        <w:rPr>
          <w:rFonts w:ascii="Times New Roman" w:hAnsi="Times New Roman"/>
          <w:b/>
          <w:i w:val="false"/>
          <w:color w:val="000000"/>
          <w:sz w:val="22"/>
        </w:rPr>
        <w:t xml:space="preserve">(17A,20) </w:t>
      </w:r>
      <w:r>
        <w:rPr>
          <w:rFonts w:ascii="Times New Roman" w:hAnsi="Times New Roman"/>
          <w:b/>
          <w:i w:val="false"/>
          <w:color w:val="000000"/>
          <w:sz w:val="22"/>
        </w:rPr>
        <w:t xml:space="preserve">Service of petitions and other papers. </w:t>
      </w:r>
      <w:r>
        <w:rPr>
          <w:rFonts w:ascii="Times New Roman" w:hAnsi="Times New Roman"/>
          <w:b w:val="false"/>
          <w:i w:val="false"/>
          <w:color w:val="000000"/>
          <w:sz w:val="22"/>
        </w:rPr>
        <w:t>Every petition for declaratory order, petition for intervention, brief or other paper filed in a proceeding for a declaratory order shall be served upon each of the parties of record to the proceeding and on all other persons or entities identified in the petition for declaratory order or petition for intervention as affected by or interested in the questions presented, simultaneously with their filing with the board. The party filing a document is responsible for service on all parties and other affected or interested persons.</w:t>
      </w:r>
    </w:p>
    <w:p>
      <w:pPr>
        <w:spacing w:before="0" w:after="0"/>
        <w:ind w:left="120"/>
        <w:jc w:val="both"/>
      </w:pPr>
      <w:r>
        <w:rPr>
          <w:rFonts w:ascii="Times New Roman" w:hAnsi="Times New Roman"/>
          <w:b/>
          <w:i w:val="false"/>
          <w:color w:val="000000"/>
          <w:sz w:val="22"/>
        </w:rPr>
        <w:t>621—10.8</w:t>
      </w:r>
      <w:r>
        <w:rPr>
          <w:rFonts w:ascii="Times New Roman" w:hAnsi="Times New Roman"/>
          <w:b/>
          <w:i w:val="false"/>
          <w:color w:val="000000"/>
          <w:sz w:val="22"/>
        </w:rPr>
        <w:t xml:space="preserve">(17A,20)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 xml:space="preserve">Within the time allowed by Iowa Code section </w:t>
      </w:r>
      <w:hyperlink r:id="rId11">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after receipt of a petition for a declaratory order, the board or its designee shall take action on the petition as required by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621—10.9</w:t>
      </w:r>
      <w:r>
        <w:rPr>
          <w:rFonts w:ascii="Times New Roman" w:hAnsi="Times New Roman"/>
          <w:b/>
          <w:i w:val="false"/>
          <w:color w:val="000000"/>
          <w:sz w:val="22"/>
        </w:rPr>
        <w:t xml:space="preserve">(17A,20)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color w:val="000000"/>
          <w:sz w:val="22"/>
        </w:rPr>
        <w:t>“b”</w:t>
      </w:r>
      <w:r>
        <w:rPr>
          <w:rFonts w:ascii="Times New Roman" w:hAnsi="Times New Roman"/>
          <w:b w:val="false"/>
          <w:i w:val="false"/>
          <w:color w:val="000000"/>
          <w:sz w:val="22"/>
        </w:rPr>
        <w:t>(2)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rule </w:t>
      </w:r>
      <w:hyperlink r:id="rId13">
        <w:r>
          <w:rPr>
            <w:rStyle w:val="Hyperlink"/>
            <w:rFonts w:ascii="Times New Roman" w:hAnsi="Times New Roman"/>
            <w:b w:val="false"/>
            <w:i w:val="false"/>
            <w:color w:val="000000"/>
            <w:sz w:val="22"/>
          </w:rPr>
          <w:t>621—10.2(20)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board’s failure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 declaratory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persons or entities who have not joined in the petition, intervened separately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shall indicate the ground or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rule does not preclude the filing of a new petition that seeks to eliminate the grounds for the prior refusal.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621—10.10</w:t>
      </w:r>
      <w:r>
        <w:rPr>
          <w:rFonts w:ascii="Times New Roman" w:hAnsi="Times New Roman"/>
          <w:b/>
          <w:i w:val="false"/>
          <w:color w:val="000000"/>
          <w:sz w:val="22"/>
        </w:rPr>
        <w:t xml:space="preserve">(17A,20)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declaratory order or petition for intervention shall be promptly mailed to the petitioner and all intervenors.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21.10.7.pdf" Type="http://schemas.openxmlformats.org/officeDocument/2006/relationships/hyperlink" Id="rId5"/>
    <Relationship TargetMode="External" Target="https://www.legis.iowa.gov/docs/iac/rule/621.2.15.pdf" Type="http://schemas.openxmlformats.org/officeDocument/2006/relationships/hyperlink" Id="rId6"/>
    <Relationship TargetMode="External" Target="https://www.legis.iowa.gov/docs/iac/rule/621.16.10.pdf" Type="http://schemas.openxmlformats.org/officeDocument/2006/relationships/hyperlink" Id="rId7"/>
    <Relationship TargetMode="External" Target="https://www.legis.iowa.gov/docs/iac/rule/621.10.7.pdf" Type="http://schemas.openxmlformats.org/officeDocument/2006/relationships/hyperlink" Id="rId8"/>
    <Relationship TargetMode="External" Target="https://www.legis.iowa.gov/docs/iac/rule/621.10.5.pdf" Type="http://schemas.openxmlformats.org/officeDocument/2006/relationships/hyperlink" Id="rId9"/>
    <Relationship TargetMode="External" Target="https://www.legis.iowa.gov/docs/iac/rule/621.10.5.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ac/rule/621.10.2.pdf" Type="http://schemas.openxmlformats.org/officeDocument/2006/relationships/hyperlink" Id="rId13"/>
    <Relationship TargetMode="External" Target="https://www.legis.iowa.gov/docs/ico/chapter/17A.9.pdf" Type="http://schemas.openxmlformats.org/officeDocument/2006/relationships/hyperlink" Id="rId14"/>
    <Relationship TargetMode="External" Target="https://www.legis.iowa.gov/docs/ico/chapter/2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