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GENERAL PROVISIONS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621—1.1</w:t>
      </w:r>
      <w:r>
        <w:rPr>
          <w:rFonts w:ascii="Times New Roman" w:hAnsi="Times New Roman"/>
          <w:b/>
          <w:i w:val="false"/>
          <w:color w:val="000000"/>
          <w:sz w:val="22"/>
        </w:rPr>
        <w:t xml:space="preserve">(20) </w:t>
      </w:r>
      <w:r>
        <w:rPr>
          <w:rFonts w:ascii="Times New Roman" w:hAnsi="Times New Roman"/>
          <w:b/>
          <w:i w:val="false"/>
          <w:color w:val="000000"/>
          <w:sz w:val="22"/>
        </w:rPr>
        <w:t xml:space="preserve">Construction and severability. </w:t>
      </w:r>
      <w:r>
        <w:rPr>
          <w:rFonts w:ascii="Times New Roman" w:hAnsi="Times New Roman"/>
          <w:b w:val="false"/>
          <w:i w:val="false"/>
          <w:color w:val="000000"/>
          <w:sz w:val="22"/>
        </w:rPr>
        <w:t>These rules shall be liberally construed to effectuate the purposes and provisions of the public employment relations Act. If any provisions of these rules are held to be invalid, it shall not be construed to invalidate any of the other provisions of these rules.</w:t>
      </w:r>
    </w:p>
    <w:p>
      <w:pPr>
        <w:spacing w:before="0" w:after="0"/>
        <w:ind w:left="120"/>
        <w:jc w:val="both"/>
      </w:pPr>
      <w:r>
        <w:rPr>
          <w:rFonts w:ascii="Times New Roman" w:hAnsi="Times New Roman"/>
          <w:b/>
          <w:i w:val="false"/>
          <w:color w:val="000000"/>
          <w:sz w:val="22"/>
        </w:rPr>
        <w:t>621—1.2</w:t>
      </w:r>
      <w:r>
        <w:rPr>
          <w:rFonts w:ascii="Times New Roman" w:hAnsi="Times New Roman"/>
          <w:b/>
          <w:i w:val="false"/>
          <w:color w:val="000000"/>
          <w:sz w:val="22"/>
        </w:rPr>
        <w:t xml:space="preserve">(20) </w:t>
      </w:r>
      <w:r>
        <w:rPr>
          <w:rFonts w:ascii="Times New Roman" w:hAnsi="Times New Roman"/>
          <w:b/>
          <w:i w:val="false"/>
          <w:color w:val="000000"/>
          <w:sz w:val="22"/>
        </w:rPr>
        <w:t xml:space="preserve">General agency description. </w:t>
      </w:r>
      <w:r>
        <w:rPr>
          <w:rFonts w:ascii="Times New Roman" w:hAnsi="Times New Roman"/>
          <w:b w:val="false"/>
          <w:i w:val="false"/>
          <w:color w:val="000000"/>
          <w:sz w:val="22"/>
        </w:rPr>
        <w:t>The purpose of the public employment relations board established by the Public Employment Relations Act is to implement the provisions of the Act and adjudicate and conciliate employment related cases involving the state of Iowa and other public employers and employee organizations. For these purposes the powers and duties of the board include, but are not limited to, the following:</w:t>
      </w:r>
    </w:p>
    <w:p>
      <w:pPr>
        <w:spacing w:before="0" w:after="0"/>
        <w:ind w:left="120"/>
        <w:jc w:val="both"/>
      </w:pPr>
      <w:r>
        <w:rPr>
          <w:rFonts w:ascii="Times New Roman" w:hAnsi="Times New Roman"/>
          <w:b w:val="false"/>
          <w:i w:val="false"/>
          <w:color w:val="000000"/>
          <w:sz w:val="22"/>
        </w:rPr>
        <w:t>Determining appropriate bargaining units and conducting representation elections.</w:t>
      </w:r>
    </w:p>
    <w:p>
      <w:pPr>
        <w:spacing w:before="0" w:after="0"/>
        <w:ind w:left="120"/>
        <w:jc w:val="both"/>
      </w:pPr>
      <w:r>
        <w:rPr>
          <w:rFonts w:ascii="Times New Roman" w:hAnsi="Times New Roman"/>
          <w:b w:val="false"/>
          <w:i w:val="false"/>
          <w:color w:val="000000"/>
          <w:sz w:val="22"/>
        </w:rPr>
        <w:t>Adjudicating prohibited practice complaints and fashioning appropriate remedial relief for violations of the Act.</w:t>
      </w:r>
    </w:p>
    <w:p>
      <w:pPr>
        <w:spacing w:before="0" w:after="0"/>
        <w:ind w:left="120"/>
        <w:jc w:val="both"/>
      </w:pPr>
      <w:r>
        <w:rPr>
          <w:rFonts w:ascii="Times New Roman" w:hAnsi="Times New Roman"/>
          <w:b w:val="false"/>
          <w:i w:val="false"/>
          <w:color w:val="000000"/>
          <w:sz w:val="22"/>
        </w:rPr>
        <w:t>Adjudicating and serving as arbitrators regarding state merit system grievances and grievances arising under collective bargaining agreements between public employers and certified employee organizations.</w:t>
      </w:r>
    </w:p>
    <w:p>
      <w:pPr>
        <w:spacing w:before="0" w:after="0"/>
        <w:ind w:left="120"/>
        <w:jc w:val="both"/>
      </w:pPr>
      <w:r>
        <w:rPr>
          <w:rFonts w:ascii="Times New Roman" w:hAnsi="Times New Roman"/>
          <w:b w:val="false"/>
          <w:i w:val="false"/>
          <w:color w:val="000000"/>
          <w:sz w:val="22"/>
        </w:rPr>
        <w:t>Providing mediators and arbitrators to resolve impasses in negotiations.</w:t>
      </w:r>
    </w:p>
    <w:p>
      <w:pPr>
        <w:spacing w:before="0" w:after="0"/>
        <w:ind w:left="120"/>
        <w:jc w:val="both"/>
      </w:pPr>
      <w:r>
        <w:rPr>
          <w:rFonts w:ascii="Times New Roman" w:hAnsi="Times New Roman"/>
          <w:b w:val="false"/>
          <w:i w:val="false"/>
          <w:color w:val="000000"/>
          <w:sz w:val="22"/>
        </w:rPr>
        <w:t>Collecting and disseminating information concerning the wages, hours, and other conditions of employment of public employees.</w:t>
      </w:r>
    </w:p>
    <w:p>
      <w:pPr>
        <w:spacing w:before="0" w:after="0"/>
        <w:ind w:left="120"/>
        <w:jc w:val="both"/>
      </w:pPr>
      <w:r>
        <w:rPr>
          <w:rFonts w:ascii="Times New Roman" w:hAnsi="Times New Roman"/>
          <w:b w:val="false"/>
          <w:i w:val="false"/>
          <w:color w:val="000000"/>
          <w:sz w:val="22"/>
        </w:rPr>
        <w:t>Preparing legal briefs and presenting oral arguments in the district courts, the court of appeals and the supreme court in cases affecting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621—1.3</w:t>
      </w:r>
      <w:r>
        <w:rPr>
          <w:rFonts w:ascii="Times New Roman" w:hAnsi="Times New Roman"/>
          <w:b/>
          <w:i w:val="false"/>
          <w:color w:val="000000"/>
          <w:sz w:val="22"/>
        </w:rPr>
        <w:t xml:space="preserve">(20) </w:t>
      </w:r>
      <w:r>
        <w:rPr>
          <w:rFonts w:ascii="Times New Roman" w:hAnsi="Times New Roman"/>
          <w:b/>
          <w:i w:val="false"/>
          <w:color w:val="000000"/>
          <w:sz w:val="22"/>
        </w:rPr>
        <w:t xml:space="preserve">General course and method of operation. </w:t>
      </w:r>
      <w:r>
        <w:rPr>
          <w:rFonts w:ascii="Times New Roman" w:hAnsi="Times New Roman"/>
          <w:b w:val="false"/>
          <w:i w:val="false"/>
          <w:color w:val="000000"/>
          <w:sz w:val="22"/>
        </w:rPr>
        <w:t>Upon receipt of a petition or complaint, the board may assign an administrative law judge to process the case. The board may determine that the petition or complaint is without basis and dismiss it without further proceedings. Petitions and complaints not dismissed are assigned for a hearing before either an administrative law judge or the board, unless the procedures for informal settlement described in these rules are followed. The administrative law judge or the board will conduct a hearing on the complaint or petition and issue a decision and order. The decisions of administrative law judges are appealable to the board, and final orders and decisions of the board are appealable to the district court under the Iowa administrative procedure Act.</w:t>
      </w:r>
    </w:p>
    <w:p>
      <w:pPr>
        <w:spacing w:before="210" w:after="0"/>
        <w:ind w:left="120"/>
        <w:jc w:val="both"/>
      </w:pPr>
      <w:r>
        <w:rPr>
          <w:rFonts w:ascii="Times New Roman" w:hAnsi="Times New Roman"/>
          <w:b/>
          <w:i w:val="false"/>
          <w:color w:val="000000"/>
          <w:sz w:val="22"/>
        </w:rPr>
        <w:t>621—1.4</w:t>
      </w:r>
      <w:r>
        <w:rPr>
          <w:rFonts w:ascii="Times New Roman" w:hAnsi="Times New Roman"/>
          <w:b/>
          <w:i w:val="false"/>
          <w:color w:val="000000"/>
          <w:sz w:val="22"/>
        </w:rPr>
        <w:t xml:space="preserve">(20) </w:t>
      </w:r>
      <w:r>
        <w:rPr>
          <w:rFonts w:ascii="Times New Roman" w:hAnsi="Times New Roman"/>
          <w:b/>
          <w:i w:val="false"/>
          <w:color w:val="000000"/>
          <w:sz w:val="22"/>
        </w:rPr>
        <w:t xml:space="preserve">Method of obtaining information and making submissions or requests. </w:t>
      </w:r>
      <w:r>
        <w:rPr>
          <w:rFonts w:ascii="Times New Roman" w:hAnsi="Times New Roman"/>
          <w:b w:val="false"/>
          <w:i w:val="false"/>
          <w:color w:val="000000"/>
          <w:sz w:val="22"/>
        </w:rPr>
        <w:t>Any person may obtain information from, make submission to, or make a request of the board by writing to Chairperson, Iowa Public Employment Relations Board, 510 East 12th Street, Suite 1B, Des Moines, Iowa 50319.</w:t>
      </w:r>
    </w:p>
    <w:p>
      <w:pPr>
        <w:spacing w:before="0" w:after="0"/>
        <w:ind w:left="120"/>
        <w:jc w:val="both"/>
      </w:pPr>
      <w:r>
        <w:rPr>
          <w:rFonts w:ascii="Times New Roman" w:hAnsi="Times New Roman"/>
          <w:b/>
          <w:i w:val="false"/>
          <w:color w:val="000000"/>
          <w:sz w:val="22"/>
        </w:rPr>
        <w:t>621—1.5</w:t>
      </w:r>
      <w:r>
        <w:rPr>
          <w:rFonts w:ascii="Times New Roman" w:hAnsi="Times New Roman"/>
          <w:b/>
          <w:i w:val="false"/>
          <w:color w:val="000000"/>
          <w:sz w:val="22"/>
        </w:rPr>
        <w:t xml:space="preserve">(20)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may file a petition with the board pursuant to 621—Chapter 16 for the adoption, amendment or repeal of a rule. Such petition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requesting the adoption, amendment or repeal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to and the relevant language of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addresses of other persons, or a description of any class of persons, known by petitioner to be affected by or interested in the proposed action which is the subject of the petition. Within 60 days after the filing of a petition, the board shall either deny the petition, stating its reasons for the denial, or initiate rule-making proceedings in accordance with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board shall submit the petition and the disposition of the petition to the administrative rules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w:t>
      </w:r>
      <w:r>
        <w:rPr>
          <w:rFonts w:ascii="Times New Roman" w:hAnsi="Times New Roman"/>
          <w:b/>
          <w:i w:val="false"/>
          <w:color w:val="000000"/>
          <w:sz w:val="22"/>
        </w:rPr>
        <w:t xml:space="preserve">(20)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as used in these rules shall mean the public employment relations Act, Iowa Code chapter </w:t>
      </w:r>
      <w:hyperlink r:id="rId6">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as used in these rules shall mean the public employment relations board. No official board action may be taken without the concurrence of at least two members of the board; provided, however, that when for compelling reasons only two members hear an appeal of a proposed decision in a contested case and the two members do not concur, the result shall be affirmation of the proposed decision. The board, in its discretion, may delegate to board employees duties which the Act does not specifically require be performed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Petitioner—complainant—respondent—intervenor.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“Petitioner” </w:t>
      </w:r>
      <w:r>
        <w:rPr>
          <w:rFonts w:ascii="Times New Roman" w:hAnsi="Times New Roman"/>
          <w:b w:val="false"/>
          <w:i w:val="false"/>
          <w:color w:val="000000"/>
          <w:sz w:val="22"/>
        </w:rPr>
        <w:t xml:space="preserve">means the party filing a petition under Iowa Code section </w:t>
      </w:r>
      <w:hyperlink r:id="rId7">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 xml:space="preserve">means the party filing a complaint under Iowa Code section </w:t>
      </w:r>
      <w:hyperlink r:id="rId9">
        <w:r>
          <w:rPr>
            <w:rStyle w:val="Hyperlink"/>
            <w:rFonts w:ascii="Times New Roman" w:hAnsi="Times New Roman"/>
            <w:b w:val="false"/>
            <w:i w:val="false"/>
            <w:color w:val="000000"/>
            <w:sz w:val="22"/>
          </w:rPr>
          <w:t>20.11</w:t>
        </w:r>
      </w:hyperlink>
      <w:r>
        <w:rPr>
          <w:rFonts w:ascii="Times New Roman" w:hAnsi="Times New Roman"/>
          <w:b w:val="false"/>
          <w:i w:val="false"/>
          <w:color w:val="000000"/>
          <w:sz w:val="22"/>
        </w:rPr>
        <w:t>, alleging the commission of a prohibited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the party accused of committing a prohibited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“Intervenor” </w:t>
      </w:r>
      <w:r>
        <w:rPr>
          <w:rFonts w:ascii="Times New Roman" w:hAnsi="Times New Roman"/>
          <w:b w:val="false"/>
          <w:i w:val="false"/>
          <w:color w:val="000000"/>
          <w:sz w:val="22"/>
        </w:rPr>
        <w:t>means a party who voluntarily interposes in a proceeding with the approval of the board or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as used in these rules shall mean any person, employee organization or public employer who has filed a petition or complaint under the Act or these rules; who has been named as a party in a complaint, petition or other matter under these rules; or whose motion to intervene has been granted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color w:val="000000"/>
          <w:sz w:val="22"/>
        </w:rPr>
        <w:t xml:space="preserve">“Impasse item” </w:t>
      </w:r>
      <w:r>
        <w:rPr>
          <w:rFonts w:ascii="Times New Roman" w:hAnsi="Times New Roman"/>
          <w:b w:val="false"/>
          <w:i w:val="false"/>
          <w:color w:val="000000"/>
          <w:sz w:val="22"/>
        </w:rPr>
        <w:t xml:space="preserve">means any term which was a subject of negotiations and proposed to be included in a collective bargaining agreement upon which the parties have failed to reach agreement in the course of negotiations, except as provided for in </w:t>
      </w:r>
      <w:hyperlink r:id="rId10">
        <w:r>
          <w:rPr>
            <w:rStyle w:val="Hyperlink"/>
            <w:rFonts w:ascii="Times New Roman" w:hAnsi="Times New Roman"/>
            <w:b w:val="false"/>
            <w:i w:val="false"/>
            <w:color w:val="000000"/>
            <w:sz w:val="22"/>
          </w:rPr>
          <w:t>621—6.1</w:t>
        </w:r>
      </w:hyperlink>
      <w:r>
        <w:rPr>
          <w:rFonts w:ascii="Times New Roman" w:hAnsi="Times New Roman"/>
          <w:b w:val="false"/>
          <w:i w:val="false"/>
          <w:color w:val="000000"/>
          <w:sz w:val="22"/>
        </w:rPr>
        <w:t>(20). Failure of the parties to agree upon impasse procedures shall not constitute an impasse item or compel implementation of impasse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color w:val="000000"/>
          <w:sz w:val="22"/>
        </w:rPr>
        <w:t xml:space="preserve">“Impasse procedures” </w:t>
      </w:r>
      <w:r>
        <w:rPr>
          <w:rFonts w:ascii="Times New Roman" w:hAnsi="Times New Roman"/>
          <w:b w:val="false"/>
          <w:i w:val="false"/>
          <w:color w:val="000000"/>
          <w:sz w:val="22"/>
        </w:rPr>
        <w:t xml:space="preserve">means either the procedures set forth in Iowa Code sections </w:t>
      </w:r>
      <w:hyperlink r:id="rId11">
        <w:r>
          <w:rPr>
            <w:rStyle w:val="Hyperlink"/>
            <w:rFonts w:ascii="Times New Roman" w:hAnsi="Times New Roman"/>
            <w:b w:val="false"/>
            <w:i w:val="false"/>
            <w:color w:val="000000"/>
            <w:sz w:val="22"/>
          </w:rPr>
          <w:t>20.20</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20.22</w:t>
        </w:r>
      </w:hyperlink>
      <w:r>
        <w:rPr>
          <w:rFonts w:ascii="Times New Roman" w:hAnsi="Times New Roman"/>
          <w:b w:val="false"/>
          <w:i w:val="false"/>
          <w:color w:val="000000"/>
          <w:sz w:val="22"/>
        </w:rPr>
        <w:t xml:space="preserve"> or any procedures agreed upon by the parties pursuant to Iowa Code section </w:t>
      </w:r>
      <w:hyperlink r:id="rId13">
        <w:r>
          <w:rPr>
            <w:rStyle w:val="Hyperlink"/>
            <w:rFonts w:ascii="Times New Roman" w:hAnsi="Times New Roman"/>
            <w:b w:val="false"/>
            <w:i w:val="false"/>
            <w:color w:val="000000"/>
            <w:sz w:val="22"/>
          </w:rPr>
          <w:t>20.19</w:t>
        </w:r>
      </w:hyperlink>
      <w:r>
        <w:rPr>
          <w:rFonts w:ascii="Times New Roman" w:hAnsi="Times New Roman"/>
          <w:b w:val="false"/>
          <w:i w:val="false"/>
          <w:color w:val="000000"/>
          <w:sz w:val="22"/>
        </w:rPr>
        <w:t xml:space="preserve"> which are designed to result in a binding collective bargaining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14">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w:t>
      </w:r>
      <w:r>
        <w:rPr>
          <w:rFonts w:ascii="Times New Roman" w:hAnsi="Times New Roman"/>
          <w:b w:val="false"/>
          <w:i w:val="false"/>
          <w:color w:val="000000"/>
          <w:sz w:val="22"/>
        </w:rPr>
        <w:t>1998 Iowa Acts, chapter 1202, section 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w:t>
      </w:r>
      <w:r>
        <w:rPr>
          <w:rFonts w:ascii="Times New Roman" w:hAnsi="Times New Roman"/>
          <w:b w:val="false"/>
          <w:i w:val="false"/>
          <w:color w:val="000000"/>
          <w:sz w:val="22"/>
        </w:rPr>
        <w:t> </w:t>
      </w:r>
      <w:r>
        <w:rPr>
          <w:rFonts w:ascii="Times New Roman" w:hAnsi="Times New Roman"/>
          <w:b w:val="false"/>
          <w:i/>
          <w:color w:val="000000"/>
          <w:sz w:val="22"/>
        </w:rPr>
        <w:t xml:space="preserve">“Adjudicatory proceeding” </w:t>
      </w:r>
      <w:r>
        <w:rPr>
          <w:rFonts w:ascii="Times New Roman" w:hAnsi="Times New Roman"/>
          <w:b w:val="false"/>
          <w:i w:val="false"/>
          <w:color w:val="000000"/>
          <w:sz w:val="22"/>
        </w:rPr>
        <w:t>means a contested case, a proceeding that may culminate in a contested case, a petition for declaratory order, a petition for expedited resolution of a negotiability dispute, or any other proceeding which may require the board or its designee to issue a decision, order, or ruling.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w:t>
      </w: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as used in these rules means the public employment relations board and the board’s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means information excluded from public access by federal or state law or administrative rule, court rule, court or administrative order, or case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w:t>
      </w:r>
      <w:r>
        <w:rPr>
          <w:rFonts w:ascii="Times New Roman" w:hAnsi="Times New Roman"/>
          <w:b w:val="false"/>
          <w:i w:val="false"/>
          <w:color w:val="000000"/>
          <w:sz w:val="22"/>
        </w:rPr>
        <w:t>means personal information, the nature of which warrants protection from unlimited public access,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Social security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account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Dates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of minor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Individual taxpayer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Personal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unique identifying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color w:val="000000"/>
          <w:sz w:val="22"/>
        </w:rPr>
        <w:t>“Public safety employee”</w:t>
      </w:r>
      <w:r>
        <w:rPr>
          <w:rFonts w:ascii="Times New Roman" w:hAnsi="Times New Roman"/>
          <w:b w:val="false"/>
          <w:i w:val="false"/>
          <w:color w:val="000000"/>
          <w:sz w:val="22"/>
        </w:rPr>
        <w:t xml:space="preserve"> means a public employee who is employed as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sheriff’s regular deputy.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marshal or police officer of a city, township, or special-purpose district or authority who is a member of a paid police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except a non-peace officer member, of the division of state patrol, narcotics enforcement, state fire marshal, or criminal investigation, including but not limited to a gaming enforcement officer, who has been duly appointed by the department of public safety in accordance with Iowa Code section </w:t>
      </w:r>
      <w:hyperlink r:id="rId15">
        <w:r>
          <w:rPr>
            <w:rStyle w:val="Hyperlink"/>
            <w:rFonts w:ascii="Times New Roman" w:hAnsi="Times New Roman"/>
            <w:b w:val="false"/>
            <w:i w:val="false"/>
            <w:color w:val="000000"/>
            <w:sz w:val="22"/>
          </w:rPr>
          <w:t>80.15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conservation officer or park ranger as authorized by Iowa Code section </w:t>
      </w:r>
      <w:hyperlink r:id="rId16">
        <w:r>
          <w:rPr>
            <w:rStyle w:val="Hyperlink"/>
            <w:rFonts w:ascii="Times New Roman" w:hAnsi="Times New Roman"/>
            <w:b w:val="false"/>
            <w:i w:val="false"/>
            <w:color w:val="000000"/>
            <w:sz w:val="22"/>
          </w:rPr>
          <w:t>456A.13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permanent or full-time fire fighter of a city, township, or special-purpose district or authority who is a member of a paid fire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peace officer designated by the department of transportation under Iowa Code section </w:t>
      </w:r>
      <w:hyperlink r:id="rId17">
        <w:r>
          <w:rPr>
            <w:rStyle w:val="Hyperlink"/>
            <w:rFonts w:ascii="Times New Roman" w:hAnsi="Times New Roman"/>
            <w:b w:val="false"/>
            <w:i w:val="false"/>
            <w:color w:val="000000"/>
            <w:sz w:val="22"/>
          </w:rPr>
          <w:t>321.477</w:t>
        </w:r>
      </w:hyperlink>
      <w:r>
        <w:rPr>
          <w:rFonts w:ascii="Times New Roman" w:hAnsi="Times New Roman"/>
          <w:b w:val="false"/>
          <w:i w:val="false"/>
          <w:color w:val="000000"/>
          <w:sz w:val="22"/>
        </w:rPr>
        <w:t xml:space="preserve"> who is subject to mandated law enforcement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w:t>
      </w:r>
      <w:r>
        <w:rPr>
          <w:rFonts w:ascii="Times New Roman" w:hAnsi="Times New Roman"/>
          <w:b w:val="false"/>
          <w:i w:val="false"/>
          <w:color w:val="000000"/>
          <w:sz w:val="22"/>
        </w:rPr>
        <w:t> </w:t>
      </w:r>
      <w:r>
        <w:rPr>
          <w:rFonts w:ascii="Times New Roman" w:hAnsi="Times New Roman"/>
          <w:b w:val="false"/>
          <w:i/>
          <w:color w:val="000000"/>
          <w:sz w:val="22"/>
        </w:rPr>
        <w:t>“Public safety unit”</w:t>
      </w:r>
      <w:r>
        <w:rPr>
          <w:rFonts w:ascii="Times New Roman" w:hAnsi="Times New Roman"/>
          <w:b w:val="false"/>
          <w:i w:val="false"/>
          <w:color w:val="000000"/>
          <w:sz w:val="22"/>
        </w:rPr>
        <w:t xml:space="preserve"> means a bargaining unit with at least 30 percent of employees in the unit who are public safety employees or as required by Iowa Code section </w:t>
      </w:r>
      <w:hyperlink r:id="rId18">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for certain transit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w:t>
      </w:r>
      <w:r>
        <w:rPr>
          <w:rFonts w:ascii="Times New Roman" w:hAnsi="Times New Roman"/>
          <w:b w:val="false"/>
          <w:i w:val="false"/>
          <w:color w:val="000000"/>
          <w:sz w:val="22"/>
        </w:rPr>
        <w:t> </w:t>
      </w:r>
      <w:r>
        <w:rPr>
          <w:rFonts w:ascii="Times New Roman" w:hAnsi="Times New Roman"/>
          <w:b w:val="false"/>
          <w:i/>
          <w:color w:val="000000"/>
          <w:sz w:val="22"/>
        </w:rPr>
        <w:t>“Supplemental pay”</w:t>
      </w:r>
      <w:r>
        <w:rPr>
          <w:rFonts w:ascii="Times New Roman" w:hAnsi="Times New Roman"/>
          <w:b w:val="false"/>
          <w:i w:val="false"/>
          <w:color w:val="000000"/>
          <w:sz w:val="22"/>
        </w:rPr>
        <w:t xml:space="preserve"> means a payment of moneys or other thing of value that is in addition to compensation received pursuant to any other permitted subject of negotiation specified in Iowa Code section </w:t>
      </w:r>
      <w:hyperlink r:id="rId19">
        <w:r>
          <w:rPr>
            <w:rStyle w:val="Hyperlink"/>
            <w:rFonts w:ascii="Times New Roman" w:hAnsi="Times New Roman"/>
            <w:b w:val="false"/>
            <w:i w:val="false"/>
            <w:color w:val="000000"/>
            <w:sz w:val="22"/>
          </w:rPr>
          <w:t>20.9</w:t>
        </w:r>
      </w:hyperlink>
      <w:r>
        <w:rPr>
          <w:rFonts w:ascii="Times New Roman" w:hAnsi="Times New Roman"/>
          <w:b w:val="false"/>
          <w:i w:val="false"/>
          <w:color w:val="000000"/>
          <w:sz w:val="22"/>
        </w:rPr>
        <w:t xml:space="preserve"> and is related to the employment relationship.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621—1.7</w:t>
      </w:r>
      <w:r>
        <w:rPr>
          <w:rFonts w:ascii="Times New Roman" w:hAnsi="Times New Roman"/>
          <w:b/>
          <w:i w:val="false"/>
          <w:color w:val="000000"/>
          <w:sz w:val="22"/>
        </w:rPr>
        <w:t xml:space="preserve">(20) </w:t>
      </w:r>
      <w:r>
        <w:rPr>
          <w:rFonts w:ascii="Times New Roman" w:hAnsi="Times New Roman"/>
          <w:b/>
          <w:i w:val="false"/>
          <w:color w:val="000000"/>
          <w:sz w:val="22"/>
        </w:rPr>
        <w:t xml:space="preserve">Computation of time. </w:t>
      </w:r>
      <w:r>
        <w:rPr>
          <w:rFonts w:ascii="Times New Roman" w:hAnsi="Times New Roman"/>
          <w:b w:val="false"/>
          <w:i w:val="false"/>
          <w:color w:val="000000"/>
          <w:sz w:val="22"/>
        </w:rPr>
        <w:t xml:space="preserve">Time periods established by these rules shall be computed pursuant to Iowa Code section </w:t>
      </w:r>
      <w:hyperlink r:id="rId20">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621—1.8</w:t>
      </w:r>
      <w:r>
        <w:rPr>
          <w:rFonts w:ascii="Times New Roman" w:hAnsi="Times New Roman"/>
          <w:b/>
          <w:i w:val="false"/>
          <w:color w:val="000000"/>
          <w:sz w:val="22"/>
        </w:rPr>
        <w:t xml:space="preserve">(20,279) </w:t>
      </w:r>
      <w:r>
        <w:rPr>
          <w:rFonts w:ascii="Times New Roman" w:hAnsi="Times New Roman"/>
          <w:b/>
          <w:i w:val="false"/>
          <w:color w:val="000000"/>
          <w:sz w:val="22"/>
        </w:rPr>
        <w:t xml:space="preserve">Fees of neutrals. </w:t>
      </w:r>
      <w:r>
        <w:rPr>
          <w:rFonts w:ascii="Times New Roman" w:hAnsi="Times New Roman"/>
          <w:b w:val="false"/>
          <w:i w:val="false"/>
          <w:color w:val="000000"/>
          <w:sz w:val="22"/>
        </w:rPr>
        <w:t>See rule 621—14.4(2).</w:t>
      </w:r>
    </w:p>
    <w:p>
      <w:pPr>
        <w:spacing w:before="0" w:after="0"/>
        <w:ind w:left="120"/>
        <w:jc w:val="both"/>
      </w:pPr>
      <w:r>
        <w:rPr>
          <w:rFonts w:ascii="Times New Roman" w:hAnsi="Times New Roman"/>
          <w:b/>
          <w:i w:val="false"/>
          <w:color w:val="000000"/>
          <w:sz w:val="22"/>
        </w:rPr>
        <w:t>621—1.9</w:t>
      </w:r>
      <w:r>
        <w:rPr>
          <w:rFonts w:ascii="Times New Roman" w:hAnsi="Times New Roman"/>
          <w:b/>
          <w:i w:val="false"/>
          <w:color w:val="000000"/>
          <w:sz w:val="22"/>
        </w:rPr>
        <w:t xml:space="preserve">(17A,20) </w:t>
      </w:r>
      <w:r>
        <w:rPr>
          <w:rFonts w:ascii="Times New Roman" w:hAnsi="Times New Roman"/>
          <w:b/>
          <w:i w:val="false"/>
          <w:color w:val="000000"/>
          <w:sz w:val="22"/>
        </w:rPr>
        <w:t xml:space="preserve">Waiver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as used in this rule means action by the board which suspends, in whole or in part, the requirements or provisions of a rule as applied to an identified individual or entity on the basis of the particular circumstances of that individual or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“Provision of law” </w:t>
      </w:r>
      <w:r>
        <w:rPr>
          <w:rFonts w:ascii="Times New Roman" w:hAnsi="Times New Roman"/>
          <w:b w:val="false"/>
          <w:i w:val="false"/>
          <w:color w:val="000000"/>
          <w:sz w:val="22"/>
        </w:rPr>
        <w:t xml:space="preserve">as used in this rule means a provision of law as defined by Iowa Code section </w:t>
      </w:r>
      <w:hyperlink r:id="rId21">
        <w:r>
          <w:rPr>
            <w:rStyle w:val="Hyperlink"/>
            <w:rFonts w:ascii="Times New Roman" w:hAnsi="Times New Roman"/>
            <w:b w:val="false"/>
            <w:i w:val="false"/>
            <w:color w:val="000000"/>
            <w:sz w:val="22"/>
          </w:rPr>
          <w:t>17A.2(10)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r>
        <w:rPr>
          <w:rFonts w:ascii="Times New Roman" w:hAnsi="Times New Roman"/>
          <w:b w:val="false"/>
          <w:i w:val="false"/>
          <w:color w:val="000000"/>
          <w:sz w:val="22"/>
        </w:rPr>
        <w:t>This rule creates a generally applicable process and specifies applicable criteria for granting individual waivers from rules adopted by the board in situations in which no other specifically applicable provision of law provides for waiver. To the extent another more specific provision of law governs the issuance of a waiver from a particular rule, the more specific waiver provision shall supersede this rule with respect to any waiver of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w:t>
      </w:r>
      <w:r>
        <w:rPr>
          <w:rFonts w:ascii="Times New Roman" w:hAnsi="Times New Roman"/>
          <w:b w:val="false"/>
          <w:i w:val="false"/>
          <w:color w:val="000000"/>
          <w:sz w:val="22"/>
        </w:rPr>
        <w:t> </w:t>
      </w:r>
      <w:r>
        <w:rPr>
          <w:rFonts w:ascii="Times New Roman" w:hAnsi="Times New Roman"/>
          <w:b w:val="false"/>
          <w:i/>
          <w:color w:val="000000"/>
          <w:sz w:val="22"/>
        </w:rPr>
        <w:t xml:space="preserve">When waiver unavailable. </w:t>
      </w:r>
      <w:r>
        <w:rPr>
          <w:rFonts w:ascii="Times New Roman" w:hAnsi="Times New Roman"/>
          <w:b w:val="false"/>
          <w:i w:val="false"/>
          <w:color w:val="000000"/>
          <w:sz w:val="22"/>
        </w:rPr>
        <w:t>No waiver may be granted pursuant to this rule unless the board has jurisdiction over the rule to which the waiver request applies and the requested waiver is consistent with any applicable statute, constitutional provision or other provision of law. The board may not waive requirements created or duties imposed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In response to a petition filed in accordance with this rule the board may, in its sole discretion, issue an order waiving the requirements of a rule or rules if the board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pose an undue hardship on the entity or individual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of the rule in the particular case would not prejudice the substantial legal rights of any individual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or rules to which the waiver request applies are not specifically mandated by statute or 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or rules to which the waiver request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 xml:space="preserve">All petitions requesting a waiver must be filed with the agency pursuant to 621—Chapter 16. If the petition relates to a pending contested case proceeding or a proceeding pending before the agency which could culminate in a contested case proceeding, the petition shall be filed in the case docketed in the agency’s electronic document management system (EDMS) and bear the caption of that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requesting a waiver shall be in writing and shall include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individual or entity requesting the waiver and of the individual’s or entity’s authorized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of the specific rules, rule or part thereof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precise scope and duration of the waiver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relevant facts the petitioner believes would justify a waiver under each of the criteria specified in subrule </w:t>
      </w:r>
      <w:hyperlink r:id="rId22">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 together with an affirmation signed by the petitioner attesting to the accuracy of the facts asserted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within the last five years by or between the board or its representatives and the petitioner concerning the matter which would be affected by the requested waiver, including references to all past or pending agency proceedings relating to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petitioner regarding the board’s treatment of waiver requests by similarly situated individuals or entities under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other governmental agency or entity which also regulates the activity in question or which might be affected by the granting of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individual or entity, public or private, which might be adversely affected by the granting of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individual with knowledge of the relevant facts relating to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individuals with knowledge of relevant facts relating to the requested waiver to furnish the board with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w:t>
      </w:r>
      <w:r>
        <w:rPr>
          <w:rFonts w:ascii="Times New Roman" w:hAnsi="Times New Roman"/>
          <w:b w:val="false"/>
          <w:i w:val="false"/>
          <w:color w:val="000000"/>
          <w:sz w:val="22"/>
        </w:rPr>
        <w:t> </w:t>
      </w:r>
      <w:r>
        <w:rPr>
          <w:rFonts w:ascii="Times New Roman" w:hAnsi="Times New Roman"/>
          <w:b w:val="false"/>
          <w:i/>
          <w:color w:val="000000"/>
          <w:sz w:val="22"/>
        </w:rPr>
        <w:t xml:space="preserve">Timing and effect of petition. </w:t>
      </w:r>
      <w:r>
        <w:rPr>
          <w:rFonts w:ascii="Times New Roman" w:hAnsi="Times New Roman"/>
          <w:b w:val="false"/>
          <w:i w:val="false"/>
          <w:color w:val="000000"/>
          <w:sz w:val="22"/>
        </w:rPr>
        <w:t>If the petition seeks waiver of a time requirement specified by a rule, it must be filed as soon as possible but, in every case, before the expiration of the time period sought to be waived. The filing of a petition does not itself stay the operation of any agency rule, including the rule which is the subject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w:t>
      </w:r>
      <w:r>
        <w:rPr>
          <w:rFonts w:ascii="Times New Roman" w:hAnsi="Times New Roman"/>
          <w:b w:val="false"/>
          <w:i w:val="false"/>
          <w:color w:val="000000"/>
          <w:sz w:val="22"/>
        </w:rPr>
        <w:t> </w:t>
      </w:r>
      <w:r>
        <w:rPr>
          <w:rFonts w:ascii="Times New Roman" w:hAnsi="Times New Roman"/>
          <w:b w:val="false"/>
          <w:i/>
          <w:color w:val="000000"/>
          <w:sz w:val="22"/>
        </w:rPr>
        <w:t xml:space="preserve">Service of petition. </w:t>
      </w:r>
      <w:r>
        <w:rPr>
          <w:rFonts w:ascii="Times New Roman" w:hAnsi="Times New Roman"/>
          <w:b w:val="false"/>
          <w:i w:val="false"/>
          <w:color w:val="000000"/>
          <w:sz w:val="22"/>
        </w:rPr>
        <w:t xml:space="preserve">The petitioner shall, within ten days of the filing of the petition, serve a copy thereof, in accordance with the provisions of rule </w:t>
      </w:r>
      <w:hyperlink r:id="rId23">
        <w:r>
          <w:rPr>
            <w:rStyle w:val="Hyperlink"/>
            <w:rFonts w:ascii="Times New Roman" w:hAnsi="Times New Roman"/>
            <w:b w:val="false"/>
            <w:i w:val="false"/>
            <w:color w:val="000000"/>
            <w:sz w:val="22"/>
          </w:rPr>
          <w:t>621—2.15(20)</w:t>
        </w:r>
      </w:hyperlink>
      <w:r>
        <w:rPr>
          <w:rFonts w:ascii="Times New Roman" w:hAnsi="Times New Roman"/>
          <w:b w:val="false"/>
          <w:i w:val="false"/>
          <w:color w:val="000000"/>
          <w:sz w:val="22"/>
        </w:rPr>
        <w:t>, upon all entities or individuals named in or potentially affected by the petition or to whom notice is required by any provision of law and shall file proof of such service with the board. The board may also give notice of the petition to other individuals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or other individuals or entities relating to the petition and the surrounding circumstances. Unless the petition is filed in a pending contested case proceeding, the board may, on its own motion or at the request of the petitioner or other interested individual or entity, schedule and conduct a telephonic or in-person meeting with the petitioner to discuss the request and surrounding circumstances and may include other interested individuals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w:t>
      </w:r>
      <w:r>
        <w:rPr>
          <w:rFonts w:ascii="Times New Roman" w:hAnsi="Times New Roman"/>
          <w:b w:val="false"/>
          <w:i w:val="false"/>
          <w:color w:val="000000"/>
          <w:sz w:val="22"/>
        </w:rPr>
        <w:t> </w:t>
      </w:r>
      <w:r>
        <w:rPr>
          <w:rFonts w:ascii="Times New Roman" w:hAnsi="Times New Roman"/>
          <w:b w:val="false"/>
          <w:i/>
          <w:color w:val="000000"/>
          <w:sz w:val="22"/>
        </w:rPr>
        <w:t xml:space="preserve">Procedure in contested cases. </w:t>
      </w:r>
      <w:r>
        <w:rPr>
          <w:rFonts w:ascii="Times New Roman" w:hAnsi="Times New Roman"/>
          <w:b w:val="false"/>
          <w:i w:val="false"/>
          <w:color w:val="000000"/>
          <w:sz w:val="22"/>
        </w:rPr>
        <w:t xml:space="preserve">The provisions of Iowa Code sections </w:t>
      </w:r>
      <w:hyperlink r:id="rId24">
        <w:r>
          <w:rPr>
            <w:rStyle w:val="Hyperlink"/>
            <w:rFonts w:ascii="Times New Roman" w:hAnsi="Times New Roman"/>
            <w:b w:val="false"/>
            <w:i w:val="false"/>
            <w:color w:val="000000"/>
            <w:sz w:val="22"/>
          </w:rPr>
          <w:t>17A.10 through 17A.18A</w:t>
        </w:r>
      </w:hyperlink>
      <w:r>
        <w:rPr>
          <w:rFonts w:ascii="Times New Roman" w:hAnsi="Times New Roman"/>
          <w:b w:val="false"/>
          <w:i w:val="false"/>
          <w:color w:val="000000"/>
          <w:sz w:val="22"/>
        </w:rPr>
        <w:t xml:space="preserve"> regarding contested case hearings shall apply to petitions for a waiver which are filed in a pending contested case proceeding, but shall otherwise apply to proceedings on such petitions only when required by statute or when the board so provides by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to grant or deny a waiver is vested in the board and shall be made wholly at its discretion following its consideration of all relevant factors, including the unique, individual circumstances set out in the petition. When the rule to which the petition relates establishes administrative deadlines, the board’s consideration shall include a balancing of the individual circumstances of the petitioner with the board’s policy favoring the uniform treatment of all similarly situated individuals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petitioner bears the burden of demonstrating, by clear and convincing evidence, that the board should exercise its discretion to grant a waiver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w:t>
      </w:r>
      <w:r>
        <w:rPr>
          <w:rFonts w:ascii="Times New Roman" w:hAnsi="Times New Roman"/>
          <w:b w:val="false"/>
          <w:i w:val="false"/>
          <w:color w:val="000000"/>
          <w:sz w:val="22"/>
        </w:rPr>
        <w:t> </w:t>
      </w:r>
      <w:r>
        <w:rPr>
          <w:rFonts w:ascii="Times New Roman" w:hAnsi="Times New Roman"/>
          <w:b w:val="false"/>
          <w:i/>
          <w:color w:val="000000"/>
          <w:sz w:val="22"/>
        </w:rPr>
        <w:t xml:space="preserve">Ruling on petition. </w:t>
      </w:r>
      <w:r>
        <w:rPr>
          <w:rFonts w:ascii="Times New Roman" w:hAnsi="Times New Roman"/>
          <w:b w:val="false"/>
          <w:i w:val="false"/>
          <w:color w:val="000000"/>
          <w:sz w:val="22"/>
        </w:rPr>
        <w:t>The board shall issue a written ruling which includes an order granting or denying the requested waiver. The ruling shall contain a statement of the relevant facts and reasons upon which the order is based and a description of the precise scope and duration of any waiver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will issue its ruling as soon as practicable, but shall do so within 120 days of its receipt of the petition unless the petitioner agrees to a later date. However, if the petition was filed in a contested case proceeding or in a pending agency proceeding which has subsequently become a contested case proceeding, ruling on the petition may be withheld until the issuance of the final agency decision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w:t>
      </w:r>
      <w:r>
        <w:rPr>
          <w:rFonts w:ascii="Times New Roman" w:hAnsi="Times New Roman"/>
          <w:b w:val="false"/>
          <w:i w:val="false"/>
          <w:color w:val="000000"/>
          <w:sz w:val="22"/>
        </w:rPr>
        <w:t> </w:t>
      </w:r>
      <w:r>
        <w:rPr>
          <w:rFonts w:ascii="Times New Roman" w:hAnsi="Times New Roman"/>
          <w:b w:val="false"/>
          <w:i/>
          <w:color w:val="000000"/>
          <w:sz w:val="22"/>
        </w:rPr>
        <w:t xml:space="preserve">Deemed denial of petition. </w:t>
      </w:r>
      <w:r>
        <w:rPr>
          <w:rFonts w:ascii="Times New Roman" w:hAnsi="Times New Roman"/>
          <w:b w:val="false"/>
          <w:i w:val="false"/>
          <w:color w:val="000000"/>
          <w:sz w:val="22"/>
        </w:rPr>
        <w:t xml:space="preserve">Failure by the board to grant or deny a petition within the time required by subrule </w:t>
      </w:r>
      <w:hyperlink r:id="rId25">
        <w:r>
          <w:rPr>
            <w:rStyle w:val="Hyperlink"/>
            <w:rFonts w:ascii="Times New Roman" w:hAnsi="Times New Roman"/>
            <w:b w:val="false"/>
            <w:i w:val="false"/>
            <w:color w:val="000000"/>
            <w:sz w:val="22"/>
          </w:rPr>
          <w:t>1.9(14)</w:t>
        </w:r>
      </w:hyperlink>
      <w:r>
        <w:rPr>
          <w:rFonts w:ascii="Times New Roman" w:hAnsi="Times New Roman"/>
          <w:b w:val="false"/>
          <w:i w:val="false"/>
          <w:color w:val="000000"/>
          <w:sz w:val="22"/>
        </w:rPr>
        <w:t xml:space="preserve"> shall be deemed a denial of the petition. However, notwithstanding such deemed denial, the board shall remain responsible for issuing a ruling pursuant to subrule </w:t>
      </w:r>
      <w:hyperlink r:id="rId26">
        <w:r>
          <w:rPr>
            <w:rStyle w:val="Hyperlink"/>
            <w:rFonts w:ascii="Times New Roman" w:hAnsi="Times New Roman"/>
            <w:b w:val="false"/>
            <w:i w:val="false"/>
            <w:color w:val="000000"/>
            <w:sz w:val="22"/>
          </w:rPr>
          <w:t>1.9(13)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w:t>
      </w:r>
      <w:r>
        <w:rPr>
          <w:rFonts w:ascii="Times New Roman" w:hAnsi="Times New Roman"/>
          <w:b w:val="false"/>
          <w:i w:val="false"/>
          <w:color w:val="000000"/>
          <w:sz w:val="22"/>
        </w:rPr>
        <w:t> </w:t>
      </w:r>
      <w:r>
        <w:rPr>
          <w:rFonts w:ascii="Times New Roman" w:hAnsi="Times New Roman"/>
          <w:b w:val="false"/>
          <w:i/>
          <w:color w:val="000000"/>
          <w:sz w:val="22"/>
        </w:rPr>
        <w:t xml:space="preserve">Scope and conditions of waiver. </w:t>
      </w:r>
      <w:r>
        <w:rPr>
          <w:rFonts w:ascii="Times New Roman" w:hAnsi="Times New Roman"/>
          <w:b w:val="false"/>
          <w:i w:val="false"/>
          <w:color w:val="000000"/>
          <w:sz w:val="22"/>
        </w:rPr>
        <w:t>Any waiver granted shall provide the narrowest exception possible to the provisions of the rule being waived. The board may include as a part of its granting of a waiver such conditions as it finds desirable to protect the public welfare or to achieve through alternative means the objectives of the particular rules, rule or part thereof being waived. A waiver shall not be permanent unless the petitioner has shown that a temporary waiver would be impracticable. Should a temporary waiver be granted, there is no automatic right to its renewal. A waiver may be renewed, in the sole discretion of the board, upon the filing and service of a petition for renewal which complies with the provisions of this rule and a finding by the board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1.9(17)</w:t>
      </w:r>
      <w:r>
        <w:rPr>
          <w:rFonts w:ascii="Times New Roman" w:hAnsi="Times New Roman"/>
          <w:b w:val="false"/>
          <w:i w:val="false"/>
          <w:color w:val="000000"/>
          <w:sz w:val="22"/>
        </w:rPr>
        <w:t> </w:t>
      </w:r>
      <w:r>
        <w:rPr>
          <w:rFonts w:ascii="Times New Roman" w:hAnsi="Times New Roman"/>
          <w:b w:val="false"/>
          <w:i/>
          <w:color w:val="000000"/>
          <w:sz w:val="22"/>
        </w:rPr>
        <w:t xml:space="preserve">Service of ruling. </w:t>
      </w:r>
      <w:r>
        <w:rPr>
          <w:rFonts w:ascii="Times New Roman" w:hAnsi="Times New Roman"/>
          <w:b w:val="false"/>
          <w:i w:val="false"/>
          <w:color w:val="000000"/>
          <w:sz w:val="22"/>
        </w:rPr>
        <w:t>Within seven days of its issuance, the board’s ruling on the petition shall be served by the board by ordinary mail upon any entity or individual to whom the ruling pertains and any other individuals or entities entitled to notice pursuant to any other provision of law if the individuals or entity representatives have not filed appearances in the case to receive service by EDMS.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w:t>
      </w:r>
      <w:r>
        <w:rPr>
          <w:rFonts w:ascii="Times New Roman" w:hAnsi="Times New Roman"/>
          <w:b w:val="false"/>
          <w:i w:val="false"/>
          <w:color w:val="000000"/>
          <w:sz w:val="22"/>
        </w:rPr>
        <w:t> </w:t>
      </w:r>
      <w:r>
        <w:rPr>
          <w:rFonts w:ascii="Times New Roman" w:hAnsi="Times New Roman"/>
          <w:b w:val="false"/>
          <w:i/>
          <w:color w:val="000000"/>
          <w:sz w:val="22"/>
        </w:rPr>
        <w:t xml:space="preserve">Indexing and public availability. </w:t>
      </w:r>
      <w:r>
        <w:rPr>
          <w:rFonts w:ascii="Times New Roman" w:hAnsi="Times New Roman"/>
          <w:b w:val="false"/>
          <w:i w:val="false"/>
          <w:color w:val="000000"/>
          <w:sz w:val="22"/>
        </w:rPr>
        <w:t xml:space="preserve">The board shall maintain a record of all rulings on petitions filed pursuant to this rule, which shall be indexed and available for public inspection at the board’s offices subject to the provisions of Iowa Code section </w:t>
      </w:r>
      <w:hyperlink r:id="rId2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Because petitions and rulings may contain information which the board is authorized or required to keep confidential, the board may redact such confidential information from such petitions and rulings prior to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1.9(19)</w:t>
      </w:r>
      <w:r>
        <w:rPr>
          <w:rFonts w:ascii="Times New Roman" w:hAnsi="Times New Roman"/>
          <w:b w:val="false"/>
          <w:i w:val="false"/>
          <w:color w:val="000000"/>
          <w:sz w:val="22"/>
        </w:rPr>
        <w:t> </w:t>
      </w:r>
      <w:r>
        <w:rPr>
          <w:rFonts w:ascii="Times New Roman" w:hAnsi="Times New Roman"/>
          <w:b w:val="false"/>
          <w:i/>
          <w:color w:val="000000"/>
          <w:sz w:val="22"/>
        </w:rPr>
        <w:t xml:space="preserve">Effect of waiver. </w:t>
      </w:r>
      <w:r>
        <w:rPr>
          <w:rFonts w:ascii="Times New Roman" w:hAnsi="Times New Roman"/>
          <w:b w:val="false"/>
          <w:i w:val="false"/>
          <w:color w:val="000000"/>
          <w:sz w:val="22"/>
        </w:rPr>
        <w:t>Any waiver granted by the board shall constitute a defense, within the terms and the specific facts set forth therein, for the entity or individual to whom the waiver pertains in any proceeding in which the rule in question is sought to be invoked. The waiver is effective only as to the entity or individual to whom it was granted, is not assignable and does not inure to the benefit of the individual’s or entity’s successor(s) in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1.9(20)</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waiver. </w:t>
      </w:r>
      <w:r>
        <w:rPr>
          <w:rFonts w:ascii="Times New Roman" w:hAnsi="Times New Roman"/>
          <w:b w:val="false"/>
          <w:i w:val="false"/>
          <w:color w:val="000000"/>
          <w:sz w:val="22"/>
        </w:rPr>
        <w:t>A waiver granted pursuant to this rule may be canceled, withdrawn or modified if, after appropriate notice and hearing, the board finds: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entity or individual who requested or was the subject of the waiver withheld from or knowingly misrepresented to the board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welfare will be adequately protected and the purposes of the rule or set of rules waived will be adequately served after issuance of the waiver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has failed to comply with all of the conditions specified in the order granting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A violation of a condition specified in an order granting a waiver shall be treated as a violation of the particular rules, rule or portion thereof waived by the board. As a result, the recipient of a waiver under this rule who violates such a condition may be subject to the same remedies or penalties as an entity or individual who violates the rules, rule or portion thereof waived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intra-agency or judicial review of rulings granting or denying waivers pursuant to this rule shall be in accordance with other applicable board rules and Iowa Code chapter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w:t>
      </w:r>
      <w:r>
        <w:rPr>
          <w:rFonts w:ascii="Times New Roman" w:hAnsi="Times New Roman"/>
          <w:b w:val="false"/>
          <w:i w:val="false"/>
          <w:color w:val="000000"/>
          <w:sz w:val="22"/>
        </w:rPr>
        <w:t> </w:t>
      </w:r>
      <w:r>
        <w:rPr>
          <w:rFonts w:ascii="Times New Roman" w:hAnsi="Times New Roman"/>
          <w:b w:val="false"/>
          <w:i/>
          <w:color w:val="000000"/>
          <w:sz w:val="22"/>
        </w:rPr>
        <w:t xml:space="preserve">Summary reports. </w:t>
      </w:r>
      <w:r>
        <w:rPr>
          <w:rFonts w:ascii="Times New Roman" w:hAnsi="Times New Roman"/>
          <w:b w:val="false"/>
          <w:i w:val="false"/>
          <w:color w:val="000000"/>
          <w:sz w:val="22"/>
        </w:rPr>
        <w:t>All orders granting or denying a waiver pursuant to this rule shall be submitted pursuant to Iowa Code section 17A.9A.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621—1.10</w:t>
      </w:r>
      <w:r>
        <w:rPr>
          <w:rFonts w:ascii="Times New Roman" w:hAnsi="Times New Roman"/>
          <w:b/>
          <w:i w:val="false"/>
          <w:color w:val="000000"/>
          <w:sz w:val="22"/>
        </w:rPr>
        <w:t xml:space="preserve">(20) </w:t>
      </w:r>
      <w:r>
        <w:rPr>
          <w:rFonts w:ascii="Times New Roman" w:hAnsi="Times New Roman"/>
          <w:b/>
          <w:i w:val="false"/>
          <w:color w:val="000000"/>
          <w:sz w:val="22"/>
        </w:rPr>
        <w:t xml:space="preserve">Agency record and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w:t>
      </w:r>
      <w:r>
        <w:rPr>
          <w:rFonts w:ascii="Times New Roman" w:hAnsi="Times New Roman"/>
          <w:b w:val="false"/>
          <w:i w:val="false"/>
          <w:color w:val="000000"/>
          <w:sz w:val="22"/>
        </w:rPr>
        <w:t> </w:t>
      </w:r>
      <w:r>
        <w:rPr>
          <w:rFonts w:ascii="Times New Roman" w:hAnsi="Times New Roman"/>
          <w:b w:val="false"/>
          <w:i/>
          <w:color w:val="000000"/>
          <w:sz w:val="22"/>
        </w:rPr>
        <w:t xml:space="preserve">Agency record. </w:t>
      </w:r>
      <w:r>
        <w:rPr>
          <w:rFonts w:ascii="Times New Roman" w:hAnsi="Times New Roman"/>
          <w:b w:val="false"/>
          <w:i w:val="false"/>
          <w:color w:val="000000"/>
          <w:sz w:val="22"/>
        </w:rPr>
        <w:t>The official agency record for all adjudicatory proceedings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Electronic files maintained in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Paper documents maintained by the agency in paper form when permitted by the board’s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Exhibits and other materials filed with or delivered to and maintained by the agency as part of the case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w:t>
      </w:r>
      <w:r>
        <w:rPr>
          <w:rFonts w:ascii="Times New Roman" w:hAnsi="Times New Roman"/>
          <w:b w:val="false"/>
          <w:i w:val="false"/>
          <w:color w:val="000000"/>
          <w:sz w:val="22"/>
        </w:rPr>
        <w:t> </w:t>
      </w:r>
      <w:r>
        <w:rPr>
          <w:rFonts w:ascii="Times New Roman" w:hAnsi="Times New Roman"/>
          <w:b w:val="false"/>
          <w:i/>
          <w:color w:val="000000"/>
          <w:sz w:val="22"/>
        </w:rPr>
        <w:t xml:space="preserve">Paper case files. </w:t>
      </w:r>
      <w:r>
        <w:rPr>
          <w:rFonts w:ascii="Times New Roman" w:hAnsi="Times New Roman"/>
          <w:b w:val="false"/>
          <w:i w:val="false"/>
          <w:color w:val="000000"/>
          <w:sz w:val="22"/>
        </w:rPr>
        <w:t>Except as otherwise provided in the agency’s rules or directed by the board, the agency will not maintain paper case files in adjudicatory proceedings filed on or after January 1, 2015.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chapter </w:t>
      </w:r>
      <w:hyperlink r:id="rId30">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March 4, 1975]</w:t>
      </w:r>
    </w:p>
    <w:p>
      <w:pPr>
        <w:spacing w:before="0" w:after="0"/>
        <w:ind w:left="120"/>
        <w:jc w:val="center"/>
      </w:pPr>
      <w:r>
        <w:rPr>
          <w:rFonts w:ascii="Times New Roman" w:hAnsi="Times New Roman"/>
          <w:b w:val="false"/>
          <w:i w:val="false"/>
          <w:color w:val="000000"/>
          <w:sz w:val="21"/>
        </w:rPr>
        <w:t>[Filed 2/3/78, Notice 12/28/77—published 2/22/78, effective 3/29/78]</w:t>
      </w:r>
    </w:p>
    <w:p>
      <w:pPr>
        <w:spacing w:before="0" w:after="0"/>
        <w:ind w:left="120"/>
        <w:jc w:val="center"/>
      </w:pPr>
      <w:r>
        <w:rPr>
          <w:rFonts w:ascii="Times New Roman" w:hAnsi="Times New Roman"/>
          <w:b w:val="false"/>
          <w:i w:val="false"/>
          <w:color w:val="000000"/>
          <w:sz w:val="21"/>
        </w:rPr>
        <w:t>[Filed 11/7/80, Notice 9/17/80—published 11/26/80, effective 12/31/80]</w:t>
      </w:r>
    </w:p>
    <w:p>
      <w:pPr>
        <w:spacing w:before="0" w:after="0"/>
        <w:ind w:left="120"/>
        <w:jc w:val="center"/>
      </w:pPr>
      <w:r>
        <w:rPr>
          <w:rFonts w:ascii="Times New Roman" w:hAnsi="Times New Roman"/>
          <w:b w:val="false"/>
          <w:i w:val="false"/>
          <w:color w:val="000000"/>
          <w:sz w:val="21"/>
        </w:rPr>
        <w:t>[Filed 10/9/86, Notice 8/27/86—published 11/5/86, effective 12/10/86]</w:t>
      </w:r>
    </w:p>
    <w:p>
      <w:pPr>
        <w:spacing w:before="0" w:after="0"/>
        <w:ind w:left="120"/>
        <w:jc w:val="center"/>
      </w:pPr>
      <w:r>
        <w:rPr>
          <w:rFonts w:ascii="Times New Roman" w:hAnsi="Times New Roman"/>
          <w:b w:val="false"/>
          <w:i w:val="false"/>
          <w:color w:val="000000"/>
          <w:sz w:val="21"/>
        </w:rPr>
        <w:t>[Filed 2/1/89, Notice 12/28/88—published 2/22/89, effective 3/30/89]</w:t>
      </w:r>
    </w:p>
    <w:p>
      <w:pPr>
        <w:spacing w:before="0" w:after="0"/>
        <w:ind w:left="120"/>
        <w:jc w:val="center"/>
      </w:pPr>
      <w:r>
        <w:rPr>
          <w:rFonts w:ascii="Times New Roman" w:hAnsi="Times New Roman"/>
          <w:b w:val="false"/>
          <w:i w:val="false"/>
          <w:color w:val="000000"/>
          <w:sz w:val="21"/>
        </w:rPr>
        <w:t>[Filed 10/24/90, Notice 9/19/90—published 11/14/90, effective 12/19/90]</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1/22/97, Notice 12/18/96—published 2/12/97, effective 3/19/97]</w:t>
      </w:r>
    </w:p>
    <w:p>
      <w:pPr>
        <w:spacing w:before="0" w:after="0"/>
        <w:ind w:left="120"/>
        <w:jc w:val="center"/>
      </w:pPr>
      <w:r>
        <w:rPr>
          <w:rFonts w:ascii="Times New Roman" w:hAnsi="Times New Roman"/>
          <w:b w:val="false"/>
          <w:i w:val="false"/>
          <w:color w:val="000000"/>
          <w:sz w:val="21"/>
        </w:rPr>
        <w:t>[Filed 4/15/99, Notice 3/10/99—published 5/5/99, effective 7/1/99]</w:t>
      </w:r>
    </w:p>
    <w:p>
      <w:pPr>
        <w:spacing w:before="0" w:after="0"/>
        <w:ind w:left="120"/>
        <w:jc w:val="center"/>
      </w:pPr>
      <w:r>
        <w:rPr>
          <w:rFonts w:ascii="Times New Roman" w:hAnsi="Times New Roman"/>
          <w:b w:val="false"/>
          <w:i w:val="false"/>
          <w:color w:val="000000"/>
          <w:sz w:val="21"/>
        </w:rPr>
        <w:t>[Filed 4/11/01, Notice 2/21/01—published 5/2/01, effective 6/6/01]</w:t>
      </w:r>
    </w:p>
    <w:p>
      <w:pPr>
        <w:spacing w:before="0" w:after="0"/>
        <w:ind w:left="120"/>
        <w:jc w:val="center"/>
      </w:pPr>
      <w:r>
        <w:rPr>
          <w:rFonts w:ascii="Times New Roman" w:hAnsi="Times New Roman"/>
          <w:b w:val="false"/>
          <w:i w:val="false"/>
          <w:color w:val="000000"/>
          <w:sz w:val="21"/>
        </w:rPr>
        <w:t>[Filed 8/16/01, Notice 6/13/01—published 9/5/01, effective 10/10/01]</w:t>
      </w:r>
    </w:p>
    <w:p>
      <w:pPr>
        <w:spacing w:before="0" w:after="0"/>
        <w:ind w:left="120"/>
        <w:jc w:val="center"/>
      </w:pPr>
      <w:r>
        <w:rPr>
          <w:rFonts w:ascii="Times New Roman" w:hAnsi="Times New Roman"/>
          <w:b w:val="false"/>
          <w:i w:val="false"/>
          <w:color w:val="000000"/>
          <w:sz w:val="21"/>
        </w:rPr>
        <w:t>[Filed emergency 7/1/04—published 7/21/04, effective 7/30/04]</w:t>
      </w:r>
    </w:p>
    <w:p>
      <w:pPr>
        <w:spacing w:before="0" w:after="0"/>
        <w:ind w:left="120"/>
        <w:jc w:val="center"/>
      </w:pPr>
      <w:r>
        <w:rPr>
          <w:rFonts w:ascii="Times New Roman" w:hAnsi="Times New Roman"/>
          <w:b w:val="false"/>
          <w:i w:val="false"/>
          <w:color w:val="000000"/>
          <w:sz w:val="21"/>
        </w:rPr>
        <w:t>[Filed 9/19/07, Notice 8/15/07—published 10/10/07, effective 11/14/07]</w:t>
      </w:r>
    </w:p>
    <w:p>
      <w:pPr>
        <w:spacing w:before="0" w:after="0"/>
        <w:ind w:left="120"/>
        <w:jc w:val="center"/>
      </w:pPr>
      <w:r>
        <w:rPr>
          <w:rFonts w:ascii="Times New Roman" w:hAnsi="Times New Roman"/>
          <w:b w:val="false"/>
          <w:i w:val="false"/>
          <w:color w:val="000000"/>
          <w:sz w:val="21"/>
        </w:rPr>
        <w:t>[Filed Without Notice ARC 8953B, IAB 7/28/10, effective 9/1/10]</w:t>
      </w:r>
    </w:p>
    <w:p>
      <w:pPr>
        <w:spacing w:before="0" w:after="0"/>
        <w:ind w:left="120"/>
        <w:jc w:val="center"/>
      </w:pPr>
      <w:r>
        <w:rPr>
          <w:rFonts w:ascii="Times New Roman" w:hAnsi="Times New Roman"/>
          <w:b w:val="false"/>
          <w:i w:val="false"/>
          <w:color w:val="000000"/>
          <w:sz w:val="21"/>
        </w:rPr>
        <w:t>[Filed ARC 0395C</w:t>
      </w:r>
      <w:r>
        <w:rPr>
          <w:rFonts w:ascii="Times New Roman" w:hAnsi="Times New Roman"/>
          <w:b w:val="false"/>
          <w:i w:val="false"/>
          <w:color w:val="000000"/>
          <w:sz w:val="21"/>
        </w:rPr>
        <w:t xml:space="preserve"> (Notice ARC 0262C,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1583C</w:t>
      </w:r>
      <w:r>
        <w:rPr>
          <w:rFonts w:ascii="Times New Roman" w:hAnsi="Times New Roman"/>
          <w:b w:val="false"/>
          <w:i w:val="false"/>
          <w:color w:val="000000"/>
          <w:sz w:val="21"/>
        </w:rPr>
        <w:t xml:space="preserve"> (Notice ARC 1507C, IAB 6/25/14)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1642C</w:t>
      </w:r>
      <w:r>
        <w:rPr>
          <w:rFonts w:ascii="Times New Roman" w:hAnsi="Times New Roman"/>
          <w:b w:val="false"/>
          <w:i w:val="false"/>
          <w:color w:val="000000"/>
          <w:sz w:val="21"/>
        </w:rPr>
        <w:t xml:space="preserve"> (Notice ARC 1570C, IAB 8/6/14)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Emergency ARC 3278C, IAB 8/30/17, effective 8/10/17]</w:t>
      </w:r>
    </w:p>
    <w:p>
      <w:pPr>
        <w:spacing w:before="0" w:after="0"/>
        <w:ind w:left="120"/>
        <w:jc w:val="center"/>
      </w:pPr>
      <w:r>
        <w:rPr>
          <w:rFonts w:ascii="Times New Roman" w:hAnsi="Times New Roman"/>
          <w:b w:val="false"/>
          <w:i w:val="false"/>
          <w:color w:val="000000"/>
          <w:sz w:val="21"/>
        </w:rPr>
        <w:t>[Filed ARC 4457C</w:t>
      </w:r>
      <w:r>
        <w:rPr>
          <w:rFonts w:ascii="Times New Roman" w:hAnsi="Times New Roman"/>
          <w:b w:val="false"/>
          <w:i w:val="false"/>
          <w:color w:val="000000"/>
          <w:sz w:val="21"/>
        </w:rPr>
        <w:t xml:space="preserve"> (Notice ARC 4365C,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5631C</w:t>
      </w:r>
      <w:r>
        <w:rPr>
          <w:rFonts w:ascii="Times New Roman" w:hAnsi="Times New Roman"/>
          <w:b w:val="false"/>
          <w:i w:val="false"/>
          <w:color w:val="000000"/>
          <w:sz w:val="21"/>
        </w:rPr>
        <w:t xml:space="preserve"> (Notice ARC 5534C, IAB 3/24/21)</w:t>
      </w:r>
      <w:r>
        <w:rPr>
          <w:rFonts w:ascii="Times New Roman" w:hAnsi="Times New Roman"/>
          <w:b w:val="false"/>
          <w:i w:val="false"/>
          <w:color w:val="000000"/>
          <w:sz w:val="21"/>
        </w:rPr>
        <w:t>, IAB 5/19/21, effective 6/23/21]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0.pdf" Type="http://schemas.openxmlformats.org/officeDocument/2006/relationships/hyperlink" Id="rId6"/>
    <Relationship TargetMode="External" Target="https://www.legis.iowa.gov/docs/ico/chapter/20.13.pdf" Type="http://schemas.openxmlformats.org/officeDocument/2006/relationships/hyperlink" Id="rId7"/>
    <Relationship TargetMode="External" Target="https://www.legis.iowa.gov/docs/ico/chapter/20.14.pdf" Type="http://schemas.openxmlformats.org/officeDocument/2006/relationships/hyperlink" Id="rId8"/>
    <Relationship TargetMode="External" Target="https://www.legis.iowa.gov/docs/ico/chapter/20.11.pdf" Type="http://schemas.openxmlformats.org/officeDocument/2006/relationships/hyperlink" Id="rId9"/>
    <Relationship TargetMode="External" Target="https://www.legis.iowa.gov/docs/iac/rule/621.6.1.pdf" Type="http://schemas.openxmlformats.org/officeDocument/2006/relationships/hyperlink" Id="rId10"/>
    <Relationship TargetMode="External" Target="https://www.legis.iowa.gov/docs/ico/chapter/20.20.pdf" Type="http://schemas.openxmlformats.org/officeDocument/2006/relationships/hyperlink" Id="rId11"/>
    <Relationship TargetMode="External" Target="https://www.legis.iowa.gov/docs/ico/chapter/20.22.pdf" Type="http://schemas.openxmlformats.org/officeDocument/2006/relationships/hyperlink" Id="rId12"/>
    <Relationship TargetMode="External" Target="https://www.legis.iowa.gov/docs/ico/chapter/20.19.pdf" Type="http://schemas.openxmlformats.org/officeDocument/2006/relationships/hyperlink" Id="rId13"/>
    <Relationship TargetMode="External" Target="https://www.legis.iowa.gov/docs/ico/chapter/17A.2.pdf" Type="http://schemas.openxmlformats.org/officeDocument/2006/relationships/hyperlink" Id="rId14"/>
    <Relationship TargetMode="External" Target="https://www.legis.iowa.gov/docs/ico/chapter/80.15.pdf" Type="http://schemas.openxmlformats.org/officeDocument/2006/relationships/hyperlink" Id="rId15"/>
    <Relationship TargetMode="External" Target="https://www.legis.iowa.gov/docs/ico/chapter/456A.13.pdf" Type="http://schemas.openxmlformats.org/officeDocument/2006/relationships/hyperlink" Id="rId16"/>
    <Relationship TargetMode="External" Target="https://www.legis.iowa.gov/docs/ico/chapter/321.477.pdf" Type="http://schemas.openxmlformats.org/officeDocument/2006/relationships/hyperlink" Id="rId17"/>
    <Relationship TargetMode="External" Target="https://www.legis.iowa.gov/docs/ico/chapter/20.32.pdf" Type="http://schemas.openxmlformats.org/officeDocument/2006/relationships/hyperlink" Id="rId18"/>
    <Relationship TargetMode="External" Target="https://www.legis.iowa.gov/docs/ico/chapter/20.pdf" Type="http://schemas.openxmlformats.org/officeDocument/2006/relationships/hyperlink" Id="rId19"/>
    <Relationship TargetMode="External" Target="https://www.legis.iowa.gov/docs/ico/chapter/4.1.pdf" Type="http://schemas.openxmlformats.org/officeDocument/2006/relationships/hyperlink" Id="rId20"/>
    <Relationship TargetMode="External" Target="https://www.legis.iowa.gov/docs/ico/chapter/17A.2.pdf" Type="http://schemas.openxmlformats.org/officeDocument/2006/relationships/hyperlink" Id="rId21"/>
    <Relationship TargetMode="External" Target="https://www.legis.iowa.gov/docs/iac/rule/621.1.9.pdf" Type="http://schemas.openxmlformats.org/officeDocument/2006/relationships/hyperlink" Id="rId22"/>
    <Relationship TargetMode="External" Target="https://www.legis.iowa.gov/docs/iac/rule/621.2.15.pdf" Type="http://schemas.openxmlformats.org/officeDocument/2006/relationships/hyperlink" Id="rId23"/>
    <Relationship TargetMode="External" Target="https://www.legis.iowa.gov/docs/ico/chapter/17A.10-18A.pdf" Type="http://schemas.openxmlformats.org/officeDocument/2006/relationships/hyperlink" Id="rId24"/>
    <Relationship TargetMode="External" Target="https://www.legis.iowa.gov/docs/iac/rule/621.1.9.pdf" Type="http://schemas.openxmlformats.org/officeDocument/2006/relationships/hyperlink" Id="rId25"/>
    <Relationship TargetMode="External" Target="https://www.legis.iowa.gov/docs/iac/rule/621.1.9.pdf" Type="http://schemas.openxmlformats.org/officeDocument/2006/relationships/hyperlink" Id="rId26"/>
    <Relationship TargetMode="External" Target="https://www.legis.iowa.gov/docs/ico/chapter/17A.3.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17A.9A.pdf" Type="http://schemas.openxmlformats.org/officeDocument/2006/relationships/hyperlink" Id="rId29"/>
    <Relationship TargetMode="External" Target="https://www.legis.iowa.gov/docs/ico/chapter/20.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