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RULES OF PRACTICE IN 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8/27/30</w:t>
      </w:r>
    </w:p>
    <w:p>
      <w:pPr>
        <w:spacing w:before="0" w:after="0"/>
        <w:ind w:left="120"/>
        <w:jc w:val="both"/>
      </w:pPr>
      <w:r>
        <w:rPr>
          <w:rFonts w:ascii="Times New Roman" w:hAnsi="Times New Roman"/>
          <w:b/>
          <w:i w:val="false"/>
          <w:color w:val="000000"/>
          <w:sz w:val="22"/>
        </w:rPr>
        <w:t>561—7.1</w:t>
      </w:r>
      <w:r>
        <w:rPr>
          <w:rFonts w:ascii="Times New Roman" w:hAnsi="Times New Roman"/>
          <w:b/>
          <w:i w:val="false"/>
          <w:color w:val="000000"/>
          <w:sz w:val="22"/>
        </w:rPr>
        <w:t xml:space="preserve">(17A,455A)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 xml:space="preserve">This chapter applies to contested case proceedings conducted by the department of natural resources, as defined in rule </w:t>
      </w:r>
      <w:hyperlink r:id="rId5">
        <w:r>
          <w:rPr>
            <w:rStyle w:val="Hyperlink"/>
            <w:rFonts w:ascii="Times New Roman" w:hAnsi="Times New Roman"/>
            <w:b w:val="false"/>
            <w:i w:val="false"/>
            <w:color w:val="000000"/>
            <w:sz w:val="22"/>
          </w:rPr>
          <w:t>561—7.2</w:t>
        </w:r>
      </w:hyperlink>
      <w:r>
        <w:rPr>
          <w:rFonts w:ascii="Times New Roman" w:hAnsi="Times New Roman"/>
          <w:b w:val="false"/>
          <w:i w:val="false"/>
          <w:color w:val="000000"/>
          <w:sz w:val="22"/>
        </w:rPr>
        <w:t xml:space="preserve">(17A,455A). Nothing in this chapter shall be construed to grant a right to a contested case proceeding when the Iowa Code does not specifically provide for a contested case, except that vendor appeal contested case proceedings may be conducted according to the provisions of </w:t>
      </w:r>
      <w:hyperlink r:id="rId6">
        <w:r>
          <w:rPr>
            <w:rStyle w:val="Hyperlink"/>
            <w:rFonts w:ascii="Times New Roman" w:hAnsi="Times New Roman"/>
            <w:b w:val="false"/>
            <w:i w:val="false"/>
            <w:color w:val="000000"/>
            <w:sz w:val="22"/>
          </w:rPr>
          <w:t>561—Chapter 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561—7.2</w:t>
      </w:r>
      <w:r>
        <w:rPr>
          <w:rFonts w:ascii="Times New Roman" w:hAnsi="Times New Roman"/>
          <w:b/>
          <w:i w:val="false"/>
          <w:color w:val="000000"/>
          <w:sz w:val="22"/>
        </w:rPr>
        <w:t xml:space="preserve">(17A,455A)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commission or the director, as appropriate, having statutory jurisdiction over a particular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natural resource commission or the environmental protection commission, as designated in Iowa Code chapter </w:t>
      </w:r>
      <w:hyperlink r:id="rId7">
        <w:r>
          <w:rPr>
            <w:rStyle w:val="Hyperlink"/>
            <w:rFonts w:ascii="Times New Roman" w:hAnsi="Times New Roman"/>
            <w:b w:val="false"/>
            <w:i w:val="false"/>
            <w:color w:val="000000"/>
            <w:sz w:val="22"/>
          </w:rPr>
          <w:t>455A</w:t>
        </w:r>
      </w:hyperlink>
      <w:r>
        <w:rPr>
          <w:rFonts w:ascii="Times New Roman" w:hAnsi="Times New Roman"/>
          <w:b w:val="false"/>
          <w:i w:val="false"/>
          <w:color w:val="000000"/>
          <w:sz w:val="22"/>
        </w:rPr>
        <w:t xml:space="preserve"> as having appellate jurisdiction over a particular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8">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9">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an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a person named and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means an administrative law judge employed by the department of inspections, appeals, and licensing or the agency, as provided in rule </w:t>
      </w:r>
      <w:hyperlink r:id="rId10">
        <w:r>
          <w:rPr>
            <w:rStyle w:val="Hyperlink"/>
            <w:rFonts w:ascii="Times New Roman" w:hAnsi="Times New Roman"/>
            <w:b w:val="false"/>
            <w:i w:val="false"/>
            <w:color w:val="000000"/>
            <w:sz w:val="22"/>
          </w:rPr>
          <w:t>561—7.7</w:t>
        </w:r>
      </w:hyperlink>
      <w:r>
        <w:rPr>
          <w:rFonts w:ascii="Times New Roman" w:hAnsi="Times New Roman"/>
          <w:b w:val="false"/>
          <w:i w:val="false"/>
          <w:color w:val="000000"/>
          <w:sz w:val="22"/>
        </w:rPr>
        <w:t>(17A,455A).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agency did not preside.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561—7.3</w:t>
      </w:r>
      <w:r>
        <w:rPr>
          <w:rFonts w:ascii="Times New Roman" w:hAnsi="Times New Roman"/>
          <w:b/>
          <w:i w:val="false"/>
          <w:color w:val="000000"/>
          <w:sz w:val="22"/>
        </w:rPr>
        <w:t xml:space="preserve">(17A,455A)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 xml:space="preserve">Time shall be computed as provided in Iowa Code section </w:t>
      </w:r>
      <w:hyperlink r:id="rId11">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Change. </w:t>
      </w:r>
      <w:r>
        <w:rPr>
          <w:rFonts w:ascii="Times New Roman" w:hAnsi="Times New Roman"/>
          <w:b w:val="false"/>
          <w:i w:val="false"/>
          <w:color w:val="000000"/>
          <w:sz w:val="22"/>
        </w:rPr>
        <w:t>Except for good cause stated in the record, the presiding officer shall afford all parties an opportunity to be heard or to file written arguments before extending or shortening the time to take any action. When by these rules, or by notice given under them, an act is required or allowed to be done within a specified period of time, the presiding officer may, at any time, exercise discretion and may with or without motion or notice, for good cause, order the period extended if a request is made before the expiration of the period originally prescribed or as extended by a previous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Mail. </w:t>
      </w:r>
      <w:r>
        <w:rPr>
          <w:rFonts w:ascii="Times New Roman" w:hAnsi="Times New Roman"/>
          <w:b w:val="false"/>
          <w:i w:val="false"/>
          <w:color w:val="000000"/>
          <w:sz w:val="22"/>
        </w:rPr>
        <w:t>Any documents filed with the department by mail pursuant to these rules shall be deemed filed on the date of postmark.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561—7.4</w:t>
      </w:r>
      <w:r>
        <w:rPr>
          <w:rFonts w:ascii="Times New Roman" w:hAnsi="Times New Roman"/>
          <w:b/>
          <w:i w:val="false"/>
          <w:color w:val="000000"/>
          <w:sz w:val="22"/>
        </w:rPr>
        <w:t xml:space="preserve">(17A,455A) </w:t>
      </w:r>
      <w:r>
        <w:rPr>
          <w:rFonts w:ascii="Times New Roman" w:hAnsi="Times New Roman"/>
          <w:b/>
          <w:i w:val="false"/>
          <w:color w:val="000000"/>
          <w:sz w:val="22"/>
        </w:rPr>
        <w:t xml:space="preserve">Appeal of agency action (requests to initiate contested case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order issued by the director of the department shall comply with the requirements established in Iowa Code section </w:t>
      </w:r>
      <w:hyperlink r:id="rId12">
        <w:r>
          <w:rPr>
            <w:rStyle w:val="Hyperlink"/>
            <w:rFonts w:ascii="Times New Roman" w:hAnsi="Times New Roman"/>
            <w:b w:val="false"/>
            <w:i w:val="false"/>
            <w:color w:val="000000"/>
            <w:sz w:val="22"/>
          </w:rPr>
          <w:t>455B.110</w:t>
        </w:r>
      </w:hyperlink>
      <w:r>
        <w:rPr>
          <w:rFonts w:ascii="Times New Roman" w:hAnsi="Times New Roman"/>
          <w:b w:val="false"/>
          <w:i w:val="false"/>
          <w:color w:val="000000"/>
          <w:sz w:val="22"/>
        </w:rPr>
        <w:t xml:space="preserve"> and may be appealed. The written notice of appeal of the order must be received by the director within 60 days of proper issuance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appealing any other action by the department that is subject to appeal shall file a written notice of appeal within 60 days of the action, unless a shorter time period is specified by a particular statute or rule governing the subject matter of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otherwise stated in the order or notice provided, any written notice of appeal shall be filed with the director of the department, and a copy shall be sent to the legal services bureau chief.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Each appeal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specific portion or portions of the agency action that are being appealed,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reasons the specific agency action is being appealed.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561—7.5</w:t>
      </w:r>
      <w:r>
        <w:rPr>
          <w:rFonts w:ascii="Times New Roman" w:hAnsi="Times New Roman"/>
          <w:b/>
          <w:i w:val="false"/>
          <w:color w:val="000000"/>
          <w:sz w:val="22"/>
        </w:rPr>
        <w:t xml:space="preserve">(17A,455A) </w:t>
      </w:r>
      <w:r>
        <w:rPr>
          <w:rFonts w:ascii="Times New Roman" w:hAnsi="Times New Roman"/>
          <w:b/>
          <w:i w:val="false"/>
          <w:color w:val="000000"/>
          <w:sz w:val="22"/>
        </w:rPr>
        <w:t xml:space="preserve">Commencement of contested case—notice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Transmittal of appeal. </w:t>
      </w:r>
      <w:r>
        <w:rPr>
          <w:rFonts w:ascii="Times New Roman" w:hAnsi="Times New Roman"/>
          <w:b w:val="false"/>
          <w:i w:val="false"/>
          <w:color w:val="000000"/>
          <w:sz w:val="22"/>
        </w:rPr>
        <w:t xml:space="preserve">Except as provided in subrule </w:t>
      </w:r>
      <w:hyperlink r:id="rId13">
        <w:r>
          <w:rPr>
            <w:rStyle w:val="Hyperlink"/>
            <w:rFonts w:ascii="Times New Roman" w:hAnsi="Times New Roman"/>
            <w:b w:val="false"/>
            <w:i w:val="false"/>
            <w:color w:val="000000"/>
            <w:sz w:val="22"/>
          </w:rPr>
          <w:t>7.5(2)</w:t>
        </w:r>
      </w:hyperlink>
      <w:r>
        <w:rPr>
          <w:rFonts w:ascii="Times New Roman" w:hAnsi="Times New Roman"/>
          <w:b w:val="false"/>
          <w:i w:val="false"/>
          <w:color w:val="000000"/>
          <w:sz w:val="22"/>
        </w:rPr>
        <w:t>, the department shall transmit the appeal and request for a contested case proceeding to the department of inspections, appeals, and licensing, or shall otherwise transmit the appeal to the presiding officer, when it determines that the appeal was timely filed and the requester is entitled to a contested case proceeding. When the appeal is from an administrative order, the order shall be transmitted with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Petition from the department. </w:t>
      </w:r>
      <w:r>
        <w:rPr>
          <w:rFonts w:ascii="Times New Roman" w:hAnsi="Times New Roman"/>
          <w:b w:val="false"/>
          <w:i w:val="false"/>
          <w:color w:val="000000"/>
          <w:sz w:val="22"/>
        </w:rPr>
        <w:t xml:space="preserve">After the department seeks to suspend or revoke a permit or license, institute licensee disciplinary proceedings, or otherwise commence a contested case, it shall file a petition as described in subrule </w:t>
      </w:r>
      <w:hyperlink r:id="rId14">
        <w:r>
          <w:rPr>
            <w:rStyle w:val="Hyperlink"/>
            <w:rFonts w:ascii="Times New Roman" w:hAnsi="Times New Roman"/>
            <w:b w:val="false"/>
            <w:i w:val="false"/>
            <w:color w:val="000000"/>
            <w:sz w:val="22"/>
          </w:rPr>
          <w:t>7.12(1)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issued. </w:t>
      </w:r>
      <w:r>
        <w:rPr>
          <w:rFonts w:ascii="Times New Roman" w:hAnsi="Times New Roman"/>
          <w:b w:val="false"/>
          <w:i w:val="false"/>
          <w:color w:val="000000"/>
          <w:sz w:val="22"/>
        </w:rPr>
        <w:t>A contested case commences when a notice of hearing is delivered to a party. A notice of hearing will be prepared and issued by the presiding officer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receives a notice of appeal from a person other than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from the department is filed, as provided in subrule </w:t>
      </w:r>
      <w:hyperlink r:id="rId15">
        <w:r>
          <w:rPr>
            <w:rStyle w:val="Hyperlink"/>
            <w:rFonts w:ascii="Times New Roman" w:hAnsi="Times New Roman"/>
            <w:b w:val="false"/>
            <w:i w:val="false"/>
            <w:color w:val="000000"/>
            <w:sz w:val="22"/>
          </w:rPr>
          <w:t>7.5(2)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color w:val="000000"/>
          <w:sz w:val="22"/>
        </w:rPr>
        <w:t xml:space="preserve">Delivery of notice of hearing. </w:t>
      </w:r>
      <w:r>
        <w:rPr>
          <w:rFonts w:ascii="Times New Roman" w:hAnsi="Times New Roman"/>
          <w:b w:val="false"/>
          <w:i w:val="false"/>
          <w:color w:val="000000"/>
          <w:sz w:val="22"/>
        </w:rPr>
        <w:t>Delivery of the notice of hearing may occur by personal service or publication as provided in the Iowa Rules of Civil Procedure; by certified mail, return receipt requested; or as otherwise required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color w:val="000000"/>
          <w:sz w:val="22"/>
        </w:rPr>
        <w:t xml:space="preserve">Contents of notice of hearing.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parties, including the name, address and telephone number of the person who will act as advocate for the agency or the state and identification of all the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agency or other party is unable to state the matters in detail at the time the notice is served, then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or if not known, then a description of who will serve as presiding officer (e.g., agency head, members of multimembered agency head, or administrative law judge from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petition or answer must be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In those cases where the department files the petition pursuant to the provisions of subrule </w:t>
      </w:r>
      <w:hyperlink r:id="rId16">
        <w:r>
          <w:rPr>
            <w:rStyle w:val="Hyperlink"/>
            <w:rFonts w:ascii="Times New Roman" w:hAnsi="Times New Roman"/>
            <w:b w:val="false"/>
            <w:i w:val="false"/>
            <w:color w:val="000000"/>
            <w:sz w:val="22"/>
          </w:rPr>
          <w:t>7.5(2)</w:t>
        </w:r>
      </w:hyperlink>
      <w:r>
        <w:rPr>
          <w:rFonts w:ascii="Times New Roman" w:hAnsi="Times New Roman"/>
          <w:b w:val="false"/>
          <w:i w:val="false"/>
          <w:color w:val="000000"/>
          <w:sz w:val="22"/>
        </w:rPr>
        <w:t>, the notice shall include a copy of the petition and a statement that, in the event an answer is not timely filed in accordance with these rules, judgment may be entered for the relief requested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w:t>
      </w:r>
      <w:r>
        <w:rPr>
          <w:rFonts w:ascii="Times New Roman" w:hAnsi="Times New Roman"/>
          <w:b w:val="false"/>
          <w:i w:val="false"/>
          <w:color w:val="000000"/>
          <w:sz w:val="22"/>
        </w:rPr>
        <w:t> </w:t>
      </w:r>
      <w:r>
        <w:rPr>
          <w:rFonts w:ascii="Times New Roman" w:hAnsi="Times New Roman"/>
          <w:b w:val="false"/>
          <w:i/>
          <w:color w:val="000000"/>
          <w:sz w:val="22"/>
        </w:rPr>
        <w:t xml:space="preserve">Time for response to notice of hearing. </w:t>
      </w:r>
      <w:r>
        <w:rPr>
          <w:rFonts w:ascii="Times New Roman" w:hAnsi="Times New Roman"/>
          <w:b w:val="false"/>
          <w:i w:val="false"/>
          <w:color w:val="000000"/>
          <w:sz w:val="22"/>
        </w:rPr>
        <w:t xml:space="preserve">A person served with a notice of hearing shall file a petition or answer as required by subrule </w:t>
      </w:r>
      <w:hyperlink r:id="rId17">
        <w:r>
          <w:rPr>
            <w:rStyle w:val="Hyperlink"/>
            <w:rFonts w:ascii="Times New Roman" w:hAnsi="Times New Roman"/>
            <w:b w:val="false"/>
            <w:i w:val="false"/>
            <w:color w:val="000000"/>
            <w:sz w:val="22"/>
          </w:rPr>
          <w:t>7.12(1)</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7.12(2)</w:t>
        </w:r>
      </w:hyperlink>
      <w:r>
        <w:rPr>
          <w:rFonts w:ascii="Times New Roman" w:hAnsi="Times New Roman"/>
          <w:b w:val="false"/>
          <w:i w:val="false"/>
          <w:color w:val="000000"/>
          <w:sz w:val="22"/>
        </w:rPr>
        <w:t xml:space="preserve"> within 20 days of receipt of the notice of hearing. Failure to file shall, upon motion, result in the presiding officer’s entering a default against the person failing to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561—7.6</w:t>
      </w:r>
      <w:r>
        <w:rPr>
          <w:rFonts w:ascii="Times New Roman" w:hAnsi="Times New Roman"/>
          <w:b/>
          <w:i w:val="false"/>
          <w:color w:val="000000"/>
          <w:sz w:val="22"/>
        </w:rPr>
        <w:t xml:space="preserve">(17A,455A) </w:t>
      </w:r>
      <w:r>
        <w:rPr>
          <w:rFonts w:ascii="Times New Roman" w:hAnsi="Times New Roman"/>
          <w:b/>
          <w:i w:val="false"/>
          <w:color w:val="000000"/>
          <w:sz w:val="22"/>
        </w:rPr>
        <w:t xml:space="preserve">Informal settlement negotiations.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encouraged. </w:t>
      </w:r>
      <w:r>
        <w:rPr>
          <w:rFonts w:ascii="Times New Roman" w:hAnsi="Times New Roman"/>
          <w:b w:val="false"/>
          <w:i w:val="false"/>
          <w:color w:val="000000"/>
          <w:sz w:val="22"/>
        </w:rPr>
        <w:t xml:space="preserve">Unless precluded by statute, informal settlement of controversies is encouraged when those controversies may culminate in contested case proceedings according to the provisions of Iowa Code chapter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these rules. However, this rule shall not be construed to require any party other than the department to utilize informal procedures or to settle the controversy pursuant to informal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Opportunity to pursue informal settlement. </w:t>
      </w:r>
      <w:r>
        <w:rPr>
          <w:rFonts w:ascii="Times New Roman" w:hAnsi="Times New Roman"/>
          <w:b w:val="false"/>
          <w:i w:val="false"/>
          <w:color w:val="000000"/>
          <w:sz w:val="22"/>
        </w:rPr>
        <w:t xml:space="preserve">A party to a contested case may request an opportunity to pursue informal settlement. The request shall be in writing and shall be delivered to the director with a copy to the legal services bureau chief. Upon receipt of the request, further proceedings shall be delayed and no contested case hearing date shall be set, except in the case of emergency orders as provided in rule </w:t>
      </w:r>
      <w:hyperlink r:id="rId20">
        <w:r>
          <w:rPr>
            <w:rStyle w:val="Hyperlink"/>
            <w:rFonts w:ascii="Times New Roman" w:hAnsi="Times New Roman"/>
            <w:b w:val="false"/>
            <w:i w:val="false"/>
            <w:color w:val="000000"/>
            <w:sz w:val="22"/>
          </w:rPr>
          <w:t>561—7.18</w:t>
        </w:r>
      </w:hyperlink>
      <w:r>
        <w:rPr>
          <w:rFonts w:ascii="Times New Roman" w:hAnsi="Times New Roman"/>
          <w:b w:val="false"/>
          <w:i w:val="false"/>
          <w:color w:val="000000"/>
          <w:sz w:val="22"/>
        </w:rPr>
        <w:t>(17A,455A). Informal settlement negotiations may include verbal or written communications between or among parties. At the request of any party, the appeal shall be transmitted to the department of inspections, appeals, and licensing. Settlement negotiations may continue following transmittal.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561—7.7</w:t>
      </w:r>
      <w:r>
        <w:rPr>
          <w:rFonts w:ascii="Times New Roman" w:hAnsi="Times New Roman"/>
          <w:b/>
          <w:i w:val="false"/>
          <w:color w:val="000000"/>
          <w:sz w:val="22"/>
        </w:rPr>
        <w:t xml:space="preserve">(17A,455A) </w:t>
      </w:r>
      <w:r>
        <w:rPr>
          <w:rFonts w:ascii="Times New Roman" w:hAnsi="Times New Roman"/>
          <w:b/>
          <w:i w:val="false"/>
          <w:color w:val="000000"/>
          <w:sz w:val="22"/>
        </w:rPr>
        <w:t xml:space="preserve">Presiding officer. </w:t>
      </w:r>
      <w:r>
        <w:rPr>
          <w:rFonts w:ascii="Times New Roman" w:hAnsi="Times New Roman"/>
          <w:b w:val="false"/>
          <w:i w:val="false"/>
          <w:color w:val="000000"/>
          <w:sz w:val="22"/>
        </w:rPr>
        <w:t>Except as otherwise provided in this rule, an administrative law judge employed by the department of inspections, appeals, and licensing shall preside at contested case hearings.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val="false"/>
          <w:color w:val="000000"/>
          <w:sz w:val="22"/>
        </w:rPr>
        <w:t>On motion of a party or on its own motion, the agency may order that the hearing be conducted before the agency or one or more members thereof. Any party who wishes to request that the presiding officer assigned to render a proposed decision be an administrative law judge employed by the department of inspections, appeals, and licensing must file a written request within 10 days after service of a notice of hearing that identifies or describes the presiding officer as the agency head or members of the agency. The agency may deny the request only upon a finding that one or more of the following reasons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agency nor any officer of the agency under whose authority the contested case is to take place is a named party to the proceeding or a real party in interest to that proceeding (i.e., there is no conflict of interest because the agency would not act as both party and adjudicator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 compelling need to expedite issuance of a final decision in order to protect the public health, safety, or welfare.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val="false"/>
          <w:color w:val="000000"/>
          <w:sz w:val="22"/>
        </w:rPr>
        <w:t>The agency shall issue a written ruling specifying the grounds for its decision within 20 days after a request for an administrative law judge is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561—7.8</w:t>
      </w:r>
      <w:r>
        <w:rPr>
          <w:rFonts w:ascii="Times New Roman" w:hAnsi="Times New Roman"/>
          <w:b/>
          <w:i w:val="false"/>
          <w:color w:val="000000"/>
          <w:sz w:val="22"/>
        </w:rPr>
        <w:t xml:space="preserve">(17A,455A) </w:t>
      </w:r>
      <w:r>
        <w:rPr>
          <w:rFonts w:ascii="Times New Roman" w:hAnsi="Times New Roman"/>
          <w:b/>
          <w:i w:val="false"/>
          <w:color w:val="000000"/>
          <w:sz w:val="22"/>
        </w:rPr>
        <w:t xml:space="preserve">Disqualification of 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Grounds for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participate in the making of a proposed or final decision if the individual has investigated, prosecuted or advocated in connection with that case, the specific controversy underlying that case, or another pending factually related controversy that may culminate in a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be subject to the authority, direction or discretion of any person who has investigated, prosecuted or advocated in connection with that case, the specific controversy underlying that case or a pending factually related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of an agency having jurisdiction of a case shall not participate in the making of a final decision or order if the member is employed by, receives directly or indirectly personal income from, or has other substantial connection with a person subject to permit or enforcement action pending before the agency if that person would be substantially affected by the outcome of the case.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be biased for or against any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Affidavit asserting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party may file an affidavit asserting disqualification of a presiding officer under this subrule at any time, except that an affidavit against a member of the commission on appeal or review of the proposed decision shall be filed prior to any hearing on appeal or review of the proposed decision. A determination as to whether that individual should participate shall be made by the agency before further participation by that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party to a contested case proceeding may file an affidavit alleging a violation of subrule </w:t>
      </w:r>
      <w:hyperlink r:id="rId21">
        <w:r>
          <w:rPr>
            <w:rStyle w:val="Hyperlink"/>
            <w:rFonts w:ascii="Times New Roman" w:hAnsi="Times New Roman"/>
            <w:b w:val="false"/>
            <w:i w:val="false"/>
            <w:color w:val="000000"/>
            <w:sz w:val="22"/>
          </w:rPr>
          <w:t>7.8(1)</w:t>
        </w:r>
      </w:hyperlink>
      <w:r>
        <w:rPr>
          <w:rFonts w:ascii="Times New Roman" w:hAnsi="Times New Roman"/>
          <w:b w:val="false"/>
          <w:i w:val="false"/>
          <w:color w:val="000000"/>
          <w:sz w:val="22"/>
        </w:rPr>
        <w:t>, and the agency shall determine the matter as part of the record in the contested case. When an agency makes such a determination with respect to any agency member, that determination shall be subject to de novo judicial review in any appeal of the contested case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561—7.9</w:t>
      </w:r>
      <w:r>
        <w:rPr>
          <w:rFonts w:ascii="Times New Roman" w:hAnsi="Times New Roman"/>
          <w:b/>
          <w:i w:val="false"/>
          <w:color w:val="000000"/>
          <w:sz w:val="22"/>
        </w:rPr>
        <w:t xml:space="preserve">(17A,455A) </w:t>
      </w:r>
      <w:r>
        <w:rPr>
          <w:rFonts w:ascii="Times New Roman" w:hAnsi="Times New Roman"/>
          <w:b/>
          <w:i w:val="false"/>
          <w:color w:val="000000"/>
          <w:sz w:val="22"/>
        </w:rPr>
        <w:t xml:space="preserve">Separation of functions and ex parte 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color w:val="000000"/>
          <w:sz w:val="22"/>
        </w:rPr>
        <w:t xml:space="preserve">Separation of functions. </w:t>
      </w:r>
      <w:r>
        <w:rPr>
          <w:rFonts w:ascii="Times New Roman" w:hAnsi="Times New Roman"/>
          <w:b w:val="false"/>
          <w:i w:val="false"/>
          <w:color w:val="000000"/>
          <w:sz w:val="22"/>
        </w:rPr>
        <w:t>A staff attorney for the department shall perform the investigative and prosecuting functions for the department. Additional employees of the department may be designated by the director to perform these functions as necessary during the course of the case. No person performing these functions shall participate or advise in any decision arising out of that case except as witness or counsel in public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color w:val="000000"/>
          <w:sz w:val="22"/>
        </w:rPr>
        <w:t xml:space="preserve">Communications initiated by administrative law judge or agency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paragraphs </w:t>
      </w:r>
      <w:hyperlink r:id="rId22">
        <w:r>
          <w:rPr>
            <w:rStyle w:val="Hyperlink"/>
            <w:rFonts w:ascii="Times New Roman" w:hAnsi="Times New Roman"/>
            <w:b w:val="false"/>
            <w:i w:val="false"/>
            <w:color w:val="000000"/>
            <w:sz w:val="22"/>
          </w:rPr>
          <w:t>7.9(2)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or unless required for the disposition of ex parte matters specifically authorized by statute, following issuance of the notice of hearing, the presiding officer and members of the agency having jurisdiction of the case shall not communicate, directly or indirectly, in connection with any issue of fact or law in that case with any person or party or representative of any party, or any other person with a direct or indirect interest in such case. Persons who jointly act as presiding officer in a pending contested case may communicate with each other without notice or opportunity for parties to participate to the extent permitted or allowed by Iowa Code chapter </w:t>
      </w:r>
      <w:hyperlink r:id="rId23">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“Official Meetings Open to Public (Open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having jurisdiction of a case may communicate in connection with issues of fact or law in the case, upon notice and opportunity for all parties to participate. Where members of the agency are acting as the presiding officer(s), they may communicate in connection with issues of fact or law in the case, upon notice and opportunity for all parties to participate and to the extent permitted by Iowa Code chapter </w:t>
      </w:r>
      <w:hyperlink r:id="rId24">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“Official Meetings Open to Public (Open Meetings).” Notice of the time and place of the discussion and the issues of fact or law to be discussed shall be delivered by first-class mail to the parties. The discussion shall not extend to issues of fact or law not specified in the notice unless all parties participate in the discussion. The time of the discussion shall not be sooner than ten days after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presiding officer or members of the agency having jurisdiction of the case may communicate with members of the department and may have the aid and advice of persons other than those with a personal interest in, or those engaged in personally investigating,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 All employees of the department other than those performing the investigative and prosecuting functions in the case shall be available to advise the agency and presiding officer on any of those employees’ functions relating to the case and any appeal, provided communications with those employees meet the above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color w:val="000000"/>
          <w:sz w:val="22"/>
        </w:rPr>
        <w:t xml:space="preserve">Communications initiated by parties.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required for the disposition of ex parte matters specifically authorized by statute, parties, including the department, or their representatives in a case, and persons with a direct or indirect interest in such a case, shall not communicate directly or indirectly in connection with any issue of fact or law in that case with the presiding officer or members of the agency having jurisdiction of the case, except upon notice and opportunity for all parties to participate, as provided in paragraph </w:t>
      </w:r>
      <w:hyperlink r:id="rId25">
        <w:r>
          <w:rPr>
            <w:rStyle w:val="Hyperlink"/>
            <w:rFonts w:ascii="Times New Roman" w:hAnsi="Times New Roman"/>
            <w:b w:val="false"/>
            <w:i w:val="false"/>
            <w:color w:val="000000"/>
            <w:sz w:val="22"/>
          </w:rPr>
          <w:t>7.9(2)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26">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presiding officer or members of the agency shall refuse to discuss issues of fact or law with parties unless notice and opportunity for hearing has been given to all parties. A copy of any written ex parte communication or summary of oral ex parte communication received from a party, which directly or indirectly relates to any issue of fact or law in the case, shall be transmitted by the presiding officer to the other parties, and the presiding officer shall include the written communication or summary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require the recipient of a prohibited communication to submit the communication if written, or a summary of the communication if oral, for inclusion in the record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may render a proposed or final decision imposing appropriate sanctions, including default, for violations of rule </w:t>
      </w:r>
      <w:hyperlink r:id="rId27">
        <w:r>
          <w:rPr>
            <w:rStyle w:val="Hyperlink"/>
            <w:rFonts w:ascii="Times New Roman" w:hAnsi="Times New Roman"/>
            <w:b w:val="false"/>
            <w:i w:val="false"/>
            <w:color w:val="000000"/>
            <w:sz w:val="22"/>
          </w:rPr>
          <w:t>561—7.9</w:t>
        </w:r>
      </w:hyperlink>
      <w:r>
        <w:rPr>
          <w:rFonts w:ascii="Times New Roman" w:hAnsi="Times New Roman"/>
          <w:b w:val="false"/>
          <w:i w:val="false"/>
          <w:color w:val="000000"/>
          <w:sz w:val="22"/>
        </w:rPr>
        <w:t>(17A,455A); make a decision against the offending party; or censure, suspend or revoke the privilege to practice before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561—7.10</w:t>
      </w:r>
      <w:r>
        <w:rPr>
          <w:rFonts w:ascii="Times New Roman" w:hAnsi="Times New Roman"/>
          <w:b/>
          <w:i w:val="false"/>
          <w:color w:val="000000"/>
          <w:sz w:val="22"/>
        </w:rPr>
        <w:t xml:space="preserve">(17A,455A) </w:t>
      </w:r>
      <w:r>
        <w:rPr>
          <w:rFonts w:ascii="Times New Roman" w:hAnsi="Times New Roman"/>
          <w:b/>
          <w:i w:val="false"/>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 or a portion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561—7.11</w:t>
      </w:r>
      <w:r>
        <w:rPr>
          <w:rFonts w:ascii="Times New Roman" w:hAnsi="Times New Roman"/>
          <w:b/>
          <w:i w:val="false"/>
          <w:color w:val="000000"/>
          <w:sz w:val="22"/>
        </w:rPr>
        <w:t xml:space="preserve">(17A,455A)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Motion to intervene.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intervener, and the possible impact of intervention on the proceeding. A proposed answer or petition in intervention shall be attached to the motion. Any party may file a response within 20 days of receipt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the result would be inequitable or unjust, an intervener shall be bound by any agreement, arrangement, or other matter previously raised in the case. Requests by untimely interveners for continuances that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movant is likely to be aggrieved or adversely affected by a final order in the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 A person granted leave to intervene is a party to the proceeding. The order granting intervention may restrict the issues that may be raised by the intervener or otherwise condition the intervener’s participation in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561—7.12</w:t>
      </w:r>
      <w:r>
        <w:rPr>
          <w:rFonts w:ascii="Times New Roman" w:hAnsi="Times New Roman"/>
          <w:b/>
          <w:i w:val="false"/>
          <w:color w:val="000000"/>
          <w:sz w:val="22"/>
        </w:rPr>
        <w:t xml:space="preserve">(17A,455A) </w:t>
      </w:r>
      <w:r>
        <w:rPr>
          <w:rFonts w:ascii="Times New Roman" w:hAnsi="Times New Roman"/>
          <w:b/>
          <w:i w:val="false"/>
          <w:color w:val="000000"/>
          <w:sz w:val="22"/>
        </w:rPr>
        <w:t xml:space="preserve">Pleadings. </w:t>
      </w:r>
      <w:r>
        <w:rPr>
          <w:rFonts w:ascii="Times New Roman" w:hAnsi="Times New Roman"/>
          <w:b w:val="false"/>
          <w:i w:val="false"/>
          <w:color w:val="000000"/>
          <w:sz w:val="22"/>
        </w:rPr>
        <w:t>Pleadings are the parties’ written statements of their respective claims or defenses. Pleadings do not include motions. The only allowable pleadings shall be the petition and the answer.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 must file. </w:t>
      </w:r>
      <w:r>
        <w:rPr>
          <w:rFonts w:ascii="Times New Roman" w:hAnsi="Times New Roman"/>
          <w:b w:val="false"/>
          <w:i w:val="false"/>
          <w:color w:val="000000"/>
          <w:sz w:val="22"/>
        </w:rPr>
        <w:t>In all cases where an action of the department is appealed, the party aggrieved by the action shall file the petition. In those cases where the department seeks to suspend or revoke a license or permit, the department shall file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for filing. </w:t>
      </w:r>
      <w:r>
        <w:rPr>
          <w:rFonts w:ascii="Times New Roman" w:hAnsi="Times New Roman"/>
          <w:b w:val="false"/>
          <w:i w:val="false"/>
          <w:color w:val="000000"/>
          <w:sz w:val="22"/>
        </w:rPr>
        <w:t>Any petition required to be filed by a party other than the department shall be filed within 20 days of receipt of the notice of hearing, unless the presiding officer allows additional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petition shall include all of the following items, in separately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basis for the agency’s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detailed discussion of the relief demanded and the supporting facts, including any supporting documentation relied upon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of the party or parties on whose behalf the petition is filed;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color w:val="000000"/>
          <w:sz w:val="22"/>
        </w:rPr>
        <w:t xml:space="preserve">Answer.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 must file. </w:t>
      </w:r>
      <w:r>
        <w:rPr>
          <w:rFonts w:ascii="Times New Roman" w:hAnsi="Times New Roman"/>
          <w:b w:val="false"/>
          <w:i w:val="false"/>
          <w:color w:val="000000"/>
          <w:sz w:val="22"/>
        </w:rPr>
        <w:t>In all cases where an action of the department is appealed, the department shall file the answer. In those cases where the department seeks to suspend or revoke a license or permit, the holder of the license or permit shall file the answer.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for filing. </w:t>
      </w:r>
      <w:r>
        <w:rPr>
          <w:rFonts w:ascii="Times New Roman" w:hAnsi="Times New Roman"/>
          <w:b w:val="false"/>
          <w:i w:val="false"/>
          <w:color w:val="000000"/>
          <w:sz w:val="22"/>
        </w:rPr>
        <w:t>The answer shall be filed within 20 days of receipt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of answer. </w:t>
      </w:r>
      <w:r>
        <w:rPr>
          <w:rFonts w:ascii="Times New Roman" w:hAnsi="Times New Roman"/>
          <w:b w:val="false"/>
          <w:i w:val="false"/>
          <w:color w:val="000000"/>
          <w:sz w:val="22"/>
        </w:rPr>
        <w:t>The answer shall state on whose behalf it is filed and shall specifically admit or deny each allegation or paragraph of the petition. It shall state any facts deemed to show a defense; it may raise points of law appearing on the face of the petition; and it may contain as many defenses, legal or equitable, as the pleader may claim, which defenses may be inconsistent. The answer also shall state the name, address and telephone number of the person filing the answer and the person’s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Matters admitted and defenses waived. </w:t>
      </w:r>
      <w:r>
        <w:rPr>
          <w:rFonts w:ascii="Times New Roman" w:hAnsi="Times New Roman"/>
          <w:b w:val="false"/>
          <w:i w:val="false"/>
          <w:color w:val="000000"/>
          <w:sz w:val="22"/>
        </w:rPr>
        <w:t>Any allegation in the petition not denied in the answer shall be deemed admitted. Any defense not raised in the answer that could have been raised at that time on the basis of facts then known shall be deemed waived, except for subject matter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answer. </w:t>
      </w:r>
      <w:r>
        <w:rPr>
          <w:rFonts w:ascii="Times New Roman" w:hAnsi="Times New Roman"/>
          <w:b w:val="false"/>
          <w:i w:val="false"/>
          <w:color w:val="000000"/>
          <w:sz w:val="22"/>
        </w:rPr>
        <w:t>If the party required by this subrule to file an answer fails to file an answer within 20 days of receipt of the notice of hearing or petition, a default shall, upon motion, be entered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notice of hearing, petition, or other charging document (document asserting a party’s position)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All pleadings shall adhere to the format required by or use the template provided by the department of inspections, appeals, and licensing, if any, and must be signed by the person filing the pleading.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7.12(5)</w:t>
      </w:r>
      <w:r>
        <w:rPr>
          <w:rFonts w:ascii="Times New Roman" w:hAnsi="Times New Roman"/>
          <w:b w:val="false"/>
          <w:i w:val="false"/>
          <w:color w:val="000000"/>
          <w:sz w:val="22"/>
        </w:rPr>
        <w:t> </w:t>
      </w:r>
      <w:r>
        <w:rPr>
          <w:rFonts w:ascii="Times New Roman" w:hAnsi="Times New Roman"/>
          <w:b w:val="false"/>
          <w:i/>
          <w:color w:val="000000"/>
          <w:sz w:val="22"/>
        </w:rPr>
        <w:t xml:space="preserve">Filing and service of pleadings. </w:t>
      </w:r>
      <w:r>
        <w:rPr>
          <w:rFonts w:ascii="Times New Roman" w:hAnsi="Times New Roman"/>
          <w:b w:val="false"/>
          <w:i w:val="false"/>
          <w:color w:val="000000"/>
          <w:sz w:val="22"/>
        </w:rPr>
        <w:t>The original of all pleadings shall be filed with the presiding officer, and a copy of all pleadings shall be contemporaneously served upon the other parties. Filing and service of pleadings shall be by e-file, first-class mail, or personal service. No return of service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7.12(6)</w:t>
      </w:r>
      <w:r>
        <w:rPr>
          <w:rFonts w:ascii="Times New Roman" w:hAnsi="Times New Roman"/>
          <w:b w:val="false"/>
          <w:i w:val="false"/>
          <w:color w:val="000000"/>
          <w:sz w:val="22"/>
        </w:rPr>
        <w:t> </w:t>
      </w:r>
      <w:r>
        <w:rPr>
          <w:rFonts w:ascii="Times New Roman" w:hAnsi="Times New Roman"/>
          <w:b w:val="false"/>
          <w:i/>
          <w:color w:val="000000"/>
          <w:sz w:val="22"/>
        </w:rPr>
        <w:t xml:space="preserve">Docketing. </w:t>
      </w:r>
      <w:r>
        <w:rPr>
          <w:rFonts w:ascii="Times New Roman" w:hAnsi="Times New Roman"/>
          <w:b w:val="false"/>
          <w:i w:val="false"/>
          <w:color w:val="000000"/>
          <w:sz w:val="22"/>
        </w:rPr>
        <w:t>Upon receipt of a pleading, the presiding officer shall docket the pleading in a docket kept for that purpose and shall assign a number to the case that shall be placed on all subsequent pleadings filed in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561—7.13</w:t>
      </w:r>
      <w:r>
        <w:rPr>
          <w:rFonts w:ascii="Times New Roman" w:hAnsi="Times New Roman"/>
          <w:b/>
          <w:i w:val="false"/>
          <w:color w:val="000000"/>
          <w:sz w:val="22"/>
        </w:rPr>
        <w:t xml:space="preserve">(17A,455A) </w:t>
      </w:r>
      <w:r>
        <w:rPr>
          <w:rFonts w:ascii="Times New Roman" w:hAnsi="Times New Roman"/>
          <w:b/>
          <w:i w:val="false"/>
          <w:color w:val="000000"/>
          <w:sz w:val="22"/>
        </w:rPr>
        <w:t xml:space="preserve">Defaults.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Defaults defined. </w:t>
      </w:r>
      <w:r>
        <w:rPr>
          <w:rFonts w:ascii="Times New Roman" w:hAnsi="Times New Roman"/>
          <w:b w:val="false"/>
          <w:i w:val="false"/>
          <w:color w:val="000000"/>
          <w:sz w:val="22"/>
        </w:rPr>
        <w:t>A party shall be in default when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Fails to file a pleading within the time prescribed for filing of the pleading;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Withdraws a pleading without permission to replead;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Fails to comply with any order of the presiding officer;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Fails to appear for a contested case proceeding after proper service of notice. If a party fails to appear and participate in a contested case proceeding after proper service of notice, then the presiding officer may, if no adjournment is granted, enter a default decision or proceed with the hearing and render a decision on the merits in the absence of the party. If a decision on the merits is rendered, the sole remedy to set aside the judgment is a motion to vacate made consistent with the provisions of subrule </w:t>
      </w:r>
      <w:hyperlink r:id="rId28">
        <w:r>
          <w:rPr>
            <w:rStyle w:val="Hyperlink"/>
            <w:rFonts w:ascii="Times New Roman" w:hAnsi="Times New Roman"/>
            <w:b w:val="false"/>
            <w:i w:val="false"/>
            <w:color w:val="000000"/>
            <w:sz w:val="22"/>
          </w:rPr>
          <w:t>7.17(7)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How entered. </w:t>
      </w:r>
      <w:r>
        <w:rPr>
          <w:rFonts w:ascii="Times New Roman" w:hAnsi="Times New Roman"/>
          <w:b w:val="false"/>
          <w:i w:val="false"/>
          <w:color w:val="000000"/>
          <w:sz w:val="22"/>
        </w:rPr>
        <w:t xml:space="preserve">If a party is in default, the presiding officer on motion of the adverse party shall enter the default against the party.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color w:val="000000"/>
          <w:sz w:val="22"/>
        </w:rPr>
        <w:t xml:space="preserve">Contents of decision. </w:t>
      </w:r>
      <w:r>
        <w:rPr>
          <w:rFonts w:ascii="Times New Roman" w:hAnsi="Times New Roman"/>
          <w:b w:val="false"/>
          <w:i w:val="false"/>
          <w:color w:val="000000"/>
          <w:sz w:val="22"/>
        </w:rPr>
        <w:t>A default decision shall contain the presiding officer’s reasons for the decision. A default decision may award any relief consistent with the request for relief made in the petition and embraced in its issues. Unless the defaulting party has appeared before the presiding officer, the relief shall not exceed the demand for relief. A default decision may provide either that the default decision is to be stayed pending a timely motion to set aside or that the default decision is to take effect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color w:val="000000"/>
          <w:sz w:val="22"/>
        </w:rPr>
        <w:t xml:space="preserve">Setting aside default.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good cause shown, the presiding officer may set aside a default or order thereon due to mistake, inadvertence, surprise, excusable neglect or unavoidable casualty. The exclusive remedy for an order based on default shall be a timely motion to set aside the 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motion to set aside a default must be filed promptly after the discovery of the grounds, but in no case shall the motion be filed more than ten days after receipt of the order. Default decisions shall become final agency action unless a motion to set aside the default is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Contents of motion. A motion to set aside a default shall state all facts relied upon by the moving party and shall establish that good cause existed for that party’s default status. If the party is in default due to failure to appear for a contested case proceeding, then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Further appeal stayed. The time for further appeal of a decision for which a motion to set aside the default has been filed is stayed pending a decision on the motion to set aside the 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granted. The burden of proof to show good cause to set aside the default due to mistake, inadvertence, surprise, excusable neglect or unavoidable casualty is on the moving party. Adverse parties shall be allowed to conduct discovery as to the issue of good cause and to present evidence on the issue prior to a decision on the motion, if a request to do so is included in that party’s timely filed response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color w:val="000000"/>
          <w:sz w:val="22"/>
        </w:rPr>
        <w:t xml:space="preserve">Appeal of denial of motion to set aside default.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timely motion to set aside a default is denied, it may be followed by an appeal to the agency having jurisdiction of the matter. The issues on appeal are limited to the grounds for denial of the motion to set aside default. Review is limited to whether the denial of the motion was arbitrary or capricious and whether there is a showing of good cause to set aside default due to mistake, inadvertence, surprise, excusable neglect or unavoidable casualty.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a finding by the agency of good cause, the default shall be set aside. The hearing shall be completed, with proper notice, before appeal on the subject matter of the case shall be permitted.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561—7.14</w:t>
      </w:r>
      <w:r>
        <w:rPr>
          <w:rFonts w:ascii="Times New Roman" w:hAnsi="Times New Roman"/>
          <w:b/>
          <w:i w:val="false"/>
          <w:color w:val="000000"/>
          <w:sz w:val="22"/>
        </w:rPr>
        <w:t xml:space="preserve">(17A,455A) </w:t>
      </w:r>
      <w:r>
        <w:rPr>
          <w:rFonts w:ascii="Times New Roman" w:hAnsi="Times New Roman"/>
          <w:b/>
          <w:i w:val="false"/>
          <w:color w:val="000000"/>
          <w:sz w:val="22"/>
        </w:rPr>
        <w:t xml:space="preserve">Prehearing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No factual dispute contested cases. </w:t>
      </w:r>
      <w:r>
        <w:rPr>
          <w:rFonts w:ascii="Times New Roman" w:hAnsi="Times New Roman"/>
          <w:b w:val="false"/>
          <w:i w:val="false"/>
          <w:color w:val="000000"/>
          <w:sz w:val="22"/>
        </w:rPr>
        <w:t xml:space="preserve">If the parties agree that no dispute of material fact exists as to a matter that would be a contested case if such dispute or fact existed, the parties may present all relevant admissible evidence either by stipulation or otherwise as agreed by the parties, without necessity for the production of evidence at an evidentiary hearing. If such agreement is reached, then as soon as practicable the parties shall jointly submit to the presiding officer a schedule detailing the method and timetable for submission of the record, briefs, and oral argument. If the parties cannot agree, any party may file and serve a motion for summary judgment pursuant to paragraph </w:t>
      </w:r>
      <w:hyperlink r:id="rId29">
        <w:r>
          <w:rPr>
            <w:rStyle w:val="Hyperlink"/>
            <w:rFonts w:ascii="Times New Roman" w:hAnsi="Times New Roman"/>
            <w:b w:val="false"/>
            <w:i w:val="false"/>
            <w:color w:val="000000"/>
            <w:sz w:val="22"/>
          </w:rPr>
          <w:t>7.14(2)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of motion. </w:t>
      </w:r>
      <w:r>
        <w:rPr>
          <w:rFonts w:ascii="Times New Roman" w:hAnsi="Times New Roman"/>
          <w:b w:val="false"/>
          <w:i w:val="false"/>
          <w:color w:val="000000"/>
          <w:sz w:val="22"/>
        </w:rPr>
        <w:t>No technical form for motions is required. However, prehearing motions must be in writing, must state the grounds for relief, and must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for response to motions. </w:t>
      </w:r>
      <w:r>
        <w:rPr>
          <w:rFonts w:ascii="Times New Roman" w:hAnsi="Times New Roman"/>
          <w:b w:val="false"/>
          <w:i w:val="false"/>
          <w:color w:val="000000"/>
          <w:sz w:val="22"/>
        </w:rPr>
        <w:t>Any party may file a written response to a motion within 10 days after service of the motion, unless the time period is extended or shortened by rules of the agency or the presiding officer. Failure to respond within the required time period may be deemed a waiver of objection to the granting of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Oral argument on motions.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Time for filing. </w:t>
      </w:r>
      <w:r>
        <w:rPr>
          <w:rFonts w:ascii="Times New Roman" w:hAnsi="Times New Roman"/>
          <w:b w:val="false"/>
          <w:i w:val="false"/>
          <w:color w:val="000000"/>
          <w:sz w:val="22"/>
        </w:rPr>
        <w:t>Motions pertaining to the hearing, except motions for summary judgment, must be filed and served prior to the date of hearing unless there is good cause for permitting later action or the time for such action is lengthened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Motions for summary judgment. </w:t>
      </w:r>
      <w:r>
        <w:rPr>
          <w:rFonts w:ascii="Times New Roman" w:hAnsi="Times New Roman"/>
          <w:b w:val="false"/>
          <w:i w:val="false"/>
          <w:color w:val="000000"/>
          <w:sz w:val="22"/>
        </w:rPr>
        <w:t xml:space="preserve">Motions for summary judgment shall comply with the requirements of Iowa Rules of Civil Procedure 1.981 through 1.983 and shall be subject to disposition according to the requirements of those rules to the extent such requirements are not inconsistent with the provisions of this rule or any other provision of law governing the procedure in contested cases. Motions for summary judgment must be filed and served either at least 30 days prior to the scheduled hearing date, or during another time period determined by the presiding officer. Any party resisting the motion shall file and serve a resistance within 15 days, unless otherwise ordered by the presiding officer, from the date a copy of the motion was served. A summary judgment order rendered on all issues in a contested case is subject to rehearing pursuant to subrule </w:t>
      </w:r>
      <w:hyperlink r:id="rId30">
        <w:r>
          <w:rPr>
            <w:rStyle w:val="Hyperlink"/>
            <w:rFonts w:ascii="Times New Roman" w:hAnsi="Times New Roman"/>
            <w:b w:val="false"/>
            <w:i w:val="false"/>
            <w:color w:val="000000"/>
            <w:sz w:val="22"/>
          </w:rPr>
          <w:t>7.17(6)</w:t>
        </w:r>
      </w:hyperlink>
      <w:r>
        <w:rPr>
          <w:rFonts w:ascii="Times New Roman" w:hAnsi="Times New Roman"/>
          <w:b w:val="false"/>
          <w:i w:val="false"/>
          <w:color w:val="000000"/>
          <w:sz w:val="22"/>
        </w:rPr>
        <w:t xml:space="preserve"> and appeal pursuant to subrule </w:t>
      </w:r>
      <w:hyperlink r:id="rId31">
        <w:r>
          <w:rPr>
            <w:rStyle w:val="Hyperlink"/>
            <w:rFonts w:ascii="Times New Roman" w:hAnsi="Times New Roman"/>
            <w:b w:val="false"/>
            <w:i w:val="false"/>
            <w:color w:val="000000"/>
            <w:sz w:val="22"/>
          </w:rPr>
          <w:t>7.17(5)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7.14(3)</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discovery procedures available to parties in civil actions are available to parties to a contested case.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Motions relating to discovery.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with the opposing party. Motions in regard to discovery shall be ruled upon by the presiding officer. Opposing parties shall be afforded the opportunity to respond within ten days of the filing of the motion unless the time is shortened as provided in subrule </w:t>
      </w:r>
      <w:hyperlink r:id="rId32">
        <w:r>
          <w:rPr>
            <w:rStyle w:val="Hyperlink"/>
            <w:rFonts w:ascii="Times New Roman" w:hAnsi="Times New Roman"/>
            <w:b w:val="false"/>
            <w:i w:val="false"/>
            <w:color w:val="000000"/>
            <w:sz w:val="22"/>
          </w:rPr>
          <w:t>7.3(2)</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Evidence obtained in discovery.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Prior statements or reports of witnesses. </w:t>
      </w:r>
      <w:r>
        <w:rPr>
          <w:rFonts w:ascii="Times New Roman" w:hAnsi="Times New Roman"/>
          <w:b w:val="false"/>
          <w:i w:val="false"/>
          <w:color w:val="000000"/>
          <w:sz w:val="22"/>
        </w:rPr>
        <w:t xml:space="preserve">When a party relies on a witness who has made prior statements or reports with respect to the subject matter of the witness’s testimony, the party shall, upon request, make the statements or reports available to a party for use on cross-examination unless the statement is confidential under </w:t>
      </w:r>
      <w:hyperlink r:id="rId33">
        <w:r>
          <w:rPr>
            <w:rStyle w:val="Hyperlink"/>
            <w:rFonts w:ascii="Times New Roman" w:hAnsi="Times New Roman"/>
            <w:b w:val="false"/>
            <w:i w:val="false"/>
            <w:color w:val="000000"/>
            <w:sz w:val="22"/>
          </w:rPr>
          <w:t>561—Chapter 2</w:t>
        </w:r>
      </w:hyperlink>
      <w:r>
        <w:rPr>
          <w:rFonts w:ascii="Times New Roman" w:hAnsi="Times New Roman"/>
          <w:b w:val="false"/>
          <w:i w:val="false"/>
          <w:color w:val="000000"/>
          <w:sz w:val="22"/>
        </w:rPr>
        <w:t xml:space="preserve">. If the statement or report is confidential under </w:t>
      </w:r>
      <w:hyperlink r:id="rId34">
        <w:r>
          <w:rPr>
            <w:rStyle w:val="Hyperlink"/>
            <w:rFonts w:ascii="Times New Roman" w:hAnsi="Times New Roman"/>
            <w:b w:val="false"/>
            <w:i w:val="false"/>
            <w:color w:val="000000"/>
            <w:sz w:val="22"/>
          </w:rPr>
          <w:t>561—Chapter 2</w:t>
        </w:r>
      </w:hyperlink>
      <w:r>
        <w:rPr>
          <w:rFonts w:ascii="Times New Roman" w:hAnsi="Times New Roman"/>
          <w:b w:val="false"/>
          <w:i w:val="false"/>
          <w:color w:val="000000"/>
          <w:sz w:val="22"/>
        </w:rPr>
        <w:t>, it may be made available, but it may be made subject to a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Disclosure of evidence and witnesses. </w:t>
      </w:r>
      <w:r>
        <w:rPr>
          <w:rFonts w:ascii="Times New Roman" w:hAnsi="Times New Roman"/>
          <w:b w:val="false"/>
          <w:i w:val="false"/>
          <w:color w:val="000000"/>
          <w:sz w:val="22"/>
        </w:rPr>
        <w:t xml:space="preserve">At a prehearing conference or within some reasonable time set by the presiding officer prior to the hearing, each party shall make available, upon request, to the other parties the names of expert and other witnesses the party expects to call, together with a brief narrative summary of their expected testimony and a list of all documents and exhibits that the party expects to introduce into evidence. Amendments and additions to these materials may be made no later than ten days prior to the date of the hearing. However, following a prehearing conference held in accordance with subrule </w:t>
      </w:r>
      <w:hyperlink r:id="rId35">
        <w:r>
          <w:rPr>
            <w:rStyle w:val="Hyperlink"/>
            <w:rFonts w:ascii="Times New Roman" w:hAnsi="Times New Roman"/>
            <w:b w:val="false"/>
            <w:i w:val="false"/>
            <w:color w:val="000000"/>
            <w:sz w:val="22"/>
          </w:rPr>
          <w:t>7.14(5)</w:t>
        </w:r>
      </w:hyperlink>
      <w:r>
        <w:rPr>
          <w:rFonts w:ascii="Times New Roman" w:hAnsi="Times New Roman"/>
          <w:b w:val="false"/>
          <w:i w:val="false"/>
          <w:color w:val="000000"/>
          <w:sz w:val="22"/>
        </w:rPr>
        <w:t>, witnesses, documents or exhibits may be added only if the moving party can show that they were not readily identifiable with reasonable diligence prior to the prehearing conference and that the addition is necessary to prevent manifest injustice.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7.14(4)</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A subpoena shall be issued to a party upon request to the presiding officer. Such a request may be oral or in writing.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 and expenses.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7.14(5)</w:t>
      </w:r>
      <w:r>
        <w:rPr>
          <w:rFonts w:ascii="Times New Roman" w:hAnsi="Times New Roman"/>
          <w:b w:val="false"/>
          <w:i w:val="false"/>
          <w:color w:val="000000"/>
          <w:sz w:val="22"/>
        </w:rPr>
        <w:t> </w:t>
      </w:r>
      <w:r>
        <w:rPr>
          <w:rFonts w:ascii="Times New Roman" w:hAnsi="Times New Roman"/>
          <w:b w:val="false"/>
          <w:i/>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Matters considered. </w:t>
      </w:r>
      <w:r>
        <w:rPr>
          <w:rFonts w:ascii="Times New Roman" w:hAnsi="Times New Roman"/>
          <w:b w:val="false"/>
          <w:i w:val="false"/>
          <w:color w:val="000000"/>
          <w:sz w:val="22"/>
        </w:rPr>
        <w:t>After filing of the pleadings, the presiding officer may, and shall upon the request of one of the parties, direct the parties to appear at a specified time and place before the presiding officer for a prehearing conference to consider, so far as is applicable to the particular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possibility or desirability of waiving any provisions of this chapter by written stipulation representing an informed mutual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necessity or desirability of amending pleadings;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Agreeing to the admission of facts, documents or records not controverted, to avoid unnecessary introduction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Limiting the number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Settling on facts of which the presiding officer is to be asked to take official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Stating and simplifying the factual and legal issues to be decided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procedure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Rescheduling the time and place of the hearing set forth in the notice of hearing to a date that will allow the parties and witnesses to prepare for and participate in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matters that may aid, expedite or simplify the disposition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Stipulations. </w:t>
      </w:r>
      <w:r>
        <w:rPr>
          <w:rFonts w:ascii="Times New Roman" w:hAnsi="Times New Roman"/>
          <w:b w:val="false"/>
          <w:i w:val="false"/>
          <w:color w:val="000000"/>
          <w:sz w:val="22"/>
        </w:rPr>
        <w:t>Since stipulations are encouraged, it is expected and anticipated that the parties proceeding to a hearing will stipulate to evidence to the fullest extent to which complete or qualified agreement can be reached, including all material facts that are not or should not fairly be in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Order or statement of agreement. </w:t>
      </w:r>
      <w:r>
        <w:rPr>
          <w:rFonts w:ascii="Times New Roman" w:hAnsi="Times New Roman"/>
          <w:b w:val="false"/>
          <w:i w:val="false"/>
          <w:color w:val="000000"/>
          <w:sz w:val="22"/>
        </w:rPr>
        <w:t>Any action taken at the prehearing conference shall be recorded in an appropriate order, unless the parties enter into a written stipulation as to the matters or agree to the statement thereof made on the record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When an order is issued at the termination of the prehearing conference, a reasonable time shall be allowed to the parties to present objections on the ground that the order does not fully or correctly embody the agreement at the conference. Thereafter, the terms of the order or modification shall determine the subsequent course of the proceedings relative to matters it includes, unless modified to prevent manifest injustice.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7.14(6)</w:t>
      </w:r>
      <w:r>
        <w:rPr>
          <w:rFonts w:ascii="Times New Roman" w:hAnsi="Times New Roman"/>
          <w:b w:val="false"/>
          <w:i w:val="false"/>
          <w:color w:val="000000"/>
          <w:sz w:val="22"/>
        </w:rPr>
        <w:t> </w:t>
      </w:r>
      <w:r>
        <w:rPr>
          <w:rFonts w:ascii="Times New Roman" w:hAnsi="Times New Roman"/>
          <w:b w:val="false"/>
          <w:i/>
          <w:color w:val="000000"/>
          <w:sz w:val="22"/>
        </w:rPr>
        <w:t xml:space="preserve">Continuance. </w:t>
      </w:r>
      <w:r>
        <w:rPr>
          <w:rFonts w:ascii="Times New Roman" w:hAnsi="Times New Roman"/>
          <w:b w:val="false"/>
          <w:i w:val="false"/>
          <w:color w:val="000000"/>
          <w:sz w:val="22"/>
        </w:rPr>
        <w:t>Unless otherwise provided, applications for continuance shall be made to the presiding officer. Applications for continuance may be made orally or in writing, unless otherwise specified by the presiding officer.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7.14(7)</w:t>
      </w:r>
      <w:r>
        <w:rPr>
          <w:rFonts w:ascii="Times New Roman" w:hAnsi="Times New Roman"/>
          <w:b w:val="false"/>
          <w:i w:val="false"/>
          <w:color w:val="000000"/>
          <w:sz w:val="22"/>
        </w:rPr>
        <w:t> </w:t>
      </w:r>
      <w:r>
        <w:rPr>
          <w:rFonts w:ascii="Times New Roman" w:hAnsi="Times New Roman"/>
          <w:b w:val="false"/>
          <w:i/>
          <w:color w:val="000000"/>
          <w:sz w:val="22"/>
        </w:rPr>
        <w:t xml:space="preserve">Prehearing 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7.14(8)</w:t>
      </w:r>
      <w:r>
        <w:rPr>
          <w:rFonts w:ascii="Times New Roman" w:hAnsi="Times New Roman"/>
          <w:b w:val="false"/>
          <w:i w:val="false"/>
          <w:color w:val="000000"/>
          <w:sz w:val="22"/>
        </w:rPr>
        <w:t> </w:t>
      </w:r>
      <w:r>
        <w:rPr>
          <w:rFonts w:ascii="Times New Roman" w:hAnsi="Times New Roman"/>
          <w:b w:val="false"/>
          <w:i/>
          <w:color w:val="000000"/>
          <w:sz w:val="22"/>
        </w:rPr>
        <w:t xml:space="preserve">Emergency orders. </w:t>
      </w:r>
      <w:r>
        <w:rPr>
          <w:rFonts w:ascii="Times New Roman" w:hAnsi="Times New Roman"/>
          <w:b w:val="false"/>
          <w:i w:val="false"/>
          <w:color w:val="000000"/>
          <w:sz w:val="22"/>
        </w:rPr>
        <w:t xml:space="preserve">Prehearing procedures for emergency orders are set forth in rule </w:t>
      </w:r>
      <w:hyperlink r:id="rId36">
        <w:r>
          <w:rPr>
            <w:rStyle w:val="Hyperlink"/>
            <w:rFonts w:ascii="Times New Roman" w:hAnsi="Times New Roman"/>
            <w:b w:val="false"/>
            <w:i w:val="false"/>
            <w:color w:val="000000"/>
            <w:sz w:val="22"/>
          </w:rPr>
          <w:t>561—7.18</w:t>
        </w:r>
      </w:hyperlink>
      <w:r>
        <w:rPr>
          <w:rFonts w:ascii="Times New Roman" w:hAnsi="Times New Roman"/>
          <w:b w:val="false"/>
          <w:i w:val="false"/>
          <w:color w:val="000000"/>
          <w:sz w:val="22"/>
        </w:rPr>
        <w:t>(17A,455A).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561—7.15</w:t>
      </w:r>
      <w:r>
        <w:rPr>
          <w:rFonts w:ascii="Times New Roman" w:hAnsi="Times New Roman"/>
          <w:b/>
          <w:i w:val="false"/>
          <w:color w:val="000000"/>
          <w:sz w:val="22"/>
        </w:rPr>
        <w:t xml:space="preserve">(17A,455A)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proceedings. </w:t>
      </w:r>
      <w:r>
        <w:rPr>
          <w:rFonts w:ascii="Times New Roman" w:hAnsi="Times New Roman"/>
          <w:b w:val="false"/>
          <w:i w:val="false"/>
          <w:color w:val="000000"/>
          <w:sz w:val="22"/>
        </w:rPr>
        <w:t>A hearing shall be conducted by a presiding officer who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Open the record and receive appearances;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Administer oaths;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Enter the notice of hearing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Receive testimony and exhibits presented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presiding officer’s discretion, interrogate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Rule on objections and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Close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Issue an order containing findings of fact and conclusions of law.</w:t>
      </w:r>
    </w:p>
    <w:p>
      <w:pPr>
        <w:spacing w:before="0" w:after="0"/>
        <w:ind w:left="120"/>
        <w:jc w:val="both"/>
      </w:pPr>
      <w:r>
        <w:rPr>
          <w:rFonts w:ascii="Times New Roman" w:hAnsi="Times New Roman"/>
          <w:b w:val="false"/>
          <w:i w:val="false"/>
          <w:color w:val="000000"/>
          <w:sz w:val="22"/>
        </w:rPr>
        <w:t>Additionally, the presiding officer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color w:val="000000"/>
          <w:sz w:val="22"/>
        </w:rPr>
        <w:t xml:space="preserve">Order of proceedings.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color w:val="000000"/>
          <w:sz w:val="22"/>
        </w:rPr>
        <w:t xml:space="preserve">Failure to appear. </w:t>
      </w:r>
      <w:r>
        <w:rPr>
          <w:rFonts w:ascii="Times New Roman" w:hAnsi="Times New Roman"/>
          <w:b w:val="false"/>
          <w:i w:val="false"/>
          <w:color w:val="000000"/>
          <w:sz w:val="22"/>
        </w:rPr>
        <w:t>If a party fails to appear after proper service of notice of hearing, the presiding officer may adjourn, may enter a default against the absent party, or may proceed with the hearing and make a proposed decision in the absence of the party. Adjournment may be granted by the presiding officer on the presiding officer’s own motion in the interest of justice.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color w:val="000000"/>
          <w:sz w:val="22"/>
        </w:rPr>
        <w:t xml:space="preserve">Representation at hearings. </w:t>
      </w:r>
      <w:r>
        <w:rPr>
          <w:rFonts w:ascii="Times New Roman" w:hAnsi="Times New Roman"/>
          <w:b w:val="false"/>
          <w:i w:val="false"/>
          <w:color w:val="000000"/>
          <w:sz w:val="22"/>
        </w:rPr>
        <w:t>Parties have the right to participate in all hearings or prehearing conferences related to their case. Partnerships, corporations, or associations may be represented by any member, officer, director, or duly authorized agent. Any party may, at its own expense, be represented by an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7.15(5)</w:t>
      </w:r>
      <w:r>
        <w:rPr>
          <w:rFonts w:ascii="Times New Roman" w:hAnsi="Times New Roman"/>
          <w:b w:val="false"/>
          <w:i w:val="false"/>
          <w:color w:val="000000"/>
          <w:sz w:val="22"/>
        </w:rPr>
        <w:t> </w:t>
      </w:r>
      <w:r>
        <w:rPr>
          <w:rFonts w:ascii="Times New Roman" w:hAnsi="Times New Roman"/>
          <w:b w:val="false"/>
          <w:i/>
          <w:color w:val="000000"/>
          <w:sz w:val="22"/>
        </w:rPr>
        <w:t xml:space="preserve">Appearance pro se. </w:t>
      </w:r>
      <w:r>
        <w:rPr>
          <w:rFonts w:ascii="Times New Roman" w:hAnsi="Times New Roman"/>
          <w:b w:val="false"/>
          <w:i w:val="false"/>
          <w:color w:val="000000"/>
          <w:sz w:val="22"/>
        </w:rPr>
        <w:t>If a party other than the department appears on the party’s own behalf without counsel, the presiding officer shall explain to the party the rules of practice and procedure and generally conduct the hearing in a less formal manner than that used when a party is represented by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7.15(6)</w:t>
      </w:r>
      <w:r>
        <w:rPr>
          <w:rFonts w:ascii="Times New Roman" w:hAnsi="Times New Roman"/>
          <w:b w:val="false"/>
          <w:i w:val="false"/>
          <w:color w:val="000000"/>
          <w:sz w:val="22"/>
        </w:rPr>
        <w:t> </w:t>
      </w:r>
      <w:r>
        <w:rPr>
          <w:rFonts w:ascii="Times New Roman" w:hAnsi="Times New Roman"/>
          <w:b w:val="false"/>
          <w:i/>
          <w:color w:val="000000"/>
          <w:sz w:val="22"/>
        </w:rPr>
        <w:t xml:space="preserve">Attendance and participation of the public. </w:t>
      </w:r>
      <w:r>
        <w:rPr>
          <w:rFonts w:ascii="Times New Roman" w:hAnsi="Times New Roman"/>
          <w:b w:val="false"/>
          <w:i w:val="false"/>
          <w:color w:val="000000"/>
          <w:sz w:val="22"/>
        </w:rPr>
        <w:t>Every hearing before an agency of the department or an administrative law judge shall be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7.15(7)</w:t>
      </w:r>
      <w:r>
        <w:rPr>
          <w:rFonts w:ascii="Times New Roman" w:hAnsi="Times New Roman"/>
          <w:b w:val="false"/>
          <w:i w:val="false"/>
          <w:color w:val="000000"/>
          <w:sz w:val="22"/>
        </w:rPr>
        <w:t> </w:t>
      </w:r>
      <w:r>
        <w:rPr>
          <w:rFonts w:ascii="Times New Roman" w:hAnsi="Times New Roman"/>
          <w:b w:val="false"/>
          <w:i/>
          <w:color w:val="000000"/>
          <w:sz w:val="22"/>
        </w:rPr>
        <w:t xml:space="preserve">Introduction of evidence.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7.15(8)</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Each party bears all costs and expenses, including fees, for its own witnesses.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7.15(9)</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7.15(10)</w:t>
      </w:r>
      <w:r>
        <w:rPr>
          <w:rFonts w:ascii="Times New Roman" w:hAnsi="Times New Roman"/>
          <w:b w:val="false"/>
          <w:i w:val="false"/>
          <w:color w:val="000000"/>
          <w:sz w:val="22"/>
        </w:rPr>
        <w:t> </w:t>
      </w:r>
      <w:r>
        <w:rPr>
          <w:rFonts w:ascii="Times New Roman" w:hAnsi="Times New Roman"/>
          <w:b w:val="false"/>
          <w:i/>
          <w:color w:val="000000"/>
          <w:sz w:val="22"/>
        </w:rPr>
        <w:t xml:space="preserve">Decorum. </w:t>
      </w:r>
      <w:r>
        <w:rPr>
          <w:rFonts w:ascii="Times New Roman" w:hAnsi="Times New Roman"/>
          <w:b w:val="false"/>
          <w:i w:val="false"/>
          <w:color w:val="000000"/>
          <w:sz w:val="22"/>
        </w:rPr>
        <w:t>The presiding officer shall maintain the decorum of the hearing and may refuse to admit or may expel anyone whose conduct is disorderly. Contemptuous conduct is grounds for removal from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7.15(11)</w:t>
      </w:r>
      <w:r>
        <w:rPr>
          <w:rFonts w:ascii="Times New Roman" w:hAnsi="Times New Roman"/>
          <w:b w:val="false"/>
          <w:i w:val="false"/>
          <w:color w:val="000000"/>
          <w:sz w:val="22"/>
        </w:rPr>
        <w:t> </w:t>
      </w:r>
      <w:r>
        <w:rPr>
          <w:rFonts w:ascii="Times New Roman" w:hAnsi="Times New Roman"/>
          <w:b w:val="false"/>
          <w:i/>
          <w:color w:val="000000"/>
          <w:sz w:val="22"/>
        </w:rPr>
        <w:t xml:space="preserve">Recording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Method of recording. </w:t>
      </w:r>
      <w:r>
        <w:rPr>
          <w:rFonts w:ascii="Times New Roman" w:hAnsi="Times New Roman"/>
          <w:b w:val="false"/>
          <w:i w:val="false"/>
          <w:color w:val="000000"/>
          <w:sz w:val="22"/>
        </w:rPr>
        <w:t>Oral proceedings in connection with a hearing in a case shall be recorded either by mechanized means or by certified shorthand reporters. Parties requesting that the hearing be recorded by certified shorthand reporters shall bear the costs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Transcription. </w:t>
      </w:r>
      <w:r>
        <w:rPr>
          <w:rFonts w:ascii="Times New Roman" w:hAnsi="Times New Roman"/>
          <w:b w:val="false"/>
          <w:i w:val="false"/>
          <w:color w:val="000000"/>
          <w:sz w:val="22"/>
        </w:rPr>
        <w:t>Oral proceedings in connection with a hearing in a case or any portion of the oral proceedings shall be transcribed at the request of any party with the expense of the transcription charged to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Tapes. </w:t>
      </w:r>
      <w:r>
        <w:rPr>
          <w:rFonts w:ascii="Times New Roman" w:hAnsi="Times New Roman"/>
          <w:b w:val="false"/>
          <w:i w:val="false"/>
          <w:color w:val="000000"/>
          <w:sz w:val="22"/>
        </w:rPr>
        <w:t>Copies of mechanized records of oral proceedings may be obtained from the presiding officer at the requester’s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7.15(12)</w:t>
      </w:r>
      <w:r>
        <w:rPr>
          <w:rFonts w:ascii="Times New Roman" w:hAnsi="Times New Roman"/>
          <w:b w:val="false"/>
          <w:i w:val="false"/>
          <w:color w:val="000000"/>
          <w:sz w:val="22"/>
        </w:rPr>
        <w:t> </w:t>
      </w:r>
      <w:r>
        <w:rPr>
          <w:rFonts w:ascii="Times New Roman" w:hAnsi="Times New Roman"/>
          <w:b w:val="false"/>
          <w:i/>
          <w:color w:val="000000"/>
          <w:sz w:val="22"/>
        </w:rPr>
        <w:t xml:space="preserve">Telephone hearings. </w:t>
      </w:r>
      <w:r>
        <w:rPr>
          <w:rFonts w:ascii="Times New Roman" w:hAnsi="Times New Roman"/>
          <w:b w:val="false"/>
          <w:i w:val="false"/>
          <w:color w:val="000000"/>
          <w:sz w:val="22"/>
        </w:rPr>
        <w:t>Hearings may be conducted via telephone upon order of the presiding officer and with the consent of all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561—7.16</w:t>
      </w:r>
      <w:r>
        <w:rPr>
          <w:rFonts w:ascii="Times New Roman" w:hAnsi="Times New Roman"/>
          <w:b/>
          <w:i w:val="false"/>
          <w:color w:val="000000"/>
          <w:sz w:val="22"/>
        </w:rPr>
        <w:t xml:space="preserve">(17A,455A)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color w:val="000000"/>
          <w:sz w:val="22"/>
        </w:rPr>
        <w:t xml:space="preserve">Ruling on evidence. </w:t>
      </w:r>
      <w:r>
        <w:rPr>
          <w:rFonts w:ascii="Times New Roman" w:hAnsi="Times New Roman"/>
          <w:b w:val="false"/>
          <w:i w:val="false"/>
          <w:color w:val="000000"/>
          <w:sz w:val="22"/>
        </w:rPr>
        <w:t>The presiding officer shall rule on admissibility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color w:val="000000"/>
          <w:sz w:val="22"/>
        </w:rPr>
        <w:t xml:space="preserve">Admissibility in general. </w:t>
      </w:r>
      <w:r>
        <w:rPr>
          <w:rFonts w:ascii="Times New Roman" w:hAnsi="Times New Roman"/>
          <w:b w:val="false"/>
          <w:i w:val="false"/>
          <w:color w:val="000000"/>
          <w:sz w:val="22"/>
        </w:rPr>
        <w:t>Evidence that is relevant and material shall be admitted unless it is unduly repetitious. Relevant and material evidence may be admitted even though inadmissible in a jury trial.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color w:val="000000"/>
          <w:sz w:val="22"/>
        </w:rPr>
        <w:t xml:space="preserve">Issues restricted. </w:t>
      </w:r>
      <w:r>
        <w:rPr>
          <w:rFonts w:ascii="Times New Roman" w:hAnsi="Times New Roman"/>
          <w:b w:val="false"/>
          <w:i w:val="false"/>
          <w:color w:val="000000"/>
          <w:sz w:val="22"/>
        </w:rPr>
        <w:t>Evidence in the proceeding shall be confined to the issues that have been expressed in the appealed action, the appeal, the petition and the answer.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color w:val="000000"/>
          <w:sz w:val="22"/>
        </w:rPr>
        <w:t xml:space="preserve">Stipulation.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7.16(5)</w:t>
      </w:r>
      <w:r>
        <w:rPr>
          <w:rFonts w:ascii="Times New Roman" w:hAnsi="Times New Roman"/>
          <w:b w:val="false"/>
          <w:i w:val="false"/>
          <w:color w:val="000000"/>
          <w:sz w:val="22"/>
        </w:rPr>
        <w:t> </w:t>
      </w:r>
      <w:r>
        <w:rPr>
          <w:rFonts w:ascii="Times New Roman" w:hAnsi="Times New Roman"/>
          <w:b w:val="false"/>
          <w:i/>
          <w:color w:val="000000"/>
          <w:sz w:val="22"/>
        </w:rPr>
        <w:t xml:space="preserve">Privilege. </w:t>
      </w:r>
      <w:r>
        <w:rPr>
          <w:rFonts w:ascii="Times New Roman" w:hAnsi="Times New Roman"/>
          <w:b w:val="false"/>
          <w:i w:val="false"/>
          <w:color w:val="000000"/>
          <w:sz w:val="22"/>
        </w:rPr>
        <w:t>The rules of privilege recognized by law shall be given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7.16(6)</w:t>
      </w:r>
      <w:r>
        <w:rPr>
          <w:rFonts w:ascii="Times New Roman" w:hAnsi="Times New Roman"/>
          <w:b w:val="false"/>
          <w:i w:val="false"/>
          <w:color w:val="000000"/>
          <w:sz w:val="22"/>
        </w:rPr>
        <w:t> </w:t>
      </w:r>
      <w:r>
        <w:rPr>
          <w:rFonts w:ascii="Times New Roman" w:hAnsi="Times New Roman"/>
          <w:b w:val="false"/>
          <w:i/>
          <w:color w:val="000000"/>
          <w:sz w:val="22"/>
        </w:rPr>
        <w:t xml:space="preserve">Examination of exhibits.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7.16(7)</w:t>
      </w:r>
      <w:r>
        <w:rPr>
          <w:rFonts w:ascii="Times New Roman" w:hAnsi="Times New Roman"/>
          <w:b w:val="false"/>
          <w:i w:val="false"/>
          <w:color w:val="000000"/>
          <w:sz w:val="22"/>
        </w:rPr>
        <w:t> </w:t>
      </w:r>
      <w:r>
        <w:rPr>
          <w:rFonts w:ascii="Times New Roman" w:hAnsi="Times New Roman"/>
          <w:b w:val="false"/>
          <w:i/>
          <w:color w:val="000000"/>
          <w:sz w:val="22"/>
        </w:rPr>
        <w:t xml:space="preserve">Documentary evidence. </w:t>
      </w:r>
      <w:r>
        <w:rPr>
          <w:rFonts w:ascii="Times New Roman" w:hAnsi="Times New Roman"/>
          <w:b w:val="false"/>
          <w:i w:val="false"/>
          <w:color w:val="000000"/>
          <w:sz w:val="22"/>
        </w:rPr>
        <w:t>Documentary evidence may be received in the form of copies or excerpts if the original is not readily available. Upon request, parties shall be given an opportunity to compare the copy with the original,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7.16(8)</w:t>
      </w:r>
      <w:r>
        <w:rPr>
          <w:rFonts w:ascii="Times New Roman" w:hAnsi="Times New Roman"/>
          <w:b w:val="false"/>
          <w:i w:val="false"/>
          <w:color w:val="000000"/>
          <w:sz w:val="22"/>
        </w:rPr>
        <w:t> </w:t>
      </w:r>
      <w:r>
        <w:rPr>
          <w:rFonts w:ascii="Times New Roman" w:hAnsi="Times New Roman"/>
          <w:b w:val="false"/>
          <w:i/>
          <w:color w:val="000000"/>
          <w:sz w:val="22"/>
        </w:rPr>
        <w:t xml:space="preserve">Examination and cross-examination. </w:t>
      </w:r>
      <w:r>
        <w:rPr>
          <w:rFonts w:ascii="Times New Roman" w:hAnsi="Times New Roman"/>
          <w:b w:val="false"/>
          <w:i w:val="false"/>
          <w:color w:val="000000"/>
          <w:sz w:val="22"/>
        </w:rPr>
        <w:t>Witnesses at the hearing shall be examined orally, under oath. Witnesses at the hearing, or persons whose testimony has been submitted in written form, shall be subject to cross-examination by any parties as necessary for a full and true disclosure of facts. The presiding officer may limit the examination or cross-examination or both when necessary for orderly presentation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7.16(9)</w:t>
      </w:r>
      <w:r>
        <w:rPr>
          <w:rFonts w:ascii="Times New Roman" w:hAnsi="Times New Roman"/>
          <w:b w:val="false"/>
          <w:i w:val="false"/>
          <w:color w:val="000000"/>
          <w:sz w:val="22"/>
        </w:rPr>
        <w:t> </w:t>
      </w:r>
      <w:r>
        <w:rPr>
          <w:rFonts w:ascii="Times New Roman" w:hAnsi="Times New Roman"/>
          <w:b w:val="false"/>
          <w:i/>
          <w:color w:val="000000"/>
          <w:sz w:val="22"/>
        </w:rPr>
        <w:t xml:space="preserve">Sequestration of witnesses.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7.16(10)</w:t>
      </w:r>
      <w:r>
        <w:rPr>
          <w:rFonts w:ascii="Times New Roman" w:hAnsi="Times New Roman"/>
          <w:b w:val="false"/>
          <w:i w:val="false"/>
          <w:color w:val="000000"/>
          <w:sz w:val="22"/>
        </w:rPr>
        <w:t> </w:t>
      </w:r>
      <w:r>
        <w:rPr>
          <w:rFonts w:ascii="Times New Roman" w:hAnsi="Times New Roman"/>
          <w:b w:val="false"/>
          <w:i/>
          <w:color w:val="000000"/>
          <w:sz w:val="22"/>
        </w:rPr>
        <w:t xml:space="preserve">Objections to evidence.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7.16(11)</w:t>
      </w:r>
      <w:r>
        <w:rPr>
          <w:rFonts w:ascii="Times New Roman" w:hAnsi="Times New Roman"/>
          <w:b w:val="false"/>
          <w:i w:val="false"/>
          <w:color w:val="000000"/>
          <w:sz w:val="22"/>
        </w:rPr>
        <w:t> </w:t>
      </w:r>
      <w:r>
        <w:rPr>
          <w:rFonts w:ascii="Times New Roman" w:hAnsi="Times New Roman"/>
          <w:b w:val="false"/>
          <w:i/>
          <w:color w:val="000000"/>
          <w:sz w:val="22"/>
        </w:rPr>
        <w:t xml:space="preserve">Offer of proof. </w:t>
      </w:r>
      <w:r>
        <w:rPr>
          <w:rFonts w:ascii="Times New Roman" w:hAnsi="Times New Roman"/>
          <w:b w:val="false"/>
          <w:i w:val="false"/>
          <w:color w:val="000000"/>
          <w:sz w:val="22"/>
        </w:rPr>
        <w:t>Whenever evidence is deemed inadmissible, the party offering the evidence may make an offer of proof that shall be noted in the record. The offer of proof for excluded oral testimony shall consist of a brief statement describing the nature of the evidence excluded. If the evidence excluded consists of a document or exhibits, it shall be inserted in the record. In the event that the agency decides that the presiding officer’s ruling in excluding the evidence was erroneous and prejudicial, the hearing may be reopened to permit the taking of the evidence or, where appropriate, the agency may evaluate the evidence and proceed to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7.16(12)</w:t>
      </w:r>
      <w:r>
        <w:rPr>
          <w:rFonts w:ascii="Times New Roman" w:hAnsi="Times New Roman"/>
          <w:b w:val="false"/>
          <w:i w:val="false"/>
          <w:color w:val="000000"/>
          <w:sz w:val="22"/>
        </w:rPr>
        <w:t> </w:t>
      </w:r>
      <w:r>
        <w:rPr>
          <w:rFonts w:ascii="Times New Roman" w:hAnsi="Times New Roman"/>
          <w:b w:val="false"/>
          <w:i/>
          <w:color w:val="000000"/>
          <w:sz w:val="22"/>
        </w:rPr>
        <w:t xml:space="preserve">Official notice. </w:t>
      </w:r>
      <w:r>
        <w:rPr>
          <w:rFonts w:ascii="Times New Roman" w:hAnsi="Times New Roman"/>
          <w:b w:val="false"/>
          <w:i w:val="false"/>
          <w:color w:val="000000"/>
          <w:sz w:val="22"/>
        </w:rPr>
        <w:t>Official notice may be taken of all facts of which judicial notice may be taken and of other facts within the specialized knowledge of the agency. Parties shall be notified at the earliest practicable time, either before or during the hearing, or by reference in preliminary reports, preliminary decisions or otherwise, of the facts proposed to be noticed, and their source, including any staff memoranda or data. The parties may contest these facts before a decision is announced.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7.16(13)</w:t>
      </w:r>
      <w:r>
        <w:rPr>
          <w:rFonts w:ascii="Times New Roman" w:hAnsi="Times New Roman"/>
          <w:b w:val="false"/>
          <w:i w:val="false"/>
          <w:color w:val="000000"/>
          <w:sz w:val="22"/>
        </w:rPr>
        <w:t> </w:t>
      </w:r>
      <w:r>
        <w:rPr>
          <w:rFonts w:ascii="Times New Roman" w:hAnsi="Times New Roman"/>
          <w:b w:val="false"/>
          <w:i/>
          <w:color w:val="000000"/>
          <w:sz w:val="22"/>
        </w:rPr>
        <w:t xml:space="preserve">Evaluation of evidence. </w:t>
      </w:r>
      <w:r>
        <w:rPr>
          <w:rFonts w:ascii="Times New Roman" w:hAnsi="Times New Roman"/>
          <w:b w:val="false"/>
          <w:i w:val="false"/>
          <w:color w:val="000000"/>
          <w:sz w:val="22"/>
        </w:rPr>
        <w:t>The agency’s experience, technical competence, and specialized knowledge may be utilized in evaluating the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561—7.17</w:t>
      </w:r>
      <w:r>
        <w:rPr>
          <w:rFonts w:ascii="Times New Roman" w:hAnsi="Times New Roman"/>
          <w:b/>
          <w:i w:val="false"/>
          <w:color w:val="000000"/>
          <w:sz w:val="22"/>
        </w:rPr>
        <w:t xml:space="preserve">(17A,455A) </w:t>
      </w:r>
      <w:r>
        <w:rPr>
          <w:rFonts w:ascii="Times New Roman" w:hAnsi="Times New Roman"/>
          <w:b/>
          <w:i w:val="false"/>
          <w:color w:val="000000"/>
          <w:sz w:val="22"/>
        </w:rPr>
        <w:t xml:space="preserve">Posthearing procedures and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color w:val="000000"/>
          <w:sz w:val="22"/>
        </w:rPr>
        <w:t xml:space="preserve">Filing by parties of briefs and proposed findings. </w:t>
      </w:r>
      <w:r>
        <w:rPr>
          <w:rFonts w:ascii="Times New Roman" w:hAnsi="Times New Roman"/>
          <w:b w:val="false"/>
          <w:i w:val="false"/>
          <w:color w:val="000000"/>
          <w:sz w:val="22"/>
        </w:rPr>
        <w:t xml:space="preserve">Within 30 days after the last evidence is taken, each party may file with the presiding officer proposed findings of fact, conclusions of law, a proposed order or decision complying with subrule </w:t>
      </w:r>
      <w:hyperlink r:id="rId37">
        <w:r>
          <w:rPr>
            <w:rStyle w:val="Hyperlink"/>
            <w:rFonts w:ascii="Times New Roman" w:hAnsi="Times New Roman"/>
            <w:b w:val="false"/>
            <w:i w:val="false"/>
            <w:color w:val="000000"/>
            <w:sz w:val="22"/>
          </w:rPr>
          <w:t>7.17(3)</w:t>
        </w:r>
      </w:hyperlink>
      <w:r>
        <w:rPr>
          <w:rFonts w:ascii="Times New Roman" w:hAnsi="Times New Roman"/>
          <w:b w:val="false"/>
          <w:i w:val="false"/>
          <w:color w:val="000000"/>
          <w:sz w:val="22"/>
        </w:rPr>
        <w:t>, and a supporting brief. Each party may, within the same period, file with the presiding officer a brief concerning any relevant matters at the hearing. Copies of these documents shall be served upon each of the other parties. Within 20 days thereafter, each party may file a brief that takes specific exception to matters contained in an opposing brief or that contains alternative findings of fact, conclusions of law, and proposed order. The briefing schedule, including waiver of briefs, shall be determined at the close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color w:val="000000"/>
          <w:sz w:val="22"/>
        </w:rPr>
        <w:t xml:space="preserve">Final decision or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agency presides at the reception of evidence, the decision of the agency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agency does not preside at the reception of evidence, the presiding officer shall make a proposed decision. The proposed decision or order of the presiding officer becomes the final decision or order of the agency without further proceedings unless there is an appeal to, or review on motion of, the agency within the time provided in paragraph </w:t>
      </w:r>
      <w:hyperlink r:id="rId38">
        <w:r>
          <w:rPr>
            <w:rStyle w:val="Hyperlink"/>
            <w:rFonts w:ascii="Times New Roman" w:hAnsi="Times New Roman"/>
            <w:b w:val="false"/>
            <w:i w:val="false"/>
            <w:color w:val="000000"/>
            <w:sz w:val="22"/>
          </w:rPr>
          <w:t>7.17(5)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color w:val="000000"/>
          <w:sz w:val="22"/>
        </w:rPr>
        <w:t xml:space="preserve">Decisions and 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By whom prepared. </w:t>
      </w:r>
      <w:r>
        <w:rPr>
          <w:rFonts w:ascii="Times New Roman" w:hAnsi="Times New Roman"/>
          <w:b w:val="false"/>
          <w:i w:val="false"/>
          <w:color w:val="000000"/>
          <w:sz w:val="22"/>
        </w:rPr>
        <w:t>The presiding officer who presided at the reception of evidence shall prepare a proposed or final decision or order in each case. Findings of fact shall be prepared by the officer presiding at the reception of the evidence in a case unless the presiding officer becomes unavailable. If the officer is unavailable, the findings of fact may be prepared by another person qualified to be a presiding officer who has read the record, unless demeanor of witnesses is a substantial factor. If demeanor is a substantial factor and the presiding officer is unavailable, the portions of the hearing involving demeanor shall be heard again or the case shall be dismissed.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decision or order. </w:t>
      </w:r>
      <w:r>
        <w:rPr>
          <w:rFonts w:ascii="Times New Roman" w:hAnsi="Times New Roman"/>
          <w:b w:val="false"/>
          <w:i w:val="false"/>
          <w:color w:val="000000"/>
          <w:sz w:val="22"/>
        </w:rPr>
        <w:t>The proposed or final decision or order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 or stated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findings of fact. Findings of fact, if set forth in statutory language, shall be accompanied by a concise and explicit statement of underlying facts supporting the findings. If a party submitted proposed findings of fact in accordance with subrule </w:t>
      </w:r>
      <w:hyperlink r:id="rId39">
        <w:r>
          <w:rPr>
            <w:rStyle w:val="Hyperlink"/>
            <w:rFonts w:ascii="Times New Roman" w:hAnsi="Times New Roman"/>
            <w:b w:val="false"/>
            <w:i w:val="false"/>
            <w:color w:val="000000"/>
            <w:sz w:val="22"/>
          </w:rPr>
          <w:t>7.17(1)</w:t>
        </w:r>
      </w:hyperlink>
      <w:r>
        <w:rPr>
          <w:rFonts w:ascii="Times New Roman" w:hAnsi="Times New Roman"/>
          <w:b w:val="false"/>
          <w:i w:val="false"/>
          <w:color w:val="000000"/>
          <w:sz w:val="22"/>
        </w:rPr>
        <w:t>, the decision or order shall include a ruling upon each proposed finding. The decision shall include an explanation as to why the relevant evidence in the record supports each material finding of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conclusions of law, supported by cited authority or reasoned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A copy of the proposed decision or order shall be delivered to the parties either by e-file, personal service, or by 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7.17(4)</w:t>
      </w:r>
      <w:r>
        <w:rPr>
          <w:rFonts w:ascii="Times New Roman" w:hAnsi="Times New Roman"/>
          <w:b w:val="false"/>
          <w:i w:val="false"/>
          <w:color w:val="000000"/>
          <w:sz w:val="22"/>
        </w:rPr>
        <w:t> </w:t>
      </w:r>
      <w:r>
        <w:rPr>
          <w:rFonts w:ascii="Times New Roman" w:hAnsi="Times New Roman"/>
          <w:b w:val="false"/>
          <w:i/>
          <w:color w:val="000000"/>
          <w:sz w:val="22"/>
        </w:rPr>
        <w:t xml:space="preserve">The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of record. </w:t>
      </w:r>
      <w:r>
        <w:rPr>
          <w:rFonts w:ascii="Times New Roman" w:hAnsi="Times New Roman"/>
          <w:b w:val="false"/>
          <w:i w:val="false"/>
          <w:color w:val="000000"/>
          <w:sz w:val="22"/>
        </w:rPr>
        <w:t>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intermediate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and objections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decision, opinion or report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By whom prepared. </w:t>
      </w:r>
      <w:r>
        <w:rPr>
          <w:rFonts w:ascii="Times New Roman" w:hAnsi="Times New Roman"/>
          <w:b w:val="false"/>
          <w:i w:val="false"/>
          <w:color w:val="000000"/>
          <w:sz w:val="22"/>
        </w:rPr>
        <w:t>The presiding officer shall prepare the record for each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7.17(5)</w:t>
      </w:r>
      <w:r>
        <w:rPr>
          <w:rFonts w:ascii="Times New Roman" w:hAnsi="Times New Roman"/>
          <w:b w:val="false"/>
          <w:i w:val="false"/>
          <w:color w:val="000000"/>
          <w:sz w:val="22"/>
        </w:rPr>
        <w:t> </w:t>
      </w:r>
      <w:r>
        <w:rPr>
          <w:rFonts w:ascii="Times New Roman" w:hAnsi="Times New Roman"/>
          <w:b w:val="false"/>
          <w:i/>
          <w:color w:val="000000"/>
          <w:sz w:val="22"/>
        </w:rPr>
        <w:t xml:space="preserve">Appeal and review. </w:t>
      </w:r>
      <w:r>
        <w:rPr>
          <w:rFonts w:ascii="Times New Roman" w:hAnsi="Times New Roman"/>
          <w:b w:val="false"/>
          <w:i w:val="false"/>
          <w:color w:val="000000"/>
          <w:sz w:val="22"/>
        </w:rPr>
        <w:t>Any adversely affected party may appeal a proposed decision. Except as provided otherwise by another provision of law, all rulings by an administrative law judge acting as presiding officer are subject to appeal to the agency (the director or the appropriate commission, as required by law). The agency having jurisdiction shall review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allowed.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Appeal by party. An appeal by a party shall be made to the agency having jurisdiction of the proceeding and shall be taken within 30 days after receipt of the proposed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Agency decision to review. The agency may initiate review of a proposed decision on its own motion at the next meeting of the relevant commission after the appeal period in subparagraph </w:t>
      </w:r>
      <w:hyperlink r:id="rId40">
        <w:r>
          <w:rPr>
            <w:rStyle w:val="Hyperlink"/>
            <w:rFonts w:ascii="Times New Roman" w:hAnsi="Times New Roman"/>
            <w:b w:val="false"/>
            <w:i w:val="false"/>
            <w:color w:val="000000"/>
            <w:sz w:val="22"/>
          </w:rPr>
          <w:t>7.17(5)</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has concluded. The agency shall preside in the case of review of a proposed decision of the administrative law judge or appeal board on motion of the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Appeal is taken and perfected by filing with the director a timely notice of appeal signed by the appellant or the appellant’s attorney. It shall specify the parties taking the appeal and the final decision or order or part thereof appealed. The notice shall set forth, with particularity, the conclusions of law or findings of fact appealed. It shall be the appellant’s responsibility to immediately serve the notice of appeal upon all parties of record other than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 for transcript. </w:t>
      </w:r>
      <w:r>
        <w:rPr>
          <w:rFonts w:ascii="Times New Roman" w:hAnsi="Times New Roman"/>
          <w:b w:val="false"/>
          <w:i w:val="false"/>
          <w:color w:val="000000"/>
          <w:sz w:val="22"/>
        </w:rPr>
        <w:t>A request for a transcript or a copy of the electronic recording of a hearing on a matter appealed shall be made at the time of the filing of a notice of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director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receipt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 The agency may resolve the appeal on the briefs or provide an opportunity for oral argument. The agency may shorten or extend the briefing period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Agency review. </w:t>
      </w:r>
      <w:r>
        <w:rPr>
          <w:rFonts w:ascii="Times New Roman" w:hAnsi="Times New Roman"/>
          <w:b w:val="false"/>
          <w:i w:val="false"/>
          <w:color w:val="000000"/>
          <w:sz w:val="22"/>
        </w:rPr>
        <w:t>On appeal from or review of the proposed decision, the agency has all the power that it would have in initially making the final decision except as it may limit the issues. If the agency limits the issues, notice of this limitation shall be provided in writing to the parties. The agency may reverse or modify any finding of fact if a preponderance of the evidence will support a determination to reverse or modify such a finding, or the agency may reverse or modify any conclusion of law that the agency finds to be in error. When reviewing a proposed decision upon intra-agency appeal, the agency having jurisdiction shall have the powers of and shall comply with the provisions of this chapter that apply to presiding officers, unless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7.17(6)</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may file an application for rehearing.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shall state on whose behalf it is filed, the specific grounds for rehearing, and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for rehearing shall be filed with the director within 20 days after the receipt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for rehearing shall be immediately mailed by the applicant to all parties of record not joining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rehearing shall be deemed denied unless the agency grants the application within 20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7.17(7)</w:t>
      </w:r>
      <w:r>
        <w:rPr>
          <w:rFonts w:ascii="Times New Roman" w:hAnsi="Times New Roman"/>
          <w:b w:val="false"/>
          <w:i w:val="false"/>
          <w:color w:val="000000"/>
          <w:sz w:val="22"/>
        </w:rPr>
        <w:t> </w:t>
      </w:r>
      <w:r>
        <w:rPr>
          <w:rFonts w:ascii="Times New Roman" w:hAnsi="Times New Roman"/>
          <w:b w:val="false"/>
          <w:i/>
          <w:color w:val="000000"/>
          <w:sz w:val="22"/>
        </w:rPr>
        <w:t xml:space="preserve">Motion to vacate.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 motion to vacate may be filed by any party to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 of motion. </w:t>
      </w:r>
      <w:r>
        <w:rPr>
          <w:rFonts w:ascii="Times New Roman" w:hAnsi="Times New Roman"/>
          <w:b w:val="false"/>
          <w:i w:val="false"/>
          <w:color w:val="000000"/>
          <w:sz w:val="22"/>
        </w:rPr>
        <w:t>A motion to vacate shall be in writing, shall state on whose behalf it is filed, and shall state the specific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A motion to vacate must be filed within 30 days after receipt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motion to vacate shall be immediately mailed by the moving party to all parties of record not joining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Granting of motion to vacate. </w:t>
      </w:r>
      <w:r>
        <w:rPr>
          <w:rFonts w:ascii="Times New Roman" w:hAnsi="Times New Roman"/>
          <w:b w:val="false"/>
          <w:i w:val="false"/>
          <w:color w:val="000000"/>
          <w:sz w:val="22"/>
        </w:rPr>
        <w:t>A motion to vacate may be granted if the presiding officer finds that any of the following grounds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moving party experienced unavoidable casualty or misfortune preventing the moving party from participating during the contested case process;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moving party has material evidence, newly discovered, which could not with reasonable diligence have been discovered and produced at the contested case hearing, and was not discovered within the time for making an application for rehearing under subrule </w:t>
      </w:r>
      <w:hyperlink r:id="rId41">
        <w:r>
          <w:rPr>
            <w:rStyle w:val="Hyperlink"/>
            <w:rFonts w:ascii="Times New Roman" w:hAnsi="Times New Roman"/>
            <w:b w:val="false"/>
            <w:i w:val="false"/>
            <w:color w:val="000000"/>
            <w:sz w:val="22"/>
          </w:rPr>
          <w:t>7.17(6)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7.17(8)</w:t>
      </w:r>
      <w:r>
        <w:rPr>
          <w:rFonts w:ascii="Times New Roman" w:hAnsi="Times New Roman"/>
          <w:b w:val="false"/>
          <w:i w:val="false"/>
          <w:color w:val="000000"/>
          <w:sz w:val="22"/>
        </w:rPr>
        <w:t> </w:t>
      </w:r>
      <w:r>
        <w:rPr>
          <w:rFonts w:ascii="Times New Roman" w:hAnsi="Times New Roman"/>
          <w:b w:val="false"/>
          <w:i/>
          <w:color w:val="000000"/>
          <w:sz w:val="22"/>
        </w:rPr>
        <w:t xml:space="preserve">Stays of agency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appealing an action of the department, other than an emergency action taken pursuant to the provisions of rule </w:t>
      </w:r>
      <w:hyperlink r:id="rId42">
        <w:r>
          <w:rPr>
            <w:rStyle w:val="Hyperlink"/>
            <w:rFonts w:ascii="Times New Roman" w:hAnsi="Times New Roman"/>
            <w:b w:val="false"/>
            <w:i w:val="false"/>
            <w:color w:val="000000"/>
            <w:sz w:val="22"/>
          </w:rPr>
          <w:t>561—7.18</w:t>
        </w:r>
      </w:hyperlink>
      <w:r>
        <w:rPr>
          <w:rFonts w:ascii="Times New Roman" w:hAnsi="Times New Roman"/>
          <w:b w:val="false"/>
          <w:i w:val="false"/>
          <w:color w:val="000000"/>
          <w:sz w:val="22"/>
        </w:rPr>
        <w:t>(17A,455A), may petition the presiding officer for a stay of the department’s action or a part thereof pending its review. The petition for stay shall state the reasons justifying a stay. Whenever possible, an appellant should seek a stay upon the filing of an appeal. An appellant who fails to promptly file for a stay does so at that party’s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Any party adversely affected by a final decision or order, other than an emergency order that is governed by rule </w:t>
      </w:r>
      <w:hyperlink r:id="rId43">
        <w:r>
          <w:rPr>
            <w:rStyle w:val="Hyperlink"/>
            <w:rFonts w:ascii="Times New Roman" w:hAnsi="Times New Roman"/>
            <w:b w:val="false"/>
            <w:i w:val="false"/>
            <w:color w:val="000000"/>
            <w:sz w:val="22"/>
          </w:rPr>
          <w:t>561—7.18</w:t>
        </w:r>
      </w:hyperlink>
      <w:r>
        <w:rPr>
          <w:rFonts w:ascii="Times New Roman" w:hAnsi="Times New Roman"/>
          <w:b w:val="false"/>
          <w:i w:val="false"/>
          <w:color w:val="000000"/>
          <w:sz w:val="22"/>
        </w:rPr>
        <w:t xml:space="preserve">(17A,455A), may petition the agency for a stay of the final decision or order pending judicial review. The petition for stay shall be filed with the director within ten days of receipt of the final decision or order, and shall state the reasons justifying a stay.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The presiding officer or agency, as appropriate, shall consider the factors listed in Iowa Code section </w:t>
      </w:r>
      <w:hyperlink r:id="rId44">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r>
        <w:rPr>
          <w:rFonts w:ascii="Times New Roman" w:hAnsi="Times New Roman"/>
          <w:b w:val="false"/>
          <w:i w:val="false"/>
          <w:color w:val="000000"/>
          <w:sz w:val="22"/>
        </w:rPr>
        <w:t xml:space="preserve"> when considering whether to grant a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department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561—7.18</w:t>
      </w:r>
      <w:r>
        <w:rPr>
          <w:rFonts w:ascii="Times New Roman" w:hAnsi="Times New Roman"/>
          <w:b/>
          <w:i w:val="false"/>
          <w:color w:val="000000"/>
          <w:sz w:val="22"/>
        </w:rPr>
        <w:t xml:space="preserve">(17A,455A) </w:t>
      </w:r>
      <w:r>
        <w:rPr>
          <w:rFonts w:ascii="Times New Roman" w:hAnsi="Times New Roman"/>
          <w:b/>
          <w:i w:val="false"/>
          <w:color w:val="000000"/>
          <w:sz w:val="22"/>
        </w:rPr>
        <w:t xml:space="preserve">Emergency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color w:val="000000"/>
          <w:sz w:val="22"/>
        </w:rPr>
        <w:t xml:space="preserve">Necessity of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Iowa Constitution and other provisions of law, the agency may issue a written emergency administrative order in compliance with Iowa Code section </w:t>
      </w:r>
      <w:hyperlink r:id="rId45">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suspend a license in whole or in part, order cessation of any continuing activity, order affirmative action, or take other action within the jurisdiction of the agency. Before issuing an emergency administrative order, the agency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agency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administrative order may continue to engage in alternative activities without posing immediate danger to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public health, safety and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agency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color w:val="000000"/>
          <w:sz w:val="22"/>
        </w:rPr>
        <w:t xml:space="preserve">Contents of order. </w:t>
      </w:r>
      <w:r>
        <w:rPr>
          <w:rFonts w:ascii="Times New Roman" w:hAnsi="Times New Roman"/>
          <w:b w:val="false"/>
          <w:i w:val="false"/>
          <w:color w:val="000000"/>
          <w:sz w:val="22"/>
        </w:rPr>
        <w:t>An emergency administrative order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Findings of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Conclusions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Policy reasons for the decision if it is an exercise of the agency’s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color w:val="000000"/>
          <w:sz w:val="22"/>
        </w:rPr>
        <w:t xml:space="preserve">Delivery of emergency order. </w:t>
      </w:r>
      <w:r>
        <w:rPr>
          <w:rFonts w:ascii="Times New Roman" w:hAnsi="Times New Roman"/>
          <w:b w:val="false"/>
          <w:i w:val="false"/>
          <w:color w:val="000000"/>
          <w:sz w:val="22"/>
        </w:rPr>
        <w:t>To the degree practicable, the department shall select the procedure for delivery of an emergency administrative order that best ensures prompt, reliable delivery. An emergency order shall be delivered immediately to the person or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delivery;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agency orders be sent by fax and the person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7.18(4)</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emergency order is delivered by personal delivery on the same day that the order is issued, the agency shall make reasonable immediate efforts to contact by telephone the person or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7.18(5)</w:t>
      </w:r>
      <w:r>
        <w:rPr>
          <w:rFonts w:ascii="Times New Roman" w:hAnsi="Times New Roman"/>
          <w:b w:val="false"/>
          <w:i w:val="false"/>
          <w:color w:val="000000"/>
          <w:sz w:val="22"/>
        </w:rPr>
        <w:t> </w:t>
      </w:r>
      <w:r>
        <w:rPr>
          <w:rFonts w:ascii="Times New Roman" w:hAnsi="Times New Roman"/>
          <w:b w:val="false"/>
          <w:i/>
          <w:color w:val="000000"/>
          <w:sz w:val="22"/>
        </w:rPr>
        <w:t xml:space="preserve">Stay of order. </w:t>
      </w:r>
      <w:r>
        <w:rPr>
          <w:rFonts w:ascii="Times New Roman" w:hAnsi="Times New Roman"/>
          <w:b w:val="false"/>
          <w:i w:val="false"/>
          <w:color w:val="000000"/>
          <w:sz w:val="22"/>
        </w:rPr>
        <w:t>A person named in an emergency order may request a stay of the order by contacting the director by telephone or by delivery of a written request for stay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request for stay of an emergency order, the director shall schedule a hearing to take place within five days of receipt of the request or a longer time as agreed upon by the appellant. The person requesting the stay shall be notified of the time and place of the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scope of the hearing on a request for stay shall be limited to, and the decision whether to grant a stay shall be based upon,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requester will suffer irreparable injury if a stay is not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requester is likely to prevail on the merits when the appeal of the order is heard,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lies the public interest,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rule or statute upon which the order is founded is clearly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procedures in a decision to grant or deny a stay shall conform with rule </w:t>
      </w:r>
      <w:hyperlink r:id="rId46">
        <w:r>
          <w:rPr>
            <w:rStyle w:val="Hyperlink"/>
            <w:rFonts w:ascii="Times New Roman" w:hAnsi="Times New Roman"/>
            <w:b w:val="false"/>
            <w:i w:val="false"/>
            <w:color w:val="000000"/>
            <w:sz w:val="22"/>
          </w:rPr>
          <w:t>561—7.15</w:t>
        </w:r>
      </w:hyperlink>
      <w:r>
        <w:rPr>
          <w:rFonts w:ascii="Times New Roman" w:hAnsi="Times New Roman"/>
          <w:b w:val="false"/>
          <w:i w:val="false"/>
          <w:color w:val="000000"/>
          <w:sz w:val="22"/>
        </w:rPr>
        <w:t>(17A,455A).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7.18(6)</w:t>
      </w:r>
      <w:r>
        <w:rPr>
          <w:rFonts w:ascii="Times New Roman" w:hAnsi="Times New Roman"/>
          <w:b w:val="false"/>
          <w:i w:val="false"/>
          <w:color w:val="000000"/>
          <w:sz w:val="22"/>
        </w:rPr>
        <w:t> </w:t>
      </w:r>
      <w:r>
        <w:rPr>
          <w:rFonts w:ascii="Times New Roman" w:hAnsi="Times New Roman"/>
          <w:b w:val="false"/>
          <w:i/>
          <w:color w:val="000000"/>
          <w:sz w:val="22"/>
        </w:rPr>
        <w:t xml:space="preserve">Decision on merits. </w:t>
      </w:r>
      <w:r>
        <w:rPr>
          <w:rFonts w:ascii="Times New Roman" w:hAnsi="Times New Roman"/>
          <w:b w:val="false"/>
          <w:i w:val="false"/>
          <w:color w:val="000000"/>
          <w:sz w:val="22"/>
        </w:rPr>
        <w:t>Where agreed to by the parties, the appeal of an emergency order may be decided based upon the evidence presented at the hearing for stay. Otherwise, a hearing on the merits shall proceed in accordance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561—7.19</w:t>
      </w:r>
      <w:r>
        <w:rPr>
          <w:rFonts w:ascii="Times New Roman" w:hAnsi="Times New Roman"/>
          <w:b/>
          <w:i w:val="false"/>
          <w:color w:val="000000"/>
          <w:sz w:val="22"/>
        </w:rPr>
        <w:t xml:space="preserve">(17A,455A) </w:t>
      </w:r>
      <w:r>
        <w:rPr>
          <w:rFonts w:ascii="Times New Roman" w:hAnsi="Times New Roman"/>
          <w:b/>
          <w:i w:val="false"/>
          <w:color w:val="000000"/>
          <w:sz w:val="22"/>
        </w:rPr>
        <w:t xml:space="preserve">License suspension or revocation and other licensee disciplinary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Except as provided in rule </w:t>
      </w:r>
      <w:hyperlink r:id="rId47">
        <w:r>
          <w:rPr>
            <w:rStyle w:val="Hyperlink"/>
            <w:rFonts w:ascii="Times New Roman" w:hAnsi="Times New Roman"/>
            <w:b w:val="false"/>
            <w:i w:val="false"/>
            <w:color w:val="000000"/>
            <w:sz w:val="22"/>
          </w:rPr>
          <w:t>561—7.18</w:t>
        </w:r>
      </w:hyperlink>
      <w:r>
        <w:rPr>
          <w:rFonts w:ascii="Times New Roman" w:hAnsi="Times New Roman"/>
          <w:b w:val="false"/>
          <w:i w:val="false"/>
          <w:color w:val="000000"/>
          <w:sz w:val="22"/>
        </w:rPr>
        <w:t xml:space="preserve">(17A,455A) or in subrule </w:t>
      </w:r>
      <w:hyperlink r:id="rId48">
        <w:r>
          <w:rPr>
            <w:rStyle w:val="Hyperlink"/>
            <w:rFonts w:ascii="Times New Roman" w:hAnsi="Times New Roman"/>
            <w:b w:val="false"/>
            <w:i w:val="false"/>
            <w:color w:val="000000"/>
            <w:sz w:val="22"/>
          </w:rPr>
          <w:t>7.19(3)</w:t>
        </w:r>
      </w:hyperlink>
      <w:r>
        <w:rPr>
          <w:rFonts w:ascii="Times New Roman" w:hAnsi="Times New Roman"/>
          <w:b w:val="false"/>
          <w:i w:val="false"/>
          <w:color w:val="000000"/>
          <w:sz w:val="22"/>
        </w:rPr>
        <w:t xml:space="preserve">, prior to the suspension or revocation of a license, the department shall give notice of its intent and shall provide an opportunity to be heard at an evidentiary hearing conducted according to the provisions of this chapter. However, according to the provisions of Iowa Code section </w:t>
      </w:r>
      <w:hyperlink r:id="rId49">
        <w:r>
          <w:rPr>
            <w:rStyle w:val="Hyperlink"/>
            <w:rFonts w:ascii="Times New Roman" w:hAnsi="Times New Roman"/>
            <w:b w:val="false"/>
            <w:i w:val="false"/>
            <w:color w:val="000000"/>
            <w:sz w:val="22"/>
          </w:rPr>
          <w:t>455B.219</w:t>
        </w:r>
      </w:hyperlink>
      <w:r>
        <w:rPr>
          <w:rFonts w:ascii="Times New Roman" w:hAnsi="Times New Roman"/>
          <w:b w:val="false"/>
          <w:i w:val="false"/>
          <w:color w:val="000000"/>
          <w:sz w:val="22"/>
        </w:rPr>
        <w:t>, an evidentiary hearing, and not just the opportunity therefor, must occur prior to revocation or suspension of a license for water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7.19(2)</w:t>
      </w:r>
      <w:r>
        <w:rPr>
          <w:rFonts w:ascii="Times New Roman" w:hAnsi="Times New Roman"/>
          <w:b w:val="false"/>
          <w:i w:val="false"/>
          <w:color w:val="000000"/>
          <w:sz w:val="22"/>
        </w:rPr>
        <w:t> </w:t>
      </w:r>
      <w:r>
        <w:rPr>
          <w:rFonts w:ascii="Times New Roman" w:hAnsi="Times New Roman"/>
          <w:b w:val="false"/>
          <w:i/>
          <w:color w:val="000000"/>
          <w:sz w:val="22"/>
        </w:rPr>
        <w:t xml:space="preserve">Content of notice. </w:t>
      </w:r>
      <w:r>
        <w:rPr>
          <w:rFonts w:ascii="Times New Roman" w:hAnsi="Times New Roman"/>
          <w:b w:val="false"/>
          <w:i w:val="false"/>
          <w:color w:val="000000"/>
          <w:sz w:val="22"/>
        </w:rPr>
        <w:t>The notice shall inform the licensee of the department’s intent to suspend or revoke the license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facts or conduct warranting the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jurisdiction and the provision of law that warrants the intended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licensee may show at a hearing that the licensee meets all lawful requirements to retain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7.19(3)</w:t>
      </w:r>
      <w:r>
        <w:rPr>
          <w:rFonts w:ascii="Times New Roman" w:hAnsi="Times New Roman"/>
          <w:b w:val="false"/>
          <w:i w:val="false"/>
          <w:color w:val="000000"/>
          <w:sz w:val="22"/>
        </w:rPr>
        <w:t> </w:t>
      </w:r>
      <w:r>
        <w:rPr>
          <w:rFonts w:ascii="Times New Roman" w:hAnsi="Times New Roman"/>
          <w:b w:val="false"/>
          <w:i/>
          <w:color w:val="000000"/>
          <w:sz w:val="22"/>
        </w:rPr>
        <w:t xml:space="preserve">Delivery of notice. </w:t>
      </w:r>
      <w:r>
        <w:rPr>
          <w:rFonts w:ascii="Times New Roman" w:hAnsi="Times New Roman"/>
          <w:b w:val="false"/>
          <w:i w:val="false"/>
          <w:color w:val="000000"/>
          <w:sz w:val="22"/>
        </w:rPr>
        <w:t>Delivery of notice in license revocation or suspension proceedings shall be by personal service or by restricted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7.19(4)</w:t>
      </w:r>
      <w:r>
        <w:rPr>
          <w:rFonts w:ascii="Times New Roman" w:hAnsi="Times New Roman"/>
          <w:b w:val="false"/>
          <w:i w:val="false"/>
          <w:color w:val="000000"/>
          <w:sz w:val="22"/>
        </w:rPr>
        <w:t> </w:t>
      </w:r>
      <w:r>
        <w:rPr>
          <w:rFonts w:ascii="Times New Roman" w:hAnsi="Times New Roman"/>
          <w:b w:val="false"/>
          <w:i/>
          <w:color w:val="000000"/>
          <w:sz w:val="22"/>
        </w:rPr>
        <w:t xml:space="preserve">Time to request hearing. </w:t>
      </w:r>
      <w:r>
        <w:rPr>
          <w:rFonts w:ascii="Times New Roman" w:hAnsi="Times New Roman"/>
          <w:b w:val="false"/>
          <w:i w:val="false"/>
          <w:color w:val="000000"/>
          <w:sz w:val="22"/>
        </w:rPr>
        <w:t>A person entitled to request a hearing according to the provisions of this rule may invoke the right within 30 days of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7.19(5)</w:t>
      </w:r>
      <w:r>
        <w:rPr>
          <w:rFonts w:ascii="Times New Roman" w:hAnsi="Times New Roman"/>
          <w:b w:val="false"/>
          <w:i w:val="false"/>
          <w:color w:val="000000"/>
          <w:sz w:val="22"/>
        </w:rPr>
        <w:t> </w:t>
      </w:r>
      <w:r>
        <w:rPr>
          <w:rFonts w:ascii="Times New Roman" w:hAnsi="Times New Roman"/>
          <w:b w:val="false"/>
          <w:i/>
          <w:color w:val="000000"/>
          <w:sz w:val="22"/>
        </w:rPr>
        <w:t xml:space="preserve">Setting hearing. </w:t>
      </w:r>
      <w:r>
        <w:rPr>
          <w:rFonts w:ascii="Times New Roman" w:hAnsi="Times New Roman"/>
          <w:b w:val="false"/>
          <w:i w:val="false"/>
          <w:color w:val="000000"/>
          <w:sz w:val="22"/>
        </w:rPr>
        <w:t xml:space="preserve">Upon receipt of a request for a hearing or upon receipt of a notice of intent to revoke or suspend a license according to the provisions of Iowa Code section </w:t>
      </w:r>
      <w:hyperlink r:id="rId50">
        <w:r>
          <w:rPr>
            <w:rStyle w:val="Hyperlink"/>
            <w:rFonts w:ascii="Times New Roman" w:hAnsi="Times New Roman"/>
            <w:b w:val="false"/>
            <w:i w:val="false"/>
            <w:color w:val="000000"/>
            <w:sz w:val="22"/>
          </w:rPr>
          <w:t>455B.291</w:t>
        </w:r>
      </w:hyperlink>
      <w:r>
        <w:rPr>
          <w:rFonts w:ascii="Times New Roman" w:hAnsi="Times New Roman"/>
          <w:b w:val="false"/>
          <w:i w:val="false"/>
          <w:color w:val="000000"/>
          <w:sz w:val="22"/>
        </w:rPr>
        <w:t>, the presiding officer shall prepare a notice of hearing. The contested case hearing procedures in this chapter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7.19(6)</w:t>
      </w:r>
      <w:r>
        <w:rPr>
          <w:rFonts w:ascii="Times New Roman" w:hAnsi="Times New Roman"/>
          <w:b w:val="false"/>
          <w:i w:val="false"/>
          <w:color w:val="000000"/>
          <w:sz w:val="22"/>
        </w:rPr>
        <w:t> </w:t>
      </w:r>
      <w:r>
        <w:rPr>
          <w:rFonts w:ascii="Times New Roman" w:hAnsi="Times New Roman"/>
          <w:b w:val="false"/>
          <w:i/>
          <w:color w:val="000000"/>
          <w:sz w:val="22"/>
        </w:rPr>
        <w:t xml:space="preserve">Filing of petition and answer. </w:t>
      </w:r>
      <w:r>
        <w:rPr>
          <w:rFonts w:ascii="Times New Roman" w:hAnsi="Times New Roman"/>
          <w:b w:val="false"/>
          <w:i w:val="false"/>
          <w:color w:val="000000"/>
          <w:sz w:val="22"/>
        </w:rPr>
        <w:t xml:space="preserve">Within 10 days of receipt of the notice of hearing, the department shall file a petition that complies with the provisions of paragraph </w:t>
      </w:r>
      <w:hyperlink r:id="rId51">
        <w:r>
          <w:rPr>
            <w:rStyle w:val="Hyperlink"/>
            <w:rFonts w:ascii="Times New Roman" w:hAnsi="Times New Roman"/>
            <w:b w:val="false"/>
            <w:i w:val="false"/>
            <w:color w:val="000000"/>
            <w:sz w:val="22"/>
          </w:rPr>
          <w:t>7.12(1)</w:t>
        </w:r>
      </w:hyperlink>
      <w:r>
        <w:rPr>
          <w:rFonts w:ascii="Times New Roman" w:hAnsi="Times New Roman"/>
          <w:b w:val="false"/>
          <w:i/>
          <w:color w:val="000000"/>
          <w:sz w:val="22"/>
        </w:rPr>
        <w:t>“c.”</w:t>
      </w:r>
      <w:r>
        <w:rPr>
          <w:rFonts w:ascii="Times New Roman" w:hAnsi="Times New Roman"/>
          <w:b w:val="false"/>
          <w:i w:val="false"/>
          <w:color w:val="000000"/>
          <w:sz w:val="22"/>
        </w:rPr>
        <w:t xml:space="preserve"> An answer complying with the provisions of paragraphs </w:t>
      </w:r>
      <w:hyperlink r:id="rId52">
        <w:r>
          <w:rPr>
            <w:rStyle w:val="Hyperlink"/>
            <w:rFonts w:ascii="Times New Roman" w:hAnsi="Times New Roman"/>
            <w:b w:val="false"/>
            <w:i w:val="false"/>
            <w:color w:val="000000"/>
            <w:sz w:val="22"/>
          </w:rPr>
          <w:t>7.12(2)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may be filed within 10 days of receipt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7.19(7)</w:t>
      </w:r>
      <w:r>
        <w:rPr>
          <w:rFonts w:ascii="Times New Roman" w:hAnsi="Times New Roman"/>
          <w:b w:val="false"/>
          <w:i w:val="false"/>
          <w:color w:val="000000"/>
          <w:sz w:val="22"/>
        </w:rPr>
        <w:t> </w:t>
      </w:r>
      <w:r>
        <w:rPr>
          <w:rFonts w:ascii="Times New Roman" w:hAnsi="Times New Roman"/>
          <w:b w:val="false"/>
          <w:i/>
          <w:color w:val="000000"/>
          <w:sz w:val="22"/>
        </w:rPr>
        <w:t xml:space="preserve">Emergency suspension. </w:t>
      </w:r>
      <w:r>
        <w:rPr>
          <w:rFonts w:ascii="Times New Roman" w:hAnsi="Times New Roman"/>
          <w:b w:val="false"/>
          <w:i w:val="false"/>
          <w:color w:val="000000"/>
          <w:sz w:val="22"/>
        </w:rPr>
        <w:t>A license may be suspended without the department providing to the licensee a prior opportunity to be heard if the agency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Finds that the public health, safety or welfare imperatively requires emergency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Incorporates a finding to that effect in its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Complies with the provisions of rule </w:t>
      </w:r>
      <w:hyperlink r:id="rId53">
        <w:r>
          <w:rPr>
            <w:rStyle w:val="Hyperlink"/>
            <w:rFonts w:ascii="Times New Roman" w:hAnsi="Times New Roman"/>
            <w:b w:val="false"/>
            <w:i w:val="false"/>
            <w:color w:val="000000"/>
            <w:sz w:val="22"/>
          </w:rPr>
          <w:t>561—7.18</w:t>
        </w:r>
      </w:hyperlink>
      <w:r>
        <w:rPr>
          <w:rFonts w:ascii="Times New Roman" w:hAnsi="Times New Roman"/>
          <w:b w:val="false"/>
          <w:i w:val="false"/>
          <w:color w:val="000000"/>
          <w:sz w:val="22"/>
        </w:rPr>
        <w:t>(17A,455A),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Promptly thereafter provides the licensee an opportunity to be heard.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7.19(8)</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suspension or revocation. </w:t>
      </w:r>
      <w:r>
        <w:rPr>
          <w:rFonts w:ascii="Times New Roman" w:hAnsi="Times New Roman"/>
          <w:b w:val="false"/>
          <w:i w:val="false"/>
          <w:color w:val="000000"/>
          <w:sz w:val="22"/>
        </w:rPr>
        <w:t xml:space="preserve">Except as provided in Iowa Code section </w:t>
      </w:r>
      <w:hyperlink r:id="rId54">
        <w:r>
          <w:rPr>
            <w:rStyle w:val="Hyperlink"/>
            <w:rFonts w:ascii="Times New Roman" w:hAnsi="Times New Roman"/>
            <w:b w:val="false"/>
            <w:i w:val="false"/>
            <w:color w:val="000000"/>
            <w:sz w:val="22"/>
          </w:rPr>
          <w:t>455B.219</w:t>
        </w:r>
      </w:hyperlink>
      <w:r>
        <w:rPr>
          <w:rFonts w:ascii="Times New Roman" w:hAnsi="Times New Roman"/>
          <w:b w:val="false"/>
          <w:i w:val="false"/>
          <w:color w:val="000000"/>
          <w:sz w:val="22"/>
        </w:rPr>
        <w:t xml:space="preserve"> and subrule </w:t>
      </w:r>
      <w:hyperlink r:id="rId55">
        <w:r>
          <w:rPr>
            <w:rStyle w:val="Hyperlink"/>
            <w:rFonts w:ascii="Times New Roman" w:hAnsi="Times New Roman"/>
            <w:b w:val="false"/>
            <w:i w:val="false"/>
            <w:color w:val="000000"/>
            <w:sz w:val="22"/>
          </w:rPr>
          <w:t>7.19(7)</w:t>
        </w:r>
      </w:hyperlink>
      <w:r>
        <w:rPr>
          <w:rFonts w:ascii="Times New Roman" w:hAnsi="Times New Roman"/>
          <w:b w:val="false"/>
          <w:i w:val="false"/>
          <w:color w:val="000000"/>
          <w:sz w:val="22"/>
        </w:rPr>
        <w:t>, suspension or revocation pursuant to this rule shall be effective upon: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of the licensee to request a hearing within 30 days of receipt of notice of intent to revoke or suspend;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issuance of an order suspending or revoking the license after hearing.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561—7.20</w:t>
      </w:r>
      <w:r>
        <w:rPr>
          <w:rFonts w:ascii="Times New Roman" w:hAnsi="Times New Roman"/>
          <w:b/>
          <w:i w:val="false"/>
          <w:color w:val="000000"/>
          <w:sz w:val="22"/>
        </w:rPr>
        <w:t xml:space="preserve">(17A,455A)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The waiver shall be by written stipulation representing an informed, mutual consent. However, the agency, in its discretion, may refuse to give effect to such waiver when it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9433C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chapter </w:t>
      </w:r>
      <w:hyperlink r:id="rId57">
        <w:r>
          <w:rPr>
            <w:rStyle w:val="Hyperlink"/>
            <w:rFonts w:ascii="Times New Roman" w:hAnsi="Times New Roman"/>
            <w:b w:val="false"/>
            <w:i w:val="false"/>
            <w:color w:val="000000"/>
            <w:sz w:val="22"/>
          </w:rPr>
          <w:t>455A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8/19/88, Notice 3/23/88—published 9/7/88, effective 10/12/88]</w:t>
      </w:r>
    </w:p>
    <w:p>
      <w:pPr>
        <w:spacing w:before="0" w:after="0"/>
        <w:ind w:left="120"/>
        <w:jc w:val="center"/>
      </w:pPr>
      <w:r>
        <w:rPr>
          <w:rFonts w:ascii="Times New Roman" w:hAnsi="Times New Roman"/>
          <w:b w:val="false"/>
          <w:i w:val="false"/>
          <w:color w:val="000000"/>
          <w:sz w:val="21"/>
        </w:rPr>
        <w:t>[Filed 1/30/03, Notice 11/13/02—published 2/19/03, effective 3/26/03]</w:t>
      </w:r>
    </w:p>
    <w:p>
      <w:pPr>
        <w:spacing w:before="0" w:after="0"/>
        <w:ind w:left="120"/>
        <w:jc w:val="center"/>
      </w:pPr>
      <w:r>
        <w:rPr>
          <w:rFonts w:ascii="Times New Roman" w:hAnsi="Times New Roman"/>
          <w:b w:val="false"/>
          <w:i w:val="false"/>
          <w:color w:val="000000"/>
          <w:sz w:val="21"/>
        </w:rPr>
        <w:t>[Filed 1/12/07, Notice 9/27/06—published 1/31/07, effective 3/7/07]</w:t>
      </w:r>
    </w:p>
    <w:p>
      <w:pPr>
        <w:spacing w:before="0" w:after="0"/>
        <w:ind w:left="120"/>
        <w:jc w:val="center"/>
      </w:pPr>
      <w:r>
        <w:rPr>
          <w:rFonts w:ascii="Times New Roman" w:hAnsi="Times New Roman"/>
          <w:b w:val="false"/>
          <w:i w:val="false"/>
          <w:color w:val="000000"/>
          <w:sz w:val="21"/>
        </w:rPr>
        <w:t>[Filed ARC 5095C</w:t>
      </w:r>
      <w:r>
        <w:rPr>
          <w:rFonts w:ascii="Times New Roman" w:hAnsi="Times New Roman"/>
          <w:b w:val="false"/>
          <w:i w:val="false"/>
          <w:color w:val="000000"/>
          <w:sz w:val="21"/>
        </w:rPr>
        <w:t xml:space="preserve"> (Notice ARC 4861C, IAB 1/15/20)</w:t>
      </w:r>
      <w:r>
        <w:rPr>
          <w:rFonts w:ascii="Times New Roman" w:hAnsi="Times New Roman"/>
          <w:b w:val="false"/>
          <w:i w:val="false"/>
          <w:color w:val="000000"/>
          <w:sz w:val="21"/>
        </w:rPr>
        <w:t>, IAB 7/15/20, effective 8/19/20]</w:t>
      </w:r>
    </w:p>
    <w:p>
      <w:pPr>
        <w:spacing w:before="0" w:after="0"/>
        <w:ind w:left="120"/>
        <w:jc w:val="center"/>
      </w:pPr>
      <w:r>
        <w:rPr>
          <w:rFonts w:ascii="Times New Roman" w:hAnsi="Times New Roman"/>
          <w:b w:val="false"/>
          <w:i w:val="false"/>
          <w:color w:val="000000"/>
          <w:sz w:val="21"/>
        </w:rPr>
        <w:t>[Filed ARC 9433C</w:t>
      </w:r>
      <w:r>
        <w:rPr>
          <w:rFonts w:ascii="Times New Roman" w:hAnsi="Times New Roman"/>
          <w:b w:val="false"/>
          <w:i w:val="false"/>
          <w:color w:val="000000"/>
          <w:sz w:val="21"/>
        </w:rPr>
        <w:t xml:space="preserve"> (Notice ARC 8640C, IAB 1/8/25)</w:t>
      </w:r>
      <w:r>
        <w:rPr>
          <w:rFonts w:ascii="Times New Roman" w:hAnsi="Times New Roman"/>
          <w:b w:val="false"/>
          <w:i w:val="false"/>
          <w:color w:val="000000"/>
          <w:sz w:val="21"/>
        </w:rPr>
        <w:t>, IAB 7/23/25, effective 8/27/25]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1.7.2.pdf" Type="http://schemas.openxmlformats.org/officeDocument/2006/relationships/hyperlink" Id="rId5"/>
    <Relationship TargetMode="External" Target="https://www.legis.iowa.gov/docs/iac/chapter/561.8.pdf" Type="http://schemas.openxmlformats.org/officeDocument/2006/relationships/hyperlink" Id="rId6"/>
    <Relationship TargetMode="External" Target="https://www.legis.iowa.gov/docs/ico/chapter/455A.pdf" Type="http://schemas.openxmlformats.org/officeDocument/2006/relationships/hyperlink" Id="rId7"/>
    <Relationship TargetMode="External" Target="https://www.legis.iowa.gov/docs/ico/chapter/17A.2.pdf" Type="http://schemas.openxmlformats.org/officeDocument/2006/relationships/hyperlink" Id="rId8"/>
    <Relationship TargetMode="External" Target="https://www.legis.iowa.gov/docs/ico/chapter/17A.10A.pdf" Type="http://schemas.openxmlformats.org/officeDocument/2006/relationships/hyperlink" Id="rId9"/>
    <Relationship TargetMode="External" Target="https://www.legis.iowa.gov/docs/iac/rule/561.7.7.pdf" Type="http://schemas.openxmlformats.org/officeDocument/2006/relationships/hyperlink" Id="rId10"/>
    <Relationship TargetMode="External" Target="https://www.legis.iowa.gov/docs/ico/chapter/4.1.pdf" Type="http://schemas.openxmlformats.org/officeDocument/2006/relationships/hyperlink" Id="rId11"/>
    <Relationship TargetMode="External" Target="https://www.legis.iowa.gov/docs/ico/chapter/455B.110.pdf" Type="http://schemas.openxmlformats.org/officeDocument/2006/relationships/hyperlink" Id="rId12"/>
    <Relationship TargetMode="External" Target="https://www.legis.iowa.gov/docs/iac/rule/561.7.5.pdf" Type="http://schemas.openxmlformats.org/officeDocument/2006/relationships/hyperlink" Id="rId13"/>
    <Relationship TargetMode="External" Target="https://www.legis.iowa.gov/docs/iac/rule/561.7.12.pdf" Type="http://schemas.openxmlformats.org/officeDocument/2006/relationships/hyperlink" Id="rId14"/>
    <Relationship TargetMode="External" Target="https://www.legis.iowa.gov/docs/iac/rule/561.7.5.pdf" Type="http://schemas.openxmlformats.org/officeDocument/2006/relationships/hyperlink" Id="rId15"/>
    <Relationship TargetMode="External" Target="https://www.legis.iowa.gov/docs/iac/rule/561.7.5.pdf" Type="http://schemas.openxmlformats.org/officeDocument/2006/relationships/hyperlink" Id="rId16"/>
    <Relationship TargetMode="External" Target="https://www.legis.iowa.gov/docs/iac/rule/561.7.12.pdf" Type="http://schemas.openxmlformats.org/officeDocument/2006/relationships/hyperlink" Id="rId17"/>
    <Relationship TargetMode="External" Target="https://www.legis.iowa.gov/docs/iac/rule/561.7.12.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ac/rule/561.7.18.pdf" Type="http://schemas.openxmlformats.org/officeDocument/2006/relationships/hyperlink" Id="rId20"/>
    <Relationship TargetMode="External" Target="https://www.legis.iowa.gov/docs/iac/rule/561.7.8.pdf" Type="http://schemas.openxmlformats.org/officeDocument/2006/relationships/hyperlink" Id="rId21"/>
    <Relationship TargetMode="External" Target="https://www.legis.iowa.gov/docs/iac/rule/561.7.9.pdf" Type="http://schemas.openxmlformats.org/officeDocument/2006/relationships/hyperlink" Id="rId22"/>
    <Relationship TargetMode="External" Target="https://www.legis.iowa.gov/docs/ico/chapter/21.pdf" Type="http://schemas.openxmlformats.org/officeDocument/2006/relationships/hyperlink" Id="rId23"/>
    <Relationship TargetMode="External" Target="https://www.legis.iowa.gov/docs/ico/chapter/21.pdf" Type="http://schemas.openxmlformats.org/officeDocument/2006/relationships/hyperlink" Id="rId24"/>
    <Relationship TargetMode="External" Target="https://www.legis.iowa.gov/docs/iac/rule/561.7.9.pdf" Type="http://schemas.openxmlformats.org/officeDocument/2006/relationships/hyperlink" Id="rId25"/>
    <Relationship TargetMode="External" Target="https://www.legis.iowa.gov/docs/ico/chapter/17A.13.pdf" Type="http://schemas.openxmlformats.org/officeDocument/2006/relationships/hyperlink" Id="rId26"/>
    <Relationship TargetMode="External" Target="https://www.legis.iowa.gov/docs/iac/rule/561.7.9.pdf" Type="http://schemas.openxmlformats.org/officeDocument/2006/relationships/hyperlink" Id="rId27"/>
    <Relationship TargetMode="External" Target="https://www.legis.iowa.gov/docs/iac/rule/561.7.17.pdf" Type="http://schemas.openxmlformats.org/officeDocument/2006/relationships/hyperlink" Id="rId28"/>
    <Relationship TargetMode="External" Target="https://www.legis.iowa.gov/docs/iac/rule/561.7.14.pdf" Type="http://schemas.openxmlformats.org/officeDocument/2006/relationships/hyperlink" Id="rId29"/>
    <Relationship TargetMode="External" Target="https://www.legis.iowa.gov/docs/iac/rule/561.7.17.pdf" Type="http://schemas.openxmlformats.org/officeDocument/2006/relationships/hyperlink" Id="rId30"/>
    <Relationship TargetMode="External" Target="https://www.legis.iowa.gov/docs/iac/rule/561.7.17.pdf" Type="http://schemas.openxmlformats.org/officeDocument/2006/relationships/hyperlink" Id="rId31"/>
    <Relationship TargetMode="External" Target="https://www.legis.iowa.gov/docs/iac/rule/561.7.3.pdf" Type="http://schemas.openxmlformats.org/officeDocument/2006/relationships/hyperlink" Id="rId32"/>
    <Relationship TargetMode="External" Target="https://www.legis.iowa.gov/docs/iac/chapter/561.2.pdf" Type="http://schemas.openxmlformats.org/officeDocument/2006/relationships/hyperlink" Id="rId33"/>
    <Relationship TargetMode="External" Target="https://www.legis.iowa.gov/docs/iac/chapter/561.2.pdf" Type="http://schemas.openxmlformats.org/officeDocument/2006/relationships/hyperlink" Id="rId34"/>
    <Relationship TargetMode="External" Target="https://www.legis.iowa.gov/docs/iac/rule/561.7.14.pdf" Type="http://schemas.openxmlformats.org/officeDocument/2006/relationships/hyperlink" Id="rId35"/>
    <Relationship TargetMode="External" Target="https://www.legis.iowa.gov/docs/iac/rule/561.7.18.pdf" Type="http://schemas.openxmlformats.org/officeDocument/2006/relationships/hyperlink" Id="rId36"/>
    <Relationship TargetMode="External" Target="https://www.legis.iowa.gov/docs/iac/rule/561.7.17.pdf" Type="http://schemas.openxmlformats.org/officeDocument/2006/relationships/hyperlink" Id="rId37"/>
    <Relationship TargetMode="External" Target="https://www.legis.iowa.gov/docs/iac/rule/561.7.17.pdf" Type="http://schemas.openxmlformats.org/officeDocument/2006/relationships/hyperlink" Id="rId38"/>
    <Relationship TargetMode="External" Target="https://www.legis.iowa.gov/docs/iac/rule/561.7.17.pdf" Type="http://schemas.openxmlformats.org/officeDocument/2006/relationships/hyperlink" Id="rId39"/>
    <Relationship TargetMode="External" Target="https://www.legis.iowa.gov/docs/iac/rule/561.7.17.pdf" Type="http://schemas.openxmlformats.org/officeDocument/2006/relationships/hyperlink" Id="rId40"/>
    <Relationship TargetMode="External" Target="https://www.legis.iowa.gov/docs/iac/rule/561.7.17.pdf" Type="http://schemas.openxmlformats.org/officeDocument/2006/relationships/hyperlink" Id="rId41"/>
    <Relationship TargetMode="External" Target="https://www.legis.iowa.gov/docs/iac/rule/561.7.18.pdf" Type="http://schemas.openxmlformats.org/officeDocument/2006/relationships/hyperlink" Id="rId42"/>
    <Relationship TargetMode="External" Target="https://www.legis.iowa.gov/docs/iac/rule/561.7.18.pdf" Type="http://schemas.openxmlformats.org/officeDocument/2006/relationships/hyperlink" Id="rId43"/>
    <Relationship TargetMode="External" Target="https://www.legis.iowa.gov/docs/ico/chapter/17A.19.pdf" Type="http://schemas.openxmlformats.org/officeDocument/2006/relationships/hyperlink" Id="rId44"/>
    <Relationship TargetMode="External" Target="https://www.legis.iowa.gov/docs/ico/chapter/17A.18A.pdf" Type="http://schemas.openxmlformats.org/officeDocument/2006/relationships/hyperlink" Id="rId45"/>
    <Relationship TargetMode="External" Target="https://www.legis.iowa.gov/docs/iac/rule/561.7.15.pdf" Type="http://schemas.openxmlformats.org/officeDocument/2006/relationships/hyperlink" Id="rId46"/>
    <Relationship TargetMode="External" Target="https://www.legis.iowa.gov/docs/iac/rule/561.7.18.pdf" Type="http://schemas.openxmlformats.org/officeDocument/2006/relationships/hyperlink" Id="rId47"/>
    <Relationship TargetMode="External" Target="https://www.legis.iowa.gov/docs/iac/rule/561.7.19.pdf" Type="http://schemas.openxmlformats.org/officeDocument/2006/relationships/hyperlink" Id="rId48"/>
    <Relationship TargetMode="External" Target="https://www.legis.iowa.gov/docs/ico/chapter/455B.219.pdf" Type="http://schemas.openxmlformats.org/officeDocument/2006/relationships/hyperlink" Id="rId49"/>
    <Relationship TargetMode="External" Target="https://www.legis.iowa.gov/docs/ico/chapter/455B.291.pdf" Type="http://schemas.openxmlformats.org/officeDocument/2006/relationships/hyperlink" Id="rId50"/>
    <Relationship TargetMode="External" Target="https://www.legis.iowa.gov/docs/iac/rule/561.7.12.pdf" Type="http://schemas.openxmlformats.org/officeDocument/2006/relationships/hyperlink" Id="rId51"/>
    <Relationship TargetMode="External" Target="https://www.legis.iowa.gov/docs/iac/rule/561.7.12.pdf" Type="http://schemas.openxmlformats.org/officeDocument/2006/relationships/hyperlink" Id="rId52"/>
    <Relationship TargetMode="External" Target="https://www.legis.iowa.gov/docs/iac/rule/561.7.18.pdf" Type="http://schemas.openxmlformats.org/officeDocument/2006/relationships/hyperlink" Id="rId53"/>
    <Relationship TargetMode="External" Target="https://www.legis.iowa.gov/docs/ico/chapter/455B.219.pdf" Type="http://schemas.openxmlformats.org/officeDocument/2006/relationships/hyperlink" Id="rId54"/>
    <Relationship TargetMode="External" Target="https://www.legis.iowa.gov/docs/iac/rule/561.7.19.pdf" Type="http://schemas.openxmlformats.org/officeDocument/2006/relationships/hyperlink" Id="rId55"/>
    <Relationship TargetMode="External" Target="https://www.legis.iowa.gov/docs/ico/chapter/17A.3.pdf" Type="http://schemas.openxmlformats.org/officeDocument/2006/relationships/hyperlink" Id="rId56"/>
    <Relationship TargetMode="External" Target="https://www.legis.iowa.gov/docs/ico/chapter/455A.pdf" Type="http://schemas.openxmlformats.org/officeDocument/2006/relationships/hyperlink" Id="rId5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