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561—10.1</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Upon petition of any person and at the sole discretion of the department, the department may issue a waiver from the requirements of a rule if the director or the director’s designee or the department in a contested case proceeding finds, based on clear and convincing evidence, all of the factors as set forth in Iowa Code section </w:t>
      </w:r>
      <w:hyperlink r:id="rId5">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561—10.2</w:t>
      </w:r>
      <w:r>
        <w:rPr>
          <w:rFonts w:ascii="Times New Roman" w:hAnsi="Times New Roman"/>
          <w:b/>
          <w:i w:val="false"/>
          <w:color w:val="000000"/>
          <w:sz w:val="22"/>
        </w:rPr>
        <w:t xml:space="preserve">(17A) </w:t>
      </w:r>
      <w:r>
        <w:rPr>
          <w:rFonts w:ascii="Times New Roman" w:hAnsi="Times New Roman"/>
          <w:b/>
          <w:i w:val="false"/>
          <w:color w:val="000000"/>
          <w:sz w:val="22"/>
        </w:rPr>
        <w:t xml:space="preserve">Burden of persuasion. </w:t>
      </w:r>
      <w:r>
        <w:rPr>
          <w:rFonts w:ascii="Times New Roman" w:hAnsi="Times New Roman"/>
          <w:b w:val="false"/>
          <w:i w:val="false"/>
          <w:color w:val="000000"/>
          <w:sz w:val="22"/>
        </w:rPr>
        <w:t xml:space="preserve">The burden of persuasion rests with the person who petitions the department for the waiver of a rule consistent with Iowa Code section </w:t>
      </w:r>
      <w:hyperlink r:id="rId6">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561—10.3</w:t>
      </w:r>
      <w:r>
        <w:rPr>
          <w:rFonts w:ascii="Times New Roman" w:hAnsi="Times New Roman"/>
          <w:b/>
          <w:i w:val="false"/>
          <w:color w:val="000000"/>
          <w:sz w:val="22"/>
        </w:rPr>
        <w:t xml:space="preserve">(17A) </w:t>
      </w:r>
      <w:r>
        <w:rPr>
          <w:rFonts w:ascii="Times New Roman" w:hAnsi="Times New Roman"/>
          <w:b/>
          <w:i w:val="false"/>
          <w:color w:val="000000"/>
          <w:sz w:val="22"/>
        </w:rPr>
        <w:t xml:space="preserve">Special waiver rules not precluded. </w:t>
      </w:r>
      <w:r>
        <w:rPr>
          <w:rFonts w:ascii="Times New Roman" w:hAnsi="Times New Roman"/>
          <w:b w:val="false"/>
          <w:i w:val="false"/>
          <w:color w:val="000000"/>
          <w:sz w:val="22"/>
        </w:rPr>
        <w:t>This chapter shall not preclude the department from granting waivers in other contexts or on the basis of other standards if a statute or other department rule authorizes the director to do so, and the director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561—10.4</w:t>
      </w:r>
      <w:r>
        <w:rPr>
          <w:rFonts w:ascii="Times New Roman" w:hAnsi="Times New Roman"/>
          <w:b/>
          <w:i w:val="false"/>
          <w:color w:val="000000"/>
          <w:sz w:val="22"/>
        </w:rPr>
        <w:t xml:space="preserve">(17A) </w:t>
      </w:r>
      <w:r>
        <w:rPr>
          <w:rFonts w:ascii="Times New Roman" w:hAnsi="Times New Roman"/>
          <w:b/>
          <w:i w:val="false"/>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shall balance the special individual circumstances of the petitioner with the overall goal of uniform treatment of all persons governed by the particular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shall be submitted in writing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The department may elect not to rule on the waiver petition until the resolution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A petition for waiver shall include the following information when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department and the petitioner for the past five years, including a description of each affected permit held by the petitioner, and any notices of violation, administrative orders, contested case proceedings, and lawsuits involving the department and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regarding the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of the state or federal government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 decision granting or denying a waiver, the department may request additional information from the petitioner relative to the petition and surrounding circumstances. If the petition was not filed in a contested case, the director may, on the director’s own motion or at the petitioner’s request, schedule a telephonic or in-person meeting between the petitioner and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petitioner, within 30 days of submission of the petition, shall serve by certified mail notice of the pending petition and a concise summary of its contents upon all persons to whom notice is required by any provision of law. The petitioner shall provide a written statement to the department attesting that the required notice has been provided. The department shall acknowledge a petition upon receipt and, in addition, the department may give notice to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regarding contested case hearings shall apply to any petition for a waiver of a rule filed within a contested case and shall otherwise apply to department proceedings for a waiver only when the department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 decision granting or denying a waiver shall be in writing and shall contain a reference to the particular person and rule or portion thereof to which the decision pertains, a statement of the relevant facts and reasons upon which the action is based, and a description of the precise scope and operative period of the waiver if one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561—10.11</w:t>
      </w:r>
      <w:r>
        <w:rPr>
          <w:rFonts w:ascii="Times New Roman" w:hAnsi="Times New Roman"/>
          <w:b/>
          <w:i w:val="false"/>
          <w:color w:val="000000"/>
          <w:sz w:val="22"/>
        </w:rPr>
        <w:t xml:space="preserve">(17A) </w:t>
      </w:r>
      <w:r>
        <w:rPr>
          <w:rFonts w:ascii="Times New Roman" w:hAnsi="Times New Roman"/>
          <w:b/>
          <w:i w:val="false"/>
          <w:color w:val="000000"/>
          <w:sz w:val="22"/>
        </w:rPr>
        <w:t xml:space="preserve">Conditions. </w:t>
      </w:r>
      <w:r>
        <w:rPr>
          <w:rFonts w:ascii="Times New Roman" w:hAnsi="Times New Roman"/>
          <w:b w:val="false"/>
          <w:i w:val="false"/>
          <w:color w:val="000000"/>
          <w:sz w:val="22"/>
        </w:rPr>
        <w:t>The department may condition the granting of the waiver on such reasonable conditions as appropriate to achieve the objectives of the particular rule in question through alternative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561—10.12</w:t>
      </w:r>
      <w:r>
        <w:rPr>
          <w:rFonts w:ascii="Times New Roman" w:hAnsi="Times New Roman"/>
          <w:b/>
          <w:i w:val="false"/>
          <w:color w:val="000000"/>
          <w:sz w:val="22"/>
        </w:rPr>
        <w:t xml:space="preserve">(17A) </w:t>
      </w:r>
      <w:r>
        <w:rPr>
          <w:rFonts w:ascii="Times New Roman" w:hAnsi="Times New Roman"/>
          <w:b/>
          <w:i w:val="false"/>
          <w:color w:val="000000"/>
          <w:sz w:val="22"/>
        </w:rPr>
        <w:t xml:space="preserve">Time for ruling. </w:t>
      </w:r>
      <w:r>
        <w:rPr>
          <w:rFonts w:ascii="Times New Roman" w:hAnsi="Times New Roman"/>
          <w:b w:val="false"/>
          <w:i w:val="false"/>
          <w:color w:val="000000"/>
          <w:sz w:val="22"/>
        </w:rPr>
        <w:t>The department shall grant or deny a petition for a waiver as soon as practicable but, in any event, shall do so within 120 days of receipt of the petition, unless the petitioner agrees to a later date. However, if a petition is filed in a contested case, the department shall grant or deny the petition no later than the time at which the final decision in that contested case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561—10.13</w:t>
      </w:r>
      <w:r>
        <w:rPr>
          <w:rFonts w:ascii="Times New Roman" w:hAnsi="Times New Roman"/>
          <w:b/>
          <w:i w:val="false"/>
          <w:color w:val="000000"/>
          <w:sz w:val="22"/>
        </w:rPr>
        <w:t xml:space="preserve">(17A) </w:t>
      </w:r>
      <w:r>
        <w:rPr>
          <w:rFonts w:ascii="Times New Roman" w:hAnsi="Times New Roman"/>
          <w:b/>
          <w:i w:val="false"/>
          <w:color w:val="000000"/>
          <w:sz w:val="22"/>
        </w:rPr>
        <w:t xml:space="preserve">When deemed denied. </w:t>
      </w:r>
      <w:r>
        <w:rPr>
          <w:rFonts w:ascii="Times New Roman" w:hAnsi="Times New Roman"/>
          <w:b w:val="false"/>
          <w:i w:val="false"/>
          <w:color w:val="000000"/>
          <w:sz w:val="22"/>
        </w:rPr>
        <w:t>Failure of the director or the department in a contested case proceeding to grant or deny a petition within the required time period shall be deemed a denial of that petition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561—10.14</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of decision. </w:t>
      </w:r>
      <w:r>
        <w:rPr>
          <w:rFonts w:ascii="Times New Roman" w:hAnsi="Times New Roman"/>
          <w:b w:val="false"/>
          <w:i w:val="false"/>
          <w:color w:val="000000"/>
          <w:sz w:val="22"/>
        </w:rPr>
        <w:t>Within seven days of its issuance, any decision issued under this chapter shall be transmitted to the petitioner or the person to whom the decision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shall maintain a record of all decisions granting and denying waivers under this chapter. All final rulings in response to requests for waivers shall be indexed and available to members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561—10.16</w:t>
      </w:r>
      <w:r>
        <w:rPr>
          <w:rFonts w:ascii="Times New Roman" w:hAnsi="Times New Roman"/>
          <w:b/>
          <w:i w:val="false"/>
          <w:color w:val="000000"/>
          <w:sz w:val="22"/>
        </w:rPr>
        <w:t xml:space="preserve">(17A)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department may at any time cancel a waiver if the department finds that the facts as stated in the request are not true, material facts have been withheld, the alternative means of compliance provided in the waiver have failed to achieve the objectives of the statute, or the requester has failed to comply with the conditions of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561—10.17</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of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561—10.18</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department issues a decision granting a waiver, the decision is a defense within its terms and the specific facts indicated therein for the person to whom the decision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8/31/01, Notice 2/21/01—published 9/19/01, effective 10/24/01]</w:t>
      </w:r>
    </w:p>
    <w:p>
      <w:pPr>
        <w:spacing w:before="0" w:after="0"/>
        <w:ind w:left="120"/>
        <w:jc w:val="center"/>
      </w:pPr>
      <w:r>
        <w:rPr>
          <w:rFonts w:ascii="Times New Roman" w:hAnsi="Times New Roman"/>
          <w:b w:val="false"/>
          <w:i w:val="false"/>
          <w:color w:val="000000"/>
          <w:sz w:val="21"/>
        </w:rPr>
        <w:t>[Filed ARC 5516C</w:t>
      </w:r>
      <w:r>
        <w:rPr>
          <w:rFonts w:ascii="Times New Roman" w:hAnsi="Times New Roman"/>
          <w:b w:val="false"/>
          <w:i w:val="false"/>
          <w:color w:val="000000"/>
          <w:sz w:val="21"/>
        </w:rPr>
        <w:t xml:space="preserve"> (Notice ARC 5380C,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9436C</w:t>
      </w:r>
      <w:r>
        <w:rPr>
          <w:rFonts w:ascii="Times New Roman" w:hAnsi="Times New Roman"/>
          <w:b w:val="false"/>
          <w:i w:val="false"/>
          <w:color w:val="000000"/>
          <w:sz w:val="21"/>
        </w:rPr>
        <w:t xml:space="preserve"> (Notice ARC 8643C,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17A.10.pdf" Type="http://schemas.openxmlformats.org/officeDocument/2006/relationships/hyperlink" Id="rId7"/>
    <Relationship TargetMode="External" Target="https://www.legis.iowa.gov/docs/ico/chapter/17A.18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